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B8F" w:rsidRDefault="00144A4C">
      <w:pPr>
        <w:pStyle w:val="BlackStrips"/>
      </w:pPr>
      <w:r>
        <w:t xml:space="preserve">Charltons - </w:t>
      </w:r>
      <w:r>
        <w:t>香港法律</w:t>
      </w:r>
      <w:r>
        <w:t xml:space="preserve"> - 2020</w:t>
      </w:r>
      <w:r>
        <w:t>年</w:t>
      </w:r>
      <w:r>
        <w:t>4</w:t>
      </w:r>
      <w:r>
        <w:t>月</w:t>
      </w:r>
      <w:r>
        <w:t>9</w:t>
      </w:r>
      <w:r>
        <w:t>日</w:t>
      </w:r>
    </w:p>
    <w:p w:rsidR="002B1B8F" w:rsidRDefault="00144A4C">
      <w:pPr>
        <w:pStyle w:val="ReadOnline"/>
      </w:pPr>
      <w:hyperlink r:id="rId7">
        <w:r>
          <w:t>online version</w:t>
        </w:r>
      </w:hyperlink>
    </w:p>
    <w:p w:rsidR="002B1B8F" w:rsidRDefault="00144A4C">
      <w:pPr>
        <w:pStyle w:val="Title"/>
        <w:rPr>
          <w:lang w:eastAsia="zh-CN"/>
        </w:rPr>
      </w:pPr>
      <w:r>
        <w:rPr>
          <w:lang w:eastAsia="zh-CN"/>
        </w:rPr>
        <w:t>证监会发布通函提醒中介人，他们有责任确保为客户提供合理适当建议和及时向客户发放资料</w:t>
      </w:r>
    </w:p>
    <w:p w:rsidR="002B1B8F" w:rsidRDefault="00144A4C">
      <w:pPr>
        <w:pStyle w:val="FirstParagraph"/>
        <w:rPr>
          <w:lang w:eastAsia="zh-CN"/>
        </w:rPr>
      </w:pPr>
      <w:r>
        <w:rPr>
          <w:lang w:eastAsia="zh-CN"/>
        </w:rPr>
        <w:t>2020</w:t>
      </w:r>
      <w:r>
        <w:rPr>
          <w:lang w:eastAsia="zh-CN"/>
        </w:rPr>
        <w:t>年</w:t>
      </w:r>
      <w:r>
        <w:rPr>
          <w:lang w:eastAsia="zh-CN"/>
        </w:rPr>
        <w:t>3</w:t>
      </w:r>
      <w:r>
        <w:rPr>
          <w:lang w:eastAsia="zh-CN"/>
        </w:rPr>
        <w:t>月</w:t>
      </w:r>
      <w:r>
        <w:rPr>
          <w:lang w:eastAsia="zh-CN"/>
        </w:rPr>
        <w:t>27</w:t>
      </w:r>
      <w:r>
        <w:rPr>
          <w:lang w:eastAsia="zh-CN"/>
        </w:rPr>
        <w:t>日，香港证券及期货事务监察委员会（</w:t>
      </w:r>
      <w:r>
        <w:rPr>
          <w:b/>
          <w:lang w:eastAsia="zh-CN"/>
        </w:rPr>
        <w:t>证监会</w:t>
      </w:r>
      <w:r>
        <w:rPr>
          <w:lang w:eastAsia="zh-CN"/>
        </w:rPr>
        <w:t>）向</w:t>
      </w:r>
      <w:hyperlink r:id="rId8">
        <w:r>
          <w:rPr>
            <w:lang w:eastAsia="zh-CN"/>
          </w:rPr>
          <w:t>香港持牌中介人发布一份通函</w:t>
        </w:r>
      </w:hyperlink>
      <w:r>
        <w:rPr>
          <w:b/>
          <w:lang w:eastAsia="zh-CN"/>
        </w:rPr>
        <w:t>（通函）</w:t>
      </w:r>
      <w:r>
        <w:rPr>
          <w:lang w:eastAsia="zh-CN"/>
        </w:rPr>
        <w:t>，提醒中介人他们有责任确保为客户提供合理适当建议和在为客户持有投资产</w:t>
      </w:r>
      <w:r>
        <w:rPr>
          <w:lang w:eastAsia="zh-CN"/>
        </w:rPr>
        <w:t>品的情况下需及时向客户发放资料</w:t>
      </w:r>
      <w:hyperlink w:anchor="_ftn1">
        <w:r>
          <w:rPr>
            <w:vertAlign w:val="superscript"/>
            <w:lang w:eastAsia="zh-CN"/>
          </w:rPr>
          <w:t>[1]</w:t>
        </w:r>
      </w:hyperlink>
      <w:r>
        <w:rPr>
          <w:lang w:eastAsia="zh-CN"/>
        </w:rPr>
        <w:t>。</w:t>
      </w:r>
    </w:p>
    <w:p w:rsidR="002B1B8F" w:rsidRDefault="00144A4C">
      <w:pPr>
        <w:pStyle w:val="BodyText"/>
      </w:pPr>
      <w:r>
        <w:rPr>
          <w:lang w:eastAsia="zh-CN"/>
        </w:rPr>
        <w:t>在此通函中，证监会提醒在证监会持牌人或注册人（</w:t>
      </w:r>
      <w:r>
        <w:rPr>
          <w:b/>
          <w:lang w:eastAsia="zh-CN"/>
        </w:rPr>
        <w:t>证监会持牌人</w:t>
      </w:r>
      <w:r>
        <w:rPr>
          <w:lang w:eastAsia="zh-CN"/>
        </w:rPr>
        <w:t>）在向客户分销投资产品（例如基金和债券）时，注意其在证监会持牌人或注册人操守准则</w:t>
      </w:r>
      <w:hyperlink w:anchor="_ftn2">
        <w:r>
          <w:rPr>
            <w:vertAlign w:val="superscript"/>
            <w:lang w:eastAsia="zh-CN"/>
          </w:rPr>
          <w:t>[2]</w:t>
        </w:r>
      </w:hyperlink>
      <w:r>
        <w:rPr>
          <w:lang w:eastAsia="zh-CN"/>
        </w:rPr>
        <w:t>（</w:t>
      </w:r>
      <w:r>
        <w:rPr>
          <w:b/>
          <w:lang w:eastAsia="zh-CN"/>
        </w:rPr>
        <w:t>操守准则</w:t>
      </w:r>
      <w:r>
        <w:rPr>
          <w:lang w:eastAsia="zh-CN"/>
        </w:rPr>
        <w:t>）下的责任。</w:t>
      </w:r>
      <w:r>
        <w:t>这些责任包括：</w:t>
      </w:r>
    </w:p>
    <w:p w:rsidR="002B1B8F" w:rsidRDefault="00144A4C">
      <w:pPr>
        <w:pStyle w:val="Compact"/>
        <w:numPr>
          <w:ilvl w:val="0"/>
          <w:numId w:val="2"/>
        </w:numPr>
        <w:rPr>
          <w:lang w:eastAsia="zh-CN"/>
        </w:rPr>
      </w:pPr>
      <w:r>
        <w:rPr>
          <w:lang w:eastAsia="zh-CN"/>
        </w:rPr>
        <w:t>在作出招揽或建议行为时为客户提供合理适当建议的责任；及</w:t>
      </w:r>
    </w:p>
    <w:p w:rsidR="002B1B8F" w:rsidRDefault="00144A4C">
      <w:pPr>
        <w:pStyle w:val="Compact"/>
        <w:numPr>
          <w:ilvl w:val="0"/>
          <w:numId w:val="2"/>
        </w:numPr>
        <w:rPr>
          <w:lang w:eastAsia="zh-CN"/>
        </w:rPr>
      </w:pPr>
      <w:r>
        <w:rPr>
          <w:lang w:eastAsia="zh-CN"/>
        </w:rPr>
        <w:t>在为客户直接或间接持有投资产品的情况下及时发放资料的责任。</w:t>
      </w:r>
    </w:p>
    <w:p w:rsidR="002B1B8F" w:rsidRDefault="00144A4C">
      <w:pPr>
        <w:pStyle w:val="FirstParagraph"/>
        <w:rPr>
          <w:lang w:eastAsia="zh-CN"/>
        </w:rPr>
      </w:pPr>
      <w:r>
        <w:rPr>
          <w:lang w:eastAsia="zh-CN"/>
        </w:rPr>
        <w:t>鉴于</w:t>
      </w:r>
      <w:r>
        <w:rPr>
          <w:lang w:eastAsia="zh-CN"/>
        </w:rPr>
        <w:t>2019</w:t>
      </w:r>
      <w:r>
        <w:rPr>
          <w:lang w:eastAsia="zh-CN"/>
        </w:rPr>
        <w:t>冠状病毒（即COVID</w:t>
      </w:r>
      <w:r>
        <w:rPr>
          <w:rFonts w:asciiTheme="minorEastAsia" w:eastAsiaTheme="minorEastAsia" w:hAnsiTheme="minorEastAsia" w:hint="eastAsia"/>
          <w:lang w:eastAsia="zh-CN"/>
        </w:rPr>
        <w:t>-</w:t>
      </w:r>
      <w:bookmarkStart w:id="0" w:name="_GoBack"/>
      <w:bookmarkEnd w:id="0"/>
      <w:r>
        <w:rPr>
          <w:lang w:eastAsia="zh-CN"/>
        </w:rPr>
        <w:t>19</w:t>
      </w:r>
      <w:r>
        <w:rPr>
          <w:lang w:eastAsia="zh-CN"/>
        </w:rPr>
        <w:t>）疫情对市场波动性和流</w:t>
      </w:r>
      <w:r>
        <w:rPr>
          <w:lang w:eastAsia="zh-CN"/>
        </w:rPr>
        <w:t>通性以至信贷质素的潜在影响，证监会提醒证监会持牌人在作出招揽或建议行为或为客户管理投资组合时，应以客户的最佳利益行事</w:t>
      </w:r>
      <w:hyperlink w:anchor="_ftn3">
        <w:r>
          <w:rPr>
            <w:vertAlign w:val="superscript"/>
            <w:lang w:eastAsia="zh-CN"/>
          </w:rPr>
          <w:t>[3]</w:t>
        </w:r>
      </w:hyperlink>
      <w:r>
        <w:rPr>
          <w:lang w:eastAsia="zh-CN"/>
        </w:rPr>
        <w:t>以及格外审慎。</w:t>
      </w:r>
    </w:p>
    <w:p w:rsidR="002B1B8F" w:rsidRDefault="00144A4C">
      <w:pPr>
        <w:pStyle w:val="BodyText"/>
        <w:rPr>
          <w:lang w:eastAsia="zh-CN"/>
        </w:rPr>
      </w:pPr>
      <w:r>
        <w:rPr>
          <w:lang w:eastAsia="zh-CN"/>
        </w:rPr>
        <w:t>为履行其在操守准则下有关为客户提供合理适当建议的责任</w:t>
      </w:r>
      <w:hyperlink w:anchor="_ftn4">
        <w:r>
          <w:rPr>
            <w:vertAlign w:val="superscript"/>
            <w:lang w:eastAsia="zh-CN"/>
          </w:rPr>
          <w:t>[4]</w:t>
        </w:r>
      </w:hyperlink>
      <w:r>
        <w:rPr>
          <w:lang w:eastAsia="zh-CN"/>
        </w:rPr>
        <w:t>，证监会提醒证监会持牌人应（除其他事项外）：</w:t>
      </w:r>
    </w:p>
    <w:p w:rsidR="002B1B8F" w:rsidRDefault="00144A4C">
      <w:pPr>
        <w:pStyle w:val="Compact"/>
        <w:numPr>
          <w:ilvl w:val="0"/>
          <w:numId w:val="3"/>
        </w:numPr>
        <w:rPr>
          <w:lang w:eastAsia="zh-CN"/>
        </w:rPr>
      </w:pPr>
      <w:r>
        <w:rPr>
          <w:lang w:eastAsia="zh-CN"/>
        </w:rPr>
        <w:t>确保持续每隔一段适当时间对现时获核准产品名单上的投资产品进行尽职审查，过程中须顾及投资产品的性质、特点和风险，包括信贷素质或流通性有否恶化，与</w:t>
      </w:r>
      <w:r>
        <w:rPr>
          <w:lang w:eastAsia="zh-CN"/>
        </w:rPr>
        <w:t>COVID-19</w:t>
      </w:r>
      <w:r>
        <w:rPr>
          <w:lang w:eastAsia="zh-CN"/>
        </w:rPr>
        <w:t>有关的市场和行业风险，及可能影响投资的风险回报状况和增长前景的其他因素；</w:t>
      </w:r>
    </w:p>
    <w:p w:rsidR="002B1B8F" w:rsidRDefault="00144A4C">
      <w:pPr>
        <w:pStyle w:val="Compact"/>
        <w:numPr>
          <w:ilvl w:val="0"/>
          <w:numId w:val="3"/>
        </w:numPr>
        <w:rPr>
          <w:lang w:eastAsia="zh-CN"/>
        </w:rPr>
      </w:pPr>
      <w:r>
        <w:rPr>
          <w:lang w:eastAsia="zh-CN"/>
        </w:rPr>
        <w:t>在评估投资产品对客户的合适程度时，仔细考虑所有切合该客户本身的相关情况，包括该客户现时的财务状况、投资目标、风险承受能力、投资期和流动资金需求，以及现有投资组合的风险概况和集中风险；</w:t>
      </w:r>
    </w:p>
    <w:p w:rsidR="002B1B8F" w:rsidRDefault="00144A4C">
      <w:pPr>
        <w:pStyle w:val="Compact"/>
        <w:numPr>
          <w:ilvl w:val="0"/>
          <w:numId w:val="3"/>
        </w:numPr>
        <w:rPr>
          <w:lang w:eastAsia="zh-CN"/>
        </w:rPr>
      </w:pPr>
      <w:r>
        <w:rPr>
          <w:lang w:eastAsia="zh-CN"/>
        </w:rPr>
        <w:t>向客户说明投资产品的风险及特点，包括信贷素质、流通性、终止条件及交易成本；及</w:t>
      </w:r>
    </w:p>
    <w:p w:rsidR="002B1B8F" w:rsidRDefault="00144A4C">
      <w:pPr>
        <w:pStyle w:val="Compact"/>
        <w:numPr>
          <w:ilvl w:val="0"/>
          <w:numId w:val="3"/>
        </w:numPr>
        <w:rPr>
          <w:lang w:eastAsia="zh-CN"/>
        </w:rPr>
      </w:pPr>
      <w:r>
        <w:rPr>
          <w:lang w:eastAsia="zh-CN"/>
        </w:rPr>
        <w:t>在向客户建议投资产品时，时刻给予持平的意见，不应只着眼于产品的优点（例如高票面利率或收益率），并应说明产品的缺点及下行风险（例如信贷素质恶化及流通性不足）。</w:t>
      </w:r>
    </w:p>
    <w:p w:rsidR="002B1B8F" w:rsidRDefault="00144A4C">
      <w:pPr>
        <w:pStyle w:val="FirstParagraph"/>
        <w:rPr>
          <w:lang w:eastAsia="zh-CN"/>
        </w:rPr>
      </w:pPr>
      <w:r>
        <w:rPr>
          <w:lang w:eastAsia="zh-CN"/>
        </w:rPr>
        <w:t>如证监会持牌人直接</w:t>
      </w:r>
      <w:r>
        <w:rPr>
          <w:lang w:eastAsia="zh-CN"/>
        </w:rPr>
        <w:t>或间接为客户持有投资产品，证监会亦提醒他们在收到由有关投资产品的发行人、产品安排人或管理公司发出的通告及其它通讯后，及时向客户发放有关通告及有关通讯。</w:t>
      </w:r>
      <w:hyperlink w:anchor="_ftn5">
        <w:r>
          <w:rPr>
            <w:vertAlign w:val="superscript"/>
            <w:lang w:eastAsia="zh-CN"/>
          </w:rPr>
          <w:t>[5]</w:t>
        </w:r>
      </w:hyperlink>
    </w:p>
    <w:p w:rsidR="002B1B8F" w:rsidRDefault="00144A4C">
      <w:pPr>
        <w:pStyle w:val="BodyText"/>
        <w:rPr>
          <w:lang w:eastAsia="zh-CN"/>
        </w:rPr>
      </w:pPr>
      <w:r>
        <w:rPr>
          <w:lang w:eastAsia="zh-CN"/>
        </w:rPr>
        <w:t>证监会指出，这些通告或通讯可能载有对投资决策而言至为关键的重要资料或更新，例如与基金有关的异常情况，当中可能包括基金经理使用流通性风险管理工具</w:t>
      </w:r>
      <w:r>
        <w:rPr>
          <w:vertAlign w:val="superscript"/>
          <w:lang w:eastAsia="zh-CN"/>
        </w:rPr>
        <w:t>[6]</w:t>
      </w:r>
      <w:r>
        <w:rPr>
          <w:lang w:eastAsia="zh-CN"/>
        </w:rPr>
        <w:t>，例如基金经理拟增加或采用任何超过基金销售文件所披露的波动因子（或反摊薄征费）；决定押后赎回，暂停在一级市场上申购及赎回申请或在二级市场上买卖；及对基</w:t>
      </w:r>
      <w:r>
        <w:rPr>
          <w:lang w:eastAsia="zh-CN"/>
        </w:rPr>
        <w:t>金的潜在影响。</w:t>
      </w:r>
    </w:p>
    <w:p w:rsidR="002B1B8F" w:rsidRDefault="00144A4C">
      <w:pPr>
        <w:pStyle w:val="BodyText"/>
        <w:rPr>
          <w:lang w:eastAsia="zh-CN"/>
        </w:rPr>
      </w:pPr>
      <w:r>
        <w:rPr>
          <w:lang w:eastAsia="zh-CN"/>
        </w:rPr>
        <w:t>证监会亦表示，将在持续监察持牌机构的过程中，继续评估它们在遵守监管规定方面的情况。</w:t>
      </w:r>
    </w:p>
    <w:p w:rsidR="002B1B8F" w:rsidRDefault="00144A4C">
      <w:r>
        <w:pict>
          <v:rect id="_x0000_i1025" style="width:0;height:1.5pt" o:hralign="center" o:hrstd="t" o:hr="t"/>
        </w:pict>
      </w:r>
    </w:p>
    <w:p w:rsidR="002B1B8F" w:rsidRDefault="00144A4C">
      <w:pPr>
        <w:pStyle w:val="FirstParagraph"/>
      </w:pPr>
      <w:hyperlink w:anchor="_ftnref1">
        <w:r>
          <w:rPr>
            <w:vertAlign w:val="superscript"/>
          </w:rPr>
          <w:t>[1]</w:t>
        </w:r>
      </w:hyperlink>
      <w:r>
        <w:t xml:space="preserve"> </w:t>
      </w:r>
      <w:hyperlink r:id="rId9">
        <w:r>
          <w:t>https://sc.sfc.hk/gb/www.sfc.hk/edist</w:t>
        </w:r>
        <w:r>
          <w:t>ributionWeb/gateway/TC/circular/intermediaries/supervision/doc?refNo=20EC25</w:t>
        </w:r>
      </w:hyperlink>
    </w:p>
    <w:p w:rsidR="002B1B8F" w:rsidRDefault="00144A4C">
      <w:pPr>
        <w:pStyle w:val="BodyText"/>
      </w:pPr>
      <w:hyperlink w:anchor="_ftnref2">
        <w:r>
          <w:rPr>
            <w:vertAlign w:val="superscript"/>
          </w:rPr>
          <w:t>[2]</w:t>
        </w:r>
      </w:hyperlink>
      <w:r>
        <w:t xml:space="preserve"> </w:t>
      </w:r>
      <w:hyperlink r:id="rId10">
        <w:r>
          <w:t>https://www.sfc.hk/web/TC/assets/components/codes/files-current/zh-hant/codes/%E8%AD%89%E5%88%B8%E5%8F%8A%E6%9C%9F%E8%B2%A8%E4%BA%8B%E5%8B%99%E7%9B%A3%E5%AF%9F%E5%A7%94%E5%93%A1%E6%9C%83%E6%8C%81%E7%89%8C%E4%BA%BA%E6%88%96%E8%A8%BB%E5%86%8A%E4%BA%BA%E6%</w:t>
        </w:r>
        <w:r>
          <w:t>93%8D%E5%AE%88%E6%BA%96%E5%89%87/%E8%AD%89%E5%88%B8%E5%8F%8A%E6%9C%9F%E8%B2%A8%E4%BA%8B%E5%8B%99%E7%9B%A3%E5%AF%9F%E5%A7%94%E5%93%A1%E6%9C%83%E6%8C%81%E7%89%8C%E4%BA%BA%E6%88%96%E8%A8%BB%E5%86%8A%E4%BA%BA%E6%93%8D%E5%AE%88%E6%BA%96%E5%89%87.pdf</w:t>
        </w:r>
      </w:hyperlink>
    </w:p>
    <w:p w:rsidR="002B1B8F" w:rsidRDefault="00144A4C">
      <w:pPr>
        <w:pStyle w:val="BodyText"/>
      </w:pPr>
      <w:hyperlink w:anchor="_ftnref3">
        <w:r>
          <w:rPr>
            <w:vertAlign w:val="superscript"/>
          </w:rPr>
          <w:t>[3]</w:t>
        </w:r>
      </w:hyperlink>
      <w:r>
        <w:t xml:space="preserve"> </w:t>
      </w:r>
      <w:r>
        <w:t>见操守准则一般原则</w:t>
      </w:r>
      <w:r>
        <w:t>2</w:t>
      </w:r>
      <w:r>
        <w:t>：</w:t>
      </w:r>
      <w:hyperlink r:id="rId11">
        <w:r>
          <w:t>https://www.sfc.hk/web/TC/assets/components/codes/files-current/zh-hant/codes/%E8%AD%89%E5%88%B8%E5%8F%8A%E6%9C%9F%E8%B2%A8%E4%BA%8B%E5%8B%99%E7%9B%A3%E5%AF%9F%E5%A7%94%E5%93%A1%E6%9C%83%E6%8C%81%E7%89%8C%E4%BA%BA%E6</w:t>
        </w:r>
        <w:r>
          <w:t>%88%96%E8%A8%BB%E5%86%8A%E4%BA%BA%E6%93%8D%E5%AE%88%E6%BA%96%E5%89%87/%E8%AD%89%E5%88%B8%E5%8F%8A%E6%9C%9F%E8%B2%A8%E4%BA%8B%E5%8B%99%E7%9B%A3%E5%AF%9F%E5%A7%94%E5%93%A1%E6%9C%83%E6%8C%81%E7%89%8C%E4%BA%BA%E6%88%96%E8%A8%BB%E5%86%8A%E4%BA%BA%E6%93%8D%E5%AE</w:t>
        </w:r>
        <w:r>
          <w:t>%88%E6%BA%96%E5%89%87.pdf</w:t>
        </w:r>
      </w:hyperlink>
    </w:p>
    <w:p w:rsidR="002B1B8F" w:rsidRDefault="00144A4C">
      <w:pPr>
        <w:pStyle w:val="BodyText"/>
      </w:pPr>
      <w:hyperlink w:anchor="_ftnref4">
        <w:r>
          <w:rPr>
            <w:vertAlign w:val="superscript"/>
          </w:rPr>
          <w:t>[4]</w:t>
        </w:r>
      </w:hyperlink>
      <w:r>
        <w:t xml:space="preserve"> </w:t>
      </w:r>
      <w:r>
        <w:t>为客户提供合理适当建议的责任载于《操守准则》第</w:t>
      </w:r>
      <w:r>
        <w:t>5.2</w:t>
      </w:r>
      <w:r>
        <w:t>段，并经由在</w:t>
      </w:r>
      <w:r>
        <w:t>2016</w:t>
      </w:r>
      <w:r>
        <w:t>年</w:t>
      </w:r>
      <w:r>
        <w:t>12</w:t>
      </w:r>
      <w:r>
        <w:t>月发表的《有关触发为客户提供合理适当建议的责任的常见问题》和《有关遵守为客户提供合理适当建议的责任的常见问题》作补充：</w:t>
      </w:r>
      <w:hyperlink r:id="rId12">
        <w:r>
          <w:t>https://sc.sfc.hk/gb/www.sfc.hk/web/TC/faqs/intemediaries/supervision/triggering-of-suitability-obligations-c/triggering-of-suitability-obligations-c.html</w:t>
        </w:r>
      </w:hyperlink>
      <w:r>
        <w:t>，</w:t>
      </w:r>
      <w:hyperlink r:id="rId13">
        <w:r>
          <w:t>https://sc.sfc.hk/gb/www.sfc.hk/web/TC/faqs/intemediaries/supervision/compliance-with-suitability-obl</w:t>
        </w:r>
        <w:r>
          <w:t>igations/compliance-with-suitability-obligations-c.html</w:t>
        </w:r>
      </w:hyperlink>
    </w:p>
    <w:p w:rsidR="002B1B8F" w:rsidRDefault="00144A4C">
      <w:pPr>
        <w:pStyle w:val="BodyText"/>
      </w:pPr>
      <w:hyperlink w:anchor="_ftnref5">
        <w:r>
          <w:rPr>
            <w:vertAlign w:val="superscript"/>
          </w:rPr>
          <w:t>[5]</w:t>
        </w:r>
      </w:hyperlink>
      <w:r>
        <w:t xml:space="preserve"> </w:t>
      </w:r>
      <w:r>
        <w:t>请参考证监会</w:t>
      </w:r>
      <w:r>
        <w:t>2010</w:t>
      </w:r>
      <w:r>
        <w:t>年</w:t>
      </w:r>
      <w:r>
        <w:t>5</w:t>
      </w:r>
      <w:r>
        <w:t>月</w:t>
      </w:r>
      <w:r>
        <w:t>28</w:t>
      </w:r>
      <w:r>
        <w:t>日发出的有关销售</w:t>
      </w:r>
      <w:r>
        <w:t>/</w:t>
      </w:r>
      <w:r>
        <w:t>分销投资产品的责任的通函：</w:t>
      </w:r>
      <w:hyperlink r:id="rId14">
        <w:r>
          <w:t>https://www.sfc.hk/edistributionW</w:t>
        </w:r>
        <w:r>
          <w:t>eb/gateway/EN/circular/openFile?refNo=H578</w:t>
        </w:r>
      </w:hyperlink>
    </w:p>
    <w:p w:rsidR="002B1B8F" w:rsidRDefault="00144A4C">
      <w:pPr>
        <w:pStyle w:val="BodyText"/>
        <w:rPr>
          <w:lang w:eastAsia="zh-CN"/>
        </w:rPr>
      </w:pPr>
      <w:hyperlink w:anchor="_ftnref6">
        <w:r>
          <w:rPr>
            <w:vertAlign w:val="superscript"/>
            <w:lang w:eastAsia="zh-CN"/>
          </w:rPr>
          <w:t>[6]</w:t>
        </w:r>
      </w:hyperlink>
      <w:r>
        <w:rPr>
          <w:lang w:eastAsia="zh-CN"/>
        </w:rPr>
        <w:t xml:space="preserve"> </w:t>
      </w:r>
      <w:r>
        <w:rPr>
          <w:lang w:eastAsia="zh-CN"/>
        </w:rPr>
        <w:t>请参考证监会</w:t>
      </w:r>
      <w:r>
        <w:rPr>
          <w:lang w:eastAsia="zh-CN"/>
        </w:rPr>
        <w:t>2020</w:t>
      </w:r>
      <w:r>
        <w:rPr>
          <w:lang w:eastAsia="zh-CN"/>
        </w:rPr>
        <w:t>年</w:t>
      </w:r>
      <w:r>
        <w:rPr>
          <w:lang w:eastAsia="zh-CN"/>
        </w:rPr>
        <w:t>3</w:t>
      </w:r>
      <w:r>
        <w:rPr>
          <w:lang w:eastAsia="zh-CN"/>
        </w:rPr>
        <w:t>月</w:t>
      </w:r>
      <w:r>
        <w:rPr>
          <w:lang w:eastAsia="zh-CN"/>
        </w:rPr>
        <w:t>27</w:t>
      </w:r>
      <w:r>
        <w:rPr>
          <w:lang w:eastAsia="zh-CN"/>
        </w:rPr>
        <w:t>日发出的致证监会认可基金的管理公司、受托人及保管人的通函：</w:t>
      </w:r>
      <w:r>
        <w:rPr>
          <w:lang w:eastAsia="zh-CN"/>
        </w:rPr>
        <w:t xml:space="preserve"> </w:t>
      </w:r>
      <w:hyperlink r:id="rId15">
        <w:r>
          <w:rPr>
            <w:lang w:eastAsia="zh-CN"/>
          </w:rPr>
          <w:t>https://sc.sfc.hk/gb/www.</w:t>
        </w:r>
        <w:r>
          <w:rPr>
            <w:lang w:eastAsia="zh-CN"/>
          </w:rPr>
          <w:t>sfc.hk/edistributionWeb/gateway/TC/circular/doc?refNo=20EC22</w:t>
        </w:r>
      </w:hyperlink>
    </w:p>
    <w:p w:rsidR="002B1B8F" w:rsidRDefault="00144A4C">
      <w:pPr>
        <w:pStyle w:val="DisclaimerBold"/>
        <w:rPr>
          <w:lang w:eastAsia="zh-CN"/>
        </w:rPr>
      </w:pPr>
      <w:r>
        <w:rPr>
          <w:lang w:eastAsia="zh-CN"/>
        </w:rPr>
        <w:t>此法讯仅为提供相关资料信息之用，其内容并</w:t>
      </w:r>
    </w:p>
    <w:p w:rsidR="002B1B8F" w:rsidRDefault="00144A4C">
      <w:pPr>
        <w:pStyle w:val="Disclaimer"/>
        <w:rPr>
          <w:lang w:eastAsia="zh-CN"/>
        </w:rPr>
      </w:pPr>
      <w:r>
        <w:rPr>
          <w:lang w:eastAsia="zh-CN"/>
        </w:rPr>
        <w:t>不构成法律建议及个案的法律分析。</w:t>
      </w:r>
    </w:p>
    <w:p w:rsidR="002B1B8F" w:rsidRDefault="00144A4C">
      <w:pPr>
        <w:pStyle w:val="Disclaimer"/>
        <w:rPr>
          <w:lang w:eastAsia="zh-CN"/>
        </w:rPr>
      </w:pPr>
      <w:r>
        <w:rPr>
          <w:lang w:eastAsia="zh-CN"/>
        </w:rPr>
        <w:t>此法讯的发送并不是为了在易周律师行与用户或浏览者之间建立一种律师与客户之关系。</w:t>
      </w:r>
    </w:p>
    <w:p w:rsidR="002B1B8F" w:rsidRDefault="00144A4C">
      <w:pPr>
        <w:pStyle w:val="Disclaimer"/>
        <w:rPr>
          <w:lang w:eastAsia="zh-CN"/>
        </w:rPr>
      </w:pPr>
      <w:r>
        <w:rPr>
          <w:lang w:eastAsia="zh-CN"/>
        </w:rPr>
        <w:t>易周律师行并不对可从互联网获得的任何第三方内容负责。</w:t>
      </w:r>
    </w:p>
    <w:p w:rsidR="002B1B8F" w:rsidRDefault="00144A4C">
      <w:pPr>
        <w:pStyle w:val="Disclaimer"/>
        <w:rPr>
          <w:lang w:eastAsia="zh-CN"/>
        </w:rPr>
      </w:pPr>
      <w:r>
        <w:rPr>
          <w:lang w:eastAsia="zh-CN"/>
        </w:rPr>
        <w:t>如你不希望再收到易周法讯，请发送电邮至</w:t>
      </w:r>
      <w:r>
        <w:rPr>
          <w:lang w:eastAsia="zh-CN"/>
        </w:rPr>
        <w:t xml:space="preserve">  </w:t>
      </w:r>
      <w:hyperlink r:id="rId16">
        <w:r>
          <w:rPr>
            <w:lang w:eastAsia="zh-CN"/>
          </w:rPr>
          <w:t>unsubscribe@charltonslaw.com</w:t>
        </w:r>
      </w:hyperlink>
    </w:p>
    <w:p w:rsidR="002B1B8F" w:rsidRDefault="00144A4C">
      <w:pPr>
        <w:pStyle w:val="BlackStrips"/>
      </w:pPr>
      <w:r>
        <w:t xml:space="preserve">Charltons - </w:t>
      </w:r>
      <w:r>
        <w:t>香港法律</w:t>
      </w:r>
      <w:r>
        <w:t xml:space="preserve"> - 2020</w:t>
      </w:r>
      <w:r>
        <w:t>年</w:t>
      </w:r>
      <w:r>
        <w:t>4</w:t>
      </w:r>
      <w:r>
        <w:t>月</w:t>
      </w:r>
      <w:r>
        <w:t>9</w:t>
      </w:r>
      <w:r>
        <w:t>日</w:t>
      </w:r>
    </w:p>
    <w:sectPr w:rsidR="002B1B8F">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44A4C">
      <w:pPr>
        <w:spacing w:after="0"/>
      </w:pPr>
      <w:r>
        <w:separator/>
      </w:r>
    </w:p>
  </w:endnote>
  <w:endnote w:type="continuationSeparator" w:id="0">
    <w:p w:rsidR="00000000" w:rsidRDefault="00144A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B8F" w:rsidRDefault="00144A4C">
      <w:r>
        <w:separator/>
      </w:r>
    </w:p>
  </w:footnote>
  <w:footnote w:type="continuationSeparator" w:id="0">
    <w:p w:rsidR="002B1B8F" w:rsidRDefault="00144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182BD1"/>
    <w:multiLevelType w:val="multilevel"/>
    <w:tmpl w:val="BD748AC8"/>
    <w:lvl w:ilvl="0">
      <w:start w:val="1"/>
      <w:numFmt w:val="lowerRoman"/>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 w15:restartNumberingAfterBreak="0">
    <w:nsid w:val="E60B170A"/>
    <w:multiLevelType w:val="multilevel"/>
    <w:tmpl w:val="8CAE6634"/>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2" w15:restartNumberingAfterBreak="0">
    <w:nsid w:val="45BA504C"/>
    <w:multiLevelType w:val="multilevel"/>
    <w:tmpl w:val="87FC2FD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144A4C"/>
    <w:rsid w:val="002B1B8F"/>
    <w:rsid w:val="004E29B3"/>
    <w:rsid w:val="00590D07"/>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CE5008"/>
  <w15:docId w15:val="{0A18962B-3743-400B-9ED4-85B73F23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sfc.hk/gb/www.sfc.hk/edistributionWeb/gateway/TC/circular/intermediaries/supervision/doc?refNo=20EC25" TargetMode="External"/><Relationship Id="rId13" Type="http://schemas.openxmlformats.org/officeDocument/2006/relationships/hyperlink" Target="https://sc.sfc.hk/gb/www.sfc.hk/web/TC/faqs/intemediaries/supervision/compliance-with-suitability-obligations/compliance-with-suitability-obligations-c.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arltonslaw.com.cn/zheng-jian-hui-fa-bu-tong-han-ti-xing-zhong-jie-ren-ta-men-you-ze-ren-que-bao-wei-ke-hu-ti-gong-he-li-shi-dang-jian-yi-he-ji-shi-xiang-ke-hu-fa-fang-zi-liao" TargetMode="External"/><Relationship Id="rId12" Type="http://schemas.openxmlformats.org/officeDocument/2006/relationships/hyperlink" Target="https://sc.sfc.hk/gb/www.sfc.hk/web/TC/faqs/intemediaries/supervision/triggering-of-suitability-obligations-c/triggering-of-suitability-obligations-c.html%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unsubscribe@charltonslaw.com?subject=unsubscribe%20-Hong%20Kong%20La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fc.hk/web/TC/assets/components/codes/files-current/zh-hant/codes/%E8%AD%89%E5%88%B8%E5%8F%8A%E6%9C%9F%E8%B2%A8%E4%BA%8B%E5%8B%99%E7%9B%A3%E5%AF%9F%E5%A7%94%E5%93%A1%E6%9C%83%E6%8C%81%E7%89%8C%E4%BA%BA%E6%88%96%E8%A8%BB%E5%86%8A%E4%BA%BA%E6%93%8D%E5%AE%88%E6%BA%96%E5%89%87/%E8%AD%89%E5%88%B8%E5%8F%8A%E6%9C%9F%E8%B2%A8%E4%BA%8B%E5%8B%99%E7%9B%A3%E5%AF%9F%E5%A7%94%E5%93%A1%E6%9C%83%E6%8C%81%E7%89%8C%E4%BA%BA%E6%88%96%E8%A8%BB%E5%86%8A%E4%BA%BA%E6%93%8D%E5%AE%88%E6%BA%96%E5%89%87.pdf" TargetMode="External"/><Relationship Id="rId5" Type="http://schemas.openxmlformats.org/officeDocument/2006/relationships/footnotes" Target="footnotes.xml"/><Relationship Id="rId15" Type="http://schemas.openxmlformats.org/officeDocument/2006/relationships/hyperlink" Target="https://sc.sfc.hk/gb/www.sfc.hk/edistributionWeb/gateway/TC/circular/doc?refNo=20EC22%20" TargetMode="External"/><Relationship Id="rId10" Type="http://schemas.openxmlformats.org/officeDocument/2006/relationships/hyperlink" Target="https://www.sfc.hk/web/TC/assets/components/codes/files-current/zh-hant/codes/%E8%AD%89%E5%88%B8%E5%8F%8A%E6%9C%9F%E8%B2%A8%E4%BA%8B%E5%8B%99%E7%9B%A3%E5%AF%9F%E5%A7%94%E5%93%A1%E6%9C%83%E6%8C%81%E7%89%8C%E4%BA%BA%E6%88%96%E8%A8%BB%E5%86%8A%E4%BA%BA%E6%93%8D%E5%AE%88%E6%BA%96%E5%89%87/%E8%AD%89%E5%88%B8%E5%8F%8A%E6%9C%9F%E8%B2%A8%E4%BA%8B%E5%8B%99%E7%9B%A3%E5%AF%9F%E5%A7%94%E5%93%A1%E6%9C%83%E6%8C%81%E7%89%8C%E4%BA%BA%E6%88%96%E8%A8%BB%E5%86%8A%E4%BA%BA%E6%93%8D%E5%AE%88%E6%BA%96%E5%89%87.pdf" TargetMode="External"/><Relationship Id="rId4" Type="http://schemas.openxmlformats.org/officeDocument/2006/relationships/webSettings" Target="webSettings.xml"/><Relationship Id="rId9" Type="http://schemas.openxmlformats.org/officeDocument/2006/relationships/hyperlink" Target="https://sc.sfc.hk/gb/www.sfc.hk/edistributionWeb/gateway/TC/circular/intermediaries/supervision/doc?refNo=20EC25" TargetMode="External"/><Relationship Id="rId14" Type="http://schemas.openxmlformats.org/officeDocument/2006/relationships/hyperlink" Target="https://www.sfc.hk/edistributionWeb/gateway/EN/circular/openFile?refNo=H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830</Words>
  <Characters>4734</Characters>
  <Application>Microsoft Office Word</Application>
  <DocSecurity>0</DocSecurity>
  <Lines>39</Lines>
  <Paragraphs>11</Paragraphs>
  <ScaleCrop>false</ScaleCrop>
  <Company>Charltons</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2020-04-08T09:51:00Z</dcterms:created>
  <dcterms:modified xsi:type="dcterms:W3CDTF">2020-04-09T01:34:00Z</dcterms:modified>
</cp:coreProperties>
</file>