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A0" w:rsidRDefault="00AF22AC">
      <w:pPr>
        <w:pStyle w:val="BlackStrips"/>
      </w:pPr>
      <w:r>
        <w:t xml:space="preserve">Charltons - </w:t>
      </w:r>
      <w:r>
        <w:t>香港法律</w:t>
      </w:r>
      <w:r>
        <w:t xml:space="preserve"> - 2020</w:t>
      </w:r>
      <w:r>
        <w:t>年</w:t>
      </w:r>
      <w:r>
        <w:t>4</w:t>
      </w:r>
      <w:r>
        <w:t>月29</w:t>
      </w:r>
      <w:r>
        <w:t>日</w:t>
      </w:r>
    </w:p>
    <w:p w:rsidR="002F4AA0" w:rsidRDefault="00AF22AC">
      <w:pPr>
        <w:pStyle w:val="ReadOnline"/>
        <w:rPr>
          <w:lang w:eastAsia="zh-CN"/>
        </w:rPr>
      </w:pPr>
      <w:hyperlink r:id="rId7">
        <w:r>
          <w:rPr>
            <w:lang w:eastAsia="zh-CN"/>
          </w:rPr>
          <w:t>online version</w:t>
        </w:r>
      </w:hyperlink>
    </w:p>
    <w:p w:rsidR="002F4AA0" w:rsidRDefault="00AF22AC">
      <w:pPr>
        <w:pStyle w:val="Title"/>
        <w:rPr>
          <w:lang w:eastAsia="zh-CN"/>
        </w:rPr>
      </w:pPr>
      <w:r>
        <w:rPr>
          <w:lang w:eastAsia="zh-CN"/>
        </w:rPr>
        <w:t>2020</w:t>
      </w:r>
      <w:r>
        <w:rPr>
          <w:lang w:eastAsia="zh-CN"/>
        </w:rPr>
        <w:t>年第一季度香港交易所首次公开招股市场</w:t>
      </w:r>
    </w:p>
    <w:p w:rsidR="002F4AA0" w:rsidRDefault="00AF22AC">
      <w:pPr>
        <w:pStyle w:val="FirstParagraph"/>
        <w:rPr>
          <w:lang w:eastAsia="zh-CN"/>
        </w:rPr>
      </w:pPr>
      <w:r>
        <w:rPr>
          <w:lang w:eastAsia="zh-CN"/>
        </w:rPr>
        <w:t>虽然全球首次公开招股市场受到冠状病毒（COVID</w:t>
      </w:r>
      <w:r>
        <w:rPr>
          <w:rFonts w:asciiTheme="minorEastAsia" w:eastAsiaTheme="minorEastAsia" w:hAnsiTheme="minorEastAsia" w:hint="eastAsia"/>
          <w:lang w:eastAsia="zh-CN"/>
        </w:rPr>
        <w:t>-</w:t>
      </w:r>
      <w:r>
        <w:rPr>
          <w:lang w:eastAsia="zh-CN"/>
        </w:rPr>
        <w:t>19</w:t>
      </w:r>
      <w:r>
        <w:rPr>
          <w:lang w:eastAsia="zh-CN"/>
        </w:rPr>
        <w:t>）大流行的冲击，</w:t>
      </w:r>
      <w:r>
        <w:rPr>
          <w:lang w:eastAsia="zh-CN"/>
        </w:rPr>
        <w:t>2020</w:t>
      </w:r>
      <w:r>
        <w:rPr>
          <w:lang w:eastAsia="zh-CN"/>
        </w:rPr>
        <w:t>年第一季度香港及中国内地的首次公开招股市场表现仍然良好，其中上海证券交易所荣登首次公开招股集资额榜首（</w:t>
      </w:r>
      <w:r>
        <w:rPr>
          <w:lang w:eastAsia="zh-CN"/>
        </w:rPr>
        <w:t>99</w:t>
      </w:r>
      <w:r>
        <w:rPr>
          <w:lang w:eastAsia="zh-CN"/>
        </w:rPr>
        <w:t>亿美元）（主要是因为科创板非常受欢迎），而香港证券交易所的首次公开招股集资额（</w:t>
      </w:r>
      <w:r>
        <w:rPr>
          <w:lang w:eastAsia="zh-CN"/>
        </w:rPr>
        <w:t>18</w:t>
      </w:r>
      <w:r>
        <w:rPr>
          <w:lang w:eastAsia="zh-CN"/>
        </w:rPr>
        <w:t>亿美元）位列第五（相比</w:t>
      </w:r>
      <w:r>
        <w:rPr>
          <w:lang w:eastAsia="zh-CN"/>
        </w:rPr>
        <w:t>2019</w:t>
      </w:r>
      <w:r>
        <w:rPr>
          <w:lang w:eastAsia="zh-CN"/>
        </w:rPr>
        <w:t>年第一季度首次公开招股收益</w:t>
      </w:r>
      <w:r>
        <w:rPr>
          <w:lang w:eastAsia="zh-CN"/>
        </w:rPr>
        <w:t>26</w:t>
      </w:r>
      <w:r>
        <w:rPr>
          <w:lang w:eastAsia="zh-CN"/>
        </w:rPr>
        <w:t>亿美元，位列第二）。</w:t>
      </w:r>
      <w:hyperlink w:anchor="_ftn1">
        <w:r>
          <w:rPr>
            <w:lang w:eastAsia="zh-CN"/>
          </w:rPr>
          <w:t>[1]</w:t>
        </w:r>
      </w:hyperlink>
      <w:r>
        <w:rPr>
          <w:lang w:eastAsia="zh-CN"/>
        </w:rPr>
        <w:t xml:space="preserve"> </w:t>
      </w:r>
      <w:r>
        <w:rPr>
          <w:lang w:eastAsia="zh-CN"/>
        </w:rPr>
        <w:t>另外，纳斯达克，泰国及纽约证券交易所分别位列第二，第三及第四。</w:t>
      </w:r>
      <w:hyperlink w:anchor="_ftn2">
        <w:r>
          <w:rPr>
            <w:lang w:eastAsia="zh-CN"/>
          </w:rPr>
          <w:t>[2]</w:t>
        </w:r>
      </w:hyperlink>
    </w:p>
    <w:p w:rsidR="002F4AA0" w:rsidRDefault="00AF22AC">
      <w:pPr>
        <w:pStyle w:val="BodyText"/>
        <w:rPr>
          <w:lang w:eastAsia="zh-CN"/>
        </w:rPr>
      </w:pPr>
      <w:r>
        <w:rPr>
          <w:lang w:eastAsia="zh-CN"/>
        </w:rPr>
        <w:t>不过，全球首次公开招股市场在</w:t>
      </w:r>
      <w:r>
        <w:rPr>
          <w:lang w:eastAsia="zh-CN"/>
        </w:rPr>
        <w:t>2020</w:t>
      </w:r>
      <w:r>
        <w:rPr>
          <w:lang w:eastAsia="zh-CN"/>
        </w:rPr>
        <w:t>年第一季度前两个月仍然强劲，</w:t>
      </w:r>
      <w:r>
        <w:rPr>
          <w:lang w:eastAsia="zh-CN"/>
        </w:rPr>
        <w:t>2019</w:t>
      </w:r>
      <w:r>
        <w:rPr>
          <w:lang w:eastAsia="zh-CN"/>
        </w:rPr>
        <w:t>年第四季度的势头仍在持续着，带来了</w:t>
      </w:r>
      <w:r>
        <w:rPr>
          <w:lang w:eastAsia="zh-CN"/>
        </w:rPr>
        <w:t>11%</w:t>
      </w:r>
      <w:r>
        <w:rPr>
          <w:lang w:eastAsia="zh-CN"/>
        </w:rPr>
        <w:t>的新增交易及</w:t>
      </w:r>
      <w:r>
        <w:rPr>
          <w:lang w:eastAsia="zh-CN"/>
        </w:rPr>
        <w:t>89%</w:t>
      </w:r>
      <w:r>
        <w:rPr>
          <w:lang w:eastAsia="zh-CN"/>
        </w:rPr>
        <w:t>的新增融资（相较于</w:t>
      </w:r>
      <w:r>
        <w:rPr>
          <w:lang w:eastAsia="zh-CN"/>
        </w:rPr>
        <w:t>2019</w:t>
      </w:r>
      <w:r>
        <w:rPr>
          <w:lang w:eastAsia="zh-CN"/>
        </w:rPr>
        <w:t>年第一季度而言）。</w:t>
      </w:r>
      <w:hyperlink w:anchor="_ftn3">
        <w:r>
          <w:rPr>
            <w:lang w:eastAsia="zh-CN"/>
          </w:rPr>
          <w:t>[3]</w:t>
        </w:r>
      </w:hyperlink>
    </w:p>
    <w:p w:rsidR="002F4AA0" w:rsidRDefault="00AF22AC">
      <w:pPr>
        <w:pStyle w:val="BodyText"/>
        <w:rPr>
          <w:lang w:eastAsia="zh-CN"/>
        </w:rPr>
      </w:pPr>
      <w:r>
        <w:rPr>
          <w:lang w:eastAsia="zh-CN"/>
        </w:rPr>
        <w:t>另外，鉴于一些地缘政治不确定性预期的消退，主要是英国脱欧局势趋于明朗以及贸易紧张局势缓和，可以预计首次公开招股市场已准备好再度活跃起来，但是由于疫情的发展及对世界各地经济的影响，三月份市场大幅放缓。</w:t>
      </w:r>
    </w:p>
    <w:p w:rsidR="002F4AA0" w:rsidRDefault="00AF22AC">
      <w:pPr>
        <w:pStyle w:val="BodyText"/>
        <w:rPr>
          <w:lang w:eastAsia="zh-CN"/>
        </w:rPr>
      </w:pPr>
      <w:r>
        <w:rPr>
          <w:lang w:eastAsia="zh-CN"/>
        </w:rPr>
        <w:t>香港在交易数量方面领先，之后是上海，东京及纳斯达克</w:t>
      </w:r>
      <w:r>
        <w:rPr>
          <w:lang w:eastAsia="zh-CN"/>
        </w:rPr>
        <w:t>，其中数工业，科技及医疗保健行业最为活跃。</w:t>
      </w:r>
      <w:hyperlink w:anchor="_ftn4">
        <w:r>
          <w:rPr>
            <w:lang w:eastAsia="zh-CN"/>
          </w:rPr>
          <w:t>[4]</w:t>
        </w:r>
      </w:hyperlink>
    </w:p>
    <w:p w:rsidR="002F4AA0" w:rsidRDefault="00AF22AC">
      <w:pPr>
        <w:pStyle w:val="BodyText"/>
        <w:rPr>
          <w:lang w:eastAsia="zh-CN"/>
        </w:rPr>
      </w:pPr>
      <w:r>
        <w:rPr>
          <w:lang w:eastAsia="zh-CN"/>
        </w:rPr>
        <w:t>以下是对</w:t>
      </w:r>
      <w:r>
        <w:rPr>
          <w:lang w:eastAsia="zh-CN"/>
        </w:rPr>
        <w:t>2020</w:t>
      </w:r>
      <w:r>
        <w:rPr>
          <w:lang w:eastAsia="zh-CN"/>
        </w:rPr>
        <w:t>年第一季度香港及中国内陆首次公开招股市场表现的概述及今年剩余时间的展望。</w:t>
      </w:r>
    </w:p>
    <w:p w:rsidR="002F4AA0" w:rsidRDefault="00AF22AC">
      <w:pPr>
        <w:pStyle w:val="BodyText"/>
        <w:rPr>
          <w:lang w:eastAsia="zh-CN"/>
        </w:rPr>
      </w:pPr>
      <w:r>
        <w:rPr>
          <w:lang w:eastAsia="zh-CN"/>
        </w:rPr>
        <w:t>1. 2020</w:t>
      </w:r>
      <w:r>
        <w:rPr>
          <w:lang w:eastAsia="zh-CN"/>
        </w:rPr>
        <w:t>年第一季度香港首次公开招股市场表现</w:t>
      </w:r>
    </w:p>
    <w:p w:rsidR="002F4AA0" w:rsidRDefault="00AF22AC">
      <w:pPr>
        <w:pStyle w:val="BodyText"/>
        <w:rPr>
          <w:lang w:eastAsia="zh-CN"/>
        </w:rPr>
      </w:pPr>
      <w:r>
        <w:rPr>
          <w:lang w:eastAsia="zh-CN"/>
        </w:rPr>
        <w:t>2020</w:t>
      </w:r>
      <w:r>
        <w:rPr>
          <w:lang w:eastAsia="zh-CN"/>
        </w:rPr>
        <w:t>年第一季度香港证券交易所共有</w:t>
      </w:r>
      <w:r>
        <w:rPr>
          <w:lang w:eastAsia="zh-CN"/>
        </w:rPr>
        <w:t>37</w:t>
      </w:r>
      <w:r>
        <w:rPr>
          <w:lang w:eastAsia="zh-CN"/>
        </w:rPr>
        <w:t>宗首次公开招股，其中</w:t>
      </w:r>
      <w:r>
        <w:rPr>
          <w:lang w:eastAsia="zh-CN"/>
        </w:rPr>
        <w:t>35</w:t>
      </w:r>
      <w:r>
        <w:rPr>
          <w:lang w:eastAsia="zh-CN"/>
        </w:rPr>
        <w:t>宗主板，</w:t>
      </w:r>
      <w:r>
        <w:rPr>
          <w:lang w:eastAsia="zh-CN"/>
        </w:rPr>
        <w:t>2</w:t>
      </w:r>
      <w:r>
        <w:rPr>
          <w:lang w:eastAsia="zh-CN"/>
        </w:rPr>
        <w:t>宗创业板，共筹集资金</w:t>
      </w:r>
      <w:r>
        <w:rPr>
          <w:lang w:eastAsia="zh-CN"/>
        </w:rPr>
        <w:t>141</w:t>
      </w:r>
      <w:r>
        <w:rPr>
          <w:lang w:eastAsia="zh-CN"/>
        </w:rPr>
        <w:t>亿港元，较</w:t>
      </w:r>
      <w:r>
        <w:rPr>
          <w:lang w:eastAsia="zh-CN"/>
        </w:rPr>
        <w:t>2019</w:t>
      </w:r>
      <w:r>
        <w:rPr>
          <w:lang w:eastAsia="zh-CN"/>
        </w:rPr>
        <w:t>年第一季度下降了</w:t>
      </w:r>
      <w:r>
        <w:rPr>
          <w:lang w:eastAsia="zh-CN"/>
        </w:rPr>
        <w:t>31%</w:t>
      </w:r>
      <w:r>
        <w:rPr>
          <w:lang w:eastAsia="zh-CN"/>
        </w:rPr>
        <w:t>，</w:t>
      </w:r>
      <w:hyperlink w:anchor="_ftn5">
        <w:r>
          <w:rPr>
            <w:lang w:eastAsia="zh-CN"/>
          </w:rPr>
          <w:t>[5]</w:t>
        </w:r>
      </w:hyperlink>
      <w:r>
        <w:rPr>
          <w:lang w:eastAsia="zh-CN"/>
        </w:rPr>
        <w:t xml:space="preserve"> </w:t>
      </w:r>
      <w:r>
        <w:rPr>
          <w:lang w:eastAsia="zh-CN"/>
        </w:rPr>
        <w:t>不过上市公司的数量略有增长。</w:t>
      </w:r>
      <w:hyperlink w:anchor="_ftn6">
        <w:r>
          <w:rPr>
            <w:lang w:eastAsia="zh-CN"/>
          </w:rPr>
          <w:t>[6]</w:t>
        </w:r>
      </w:hyperlink>
      <w:r>
        <w:rPr>
          <w:lang w:eastAsia="zh-CN"/>
        </w:rPr>
        <w:t xml:space="preserve"> </w:t>
      </w:r>
      <w:r>
        <w:rPr>
          <w:lang w:eastAsia="zh-CN"/>
        </w:rPr>
        <w:t>首次公开招股集资额下跌主要是因为缺乏大中型企业上市，而且大多数上市公司（</w:t>
      </w:r>
      <w:r>
        <w:rPr>
          <w:lang w:eastAsia="zh-CN"/>
        </w:rPr>
        <w:t>32</w:t>
      </w:r>
      <w:r>
        <w:rPr>
          <w:lang w:eastAsia="zh-CN"/>
        </w:rPr>
        <w:t>家）集资额少于</w:t>
      </w:r>
      <w:r>
        <w:rPr>
          <w:lang w:eastAsia="zh-CN"/>
        </w:rPr>
        <w:t>10</w:t>
      </w:r>
      <w:r>
        <w:rPr>
          <w:lang w:eastAsia="zh-CN"/>
        </w:rPr>
        <w:t>亿港元。</w:t>
      </w:r>
      <w:hyperlink w:anchor="_ftn7">
        <w:r>
          <w:rPr>
            <w:lang w:eastAsia="zh-CN"/>
          </w:rPr>
          <w:t>[7]</w:t>
        </w:r>
      </w:hyperlink>
    </w:p>
    <w:p w:rsidR="002F4AA0" w:rsidRDefault="00AF22AC">
      <w:pPr>
        <w:pStyle w:val="BodyText"/>
        <w:rPr>
          <w:lang w:eastAsia="zh-CN"/>
        </w:rPr>
      </w:pPr>
      <w:r>
        <w:rPr>
          <w:lang w:eastAsia="zh-CN"/>
        </w:rPr>
        <w:t>在行业方面，基础设施和房地产占市场主导，首次公开招股总数中占</w:t>
      </w:r>
      <w:r>
        <w:rPr>
          <w:lang w:eastAsia="zh-CN"/>
        </w:rPr>
        <w:t>34%</w:t>
      </w:r>
      <w:r>
        <w:rPr>
          <w:lang w:eastAsia="zh-CN"/>
        </w:rPr>
        <w:t>，总集资额中占</w:t>
      </w:r>
      <w:r>
        <w:rPr>
          <w:lang w:eastAsia="zh-CN"/>
        </w:rPr>
        <w:t>26%</w:t>
      </w:r>
      <w:r>
        <w:rPr>
          <w:lang w:eastAsia="zh-CN"/>
        </w:rPr>
        <w:t>，随后是工业（首次公开招股总数的</w:t>
      </w:r>
      <w:r>
        <w:rPr>
          <w:lang w:eastAsia="zh-CN"/>
        </w:rPr>
        <w:t>20%</w:t>
      </w:r>
      <w:r>
        <w:rPr>
          <w:lang w:eastAsia="zh-CN"/>
        </w:rPr>
        <w:t>，总集资额的</w:t>
      </w:r>
      <w:r>
        <w:rPr>
          <w:lang w:eastAsia="zh-CN"/>
        </w:rPr>
        <w:t>7%</w:t>
      </w:r>
      <w:r>
        <w:rPr>
          <w:lang w:eastAsia="zh-CN"/>
        </w:rPr>
        <w:t>）及科技、媒体、通信业（首次公开招股总数的</w:t>
      </w:r>
      <w:r>
        <w:rPr>
          <w:lang w:eastAsia="zh-CN"/>
        </w:rPr>
        <w:t>17%</w:t>
      </w:r>
      <w:r>
        <w:rPr>
          <w:lang w:eastAsia="zh-CN"/>
        </w:rPr>
        <w:t>，总集资额的</w:t>
      </w:r>
      <w:r>
        <w:rPr>
          <w:lang w:eastAsia="zh-CN"/>
        </w:rPr>
        <w:t>18%</w:t>
      </w:r>
      <w:r>
        <w:rPr>
          <w:lang w:eastAsia="zh-CN"/>
        </w:rPr>
        <w:t>）。</w:t>
      </w:r>
      <w:hyperlink w:anchor="_ftn8">
        <w:r>
          <w:rPr>
            <w:lang w:eastAsia="zh-CN"/>
          </w:rPr>
          <w:t>[8]</w:t>
        </w:r>
      </w:hyperlink>
      <w:r>
        <w:rPr>
          <w:lang w:eastAsia="zh-CN"/>
        </w:rPr>
        <w:t xml:space="preserve"> </w:t>
      </w:r>
      <w:r>
        <w:rPr>
          <w:lang w:eastAsia="zh-CN"/>
        </w:rPr>
        <w:t>随着大湾区及香港本地项目（数码港及科技园</w:t>
      </w:r>
      <w:r>
        <w:rPr>
          <w:lang w:eastAsia="zh-CN"/>
        </w:rPr>
        <w:t>）的发展，基础设施及房地产业预期会继续活跃，同时科技、媒体、通信业也会因为</w:t>
      </w:r>
      <w:r>
        <w:rPr>
          <w:lang w:eastAsia="zh-CN"/>
        </w:rPr>
        <w:t>COVID-19</w:t>
      </w:r>
      <w:r>
        <w:rPr>
          <w:lang w:eastAsia="zh-CN"/>
        </w:rPr>
        <w:t>对基于距离服务依赖性的不断增强而有望增长。</w:t>
      </w:r>
      <w:hyperlink w:anchor="_ftn9">
        <w:r>
          <w:rPr>
            <w:lang w:eastAsia="zh-CN"/>
          </w:rPr>
          <w:t>[9]</w:t>
        </w:r>
      </w:hyperlink>
    </w:p>
    <w:p w:rsidR="002F4AA0" w:rsidRDefault="00AF22AC">
      <w:pPr>
        <w:pStyle w:val="BodyText"/>
        <w:rPr>
          <w:lang w:eastAsia="zh-CN"/>
        </w:rPr>
      </w:pPr>
      <w:r>
        <w:rPr>
          <w:lang w:eastAsia="zh-CN"/>
        </w:rPr>
        <w:t>值得注意的是，第一季度的首次公开招股中规模最大的是一家中国餐饮运营商及品牌经营商九毛九国际集团（集资</w:t>
      </w:r>
      <w:r>
        <w:rPr>
          <w:lang w:eastAsia="zh-CN"/>
        </w:rPr>
        <w:t>25</w:t>
      </w:r>
      <w:r>
        <w:rPr>
          <w:lang w:eastAsia="zh-CN"/>
        </w:rPr>
        <w:t>亿港元），其次是制药商诺诚健华医药有限公司，其依据香港交易所《主板上市规则》第</w:t>
      </w:r>
      <w:r>
        <w:rPr>
          <w:lang w:eastAsia="zh-CN"/>
        </w:rPr>
        <w:t>18A</w:t>
      </w:r>
      <w:r>
        <w:rPr>
          <w:lang w:eastAsia="zh-CN"/>
        </w:rPr>
        <w:t>章（未有收入生物科技公司）条文于</w:t>
      </w:r>
      <w:r>
        <w:rPr>
          <w:lang w:eastAsia="zh-CN"/>
        </w:rPr>
        <w:t>2020</w:t>
      </w:r>
      <w:r>
        <w:rPr>
          <w:lang w:eastAsia="zh-CN"/>
        </w:rPr>
        <w:t>年</w:t>
      </w:r>
      <w:r>
        <w:rPr>
          <w:lang w:eastAsia="zh-CN"/>
        </w:rPr>
        <w:t>3</w:t>
      </w:r>
      <w:r>
        <w:rPr>
          <w:lang w:eastAsia="zh-CN"/>
        </w:rPr>
        <w:t>月份上市，首次公开招股集资</w:t>
      </w:r>
      <w:r>
        <w:rPr>
          <w:lang w:eastAsia="zh-CN"/>
        </w:rPr>
        <w:t>22</w:t>
      </w:r>
      <w:r>
        <w:rPr>
          <w:lang w:eastAsia="zh-CN"/>
        </w:rPr>
        <w:t>亿港元，致使根据该章条文上市的未有收入生物科技公司总数</w:t>
      </w:r>
      <w:r>
        <w:rPr>
          <w:lang w:eastAsia="zh-CN"/>
        </w:rPr>
        <w:t>达致</w:t>
      </w:r>
      <w:r>
        <w:rPr>
          <w:lang w:eastAsia="zh-CN"/>
        </w:rPr>
        <w:t>15</w:t>
      </w:r>
      <w:r>
        <w:rPr>
          <w:lang w:eastAsia="zh-CN"/>
        </w:rPr>
        <w:t>家。</w:t>
      </w:r>
    </w:p>
    <w:p w:rsidR="002F4AA0" w:rsidRDefault="00AF22AC">
      <w:pPr>
        <w:pStyle w:val="BodyText"/>
        <w:rPr>
          <w:lang w:eastAsia="zh-CN"/>
        </w:rPr>
      </w:pPr>
      <w:r>
        <w:rPr>
          <w:lang w:eastAsia="zh-CN"/>
        </w:rPr>
        <w:t>2. 2020</w:t>
      </w:r>
      <w:r>
        <w:rPr>
          <w:lang w:eastAsia="zh-CN"/>
        </w:rPr>
        <w:t>年第一季度中国内陆首次公开招股市场表现</w:t>
      </w:r>
    </w:p>
    <w:p w:rsidR="002F4AA0" w:rsidRDefault="00AF22AC">
      <w:pPr>
        <w:pStyle w:val="BodyText"/>
        <w:rPr>
          <w:lang w:eastAsia="zh-CN"/>
        </w:rPr>
      </w:pPr>
      <w:r>
        <w:rPr>
          <w:lang w:eastAsia="zh-CN"/>
        </w:rPr>
        <w:t>2020</w:t>
      </w:r>
      <w:r>
        <w:rPr>
          <w:lang w:eastAsia="zh-CN"/>
        </w:rPr>
        <w:t>年第一季度中国内陆证券交易所首次公开招股共</w:t>
      </w:r>
      <w:r>
        <w:rPr>
          <w:lang w:eastAsia="zh-CN"/>
        </w:rPr>
        <w:t>51</w:t>
      </w:r>
      <w:r>
        <w:rPr>
          <w:lang w:eastAsia="zh-CN"/>
        </w:rPr>
        <w:t>宗，集资额</w:t>
      </w:r>
      <w:r>
        <w:rPr>
          <w:lang w:eastAsia="zh-CN"/>
        </w:rPr>
        <w:t>781</w:t>
      </w:r>
      <w:r>
        <w:rPr>
          <w:lang w:eastAsia="zh-CN"/>
        </w:rPr>
        <w:t>亿人民币，与</w:t>
      </w:r>
      <w:r>
        <w:rPr>
          <w:lang w:eastAsia="zh-CN"/>
        </w:rPr>
        <w:t>2019</w:t>
      </w:r>
      <w:r>
        <w:rPr>
          <w:lang w:eastAsia="zh-CN"/>
        </w:rPr>
        <w:t>年第一季度相比，首次公开招股数量增长了</w:t>
      </w:r>
      <w:r>
        <w:rPr>
          <w:lang w:eastAsia="zh-CN"/>
        </w:rPr>
        <w:t>65%</w:t>
      </w:r>
      <w:r>
        <w:rPr>
          <w:lang w:eastAsia="zh-CN"/>
        </w:rPr>
        <w:t>，集资额增加</w:t>
      </w:r>
      <w:r>
        <w:rPr>
          <w:lang w:eastAsia="zh-CN"/>
        </w:rPr>
        <w:t>205%</w:t>
      </w:r>
      <w:r>
        <w:rPr>
          <w:lang w:eastAsia="zh-CN"/>
        </w:rPr>
        <w:t>。</w:t>
      </w:r>
      <w:hyperlink w:anchor="_ftn10">
        <w:r>
          <w:rPr>
            <w:lang w:eastAsia="zh-CN"/>
          </w:rPr>
          <w:t>[10]</w:t>
        </w:r>
      </w:hyperlink>
      <w:r>
        <w:rPr>
          <w:lang w:eastAsia="zh-CN"/>
        </w:rPr>
        <w:t>其中，上海证券交易所及上海证券交易所科创板共</w:t>
      </w:r>
      <w:r>
        <w:rPr>
          <w:lang w:eastAsia="zh-CN"/>
        </w:rPr>
        <w:t>34</w:t>
      </w:r>
      <w:r>
        <w:rPr>
          <w:lang w:eastAsia="zh-CN"/>
        </w:rPr>
        <w:t>宗，集资</w:t>
      </w:r>
      <w:r>
        <w:rPr>
          <w:lang w:eastAsia="zh-CN"/>
        </w:rPr>
        <w:t>685</w:t>
      </w:r>
      <w:r>
        <w:rPr>
          <w:lang w:eastAsia="zh-CN"/>
        </w:rPr>
        <w:t>亿人民币；深圳证券交易所</w:t>
      </w:r>
      <w:r>
        <w:rPr>
          <w:lang w:eastAsia="zh-CN"/>
        </w:rPr>
        <w:t>17</w:t>
      </w:r>
      <w:r>
        <w:rPr>
          <w:lang w:eastAsia="zh-CN"/>
        </w:rPr>
        <w:t>宗，集资</w:t>
      </w:r>
      <w:r>
        <w:rPr>
          <w:lang w:eastAsia="zh-CN"/>
        </w:rPr>
        <w:t>96</w:t>
      </w:r>
      <w:r>
        <w:rPr>
          <w:lang w:eastAsia="zh-CN"/>
        </w:rPr>
        <w:t>亿人民币。</w:t>
      </w:r>
      <w:hyperlink w:anchor="_ftn11">
        <w:r>
          <w:rPr>
            <w:lang w:eastAsia="zh-CN"/>
          </w:rPr>
          <w:t>[11]</w:t>
        </w:r>
      </w:hyperlink>
    </w:p>
    <w:p w:rsidR="002F4AA0" w:rsidRDefault="00AF22AC">
      <w:pPr>
        <w:pStyle w:val="BodyText"/>
        <w:rPr>
          <w:lang w:eastAsia="zh-CN"/>
        </w:rPr>
      </w:pPr>
      <w:r>
        <w:rPr>
          <w:lang w:eastAsia="zh-CN"/>
        </w:rPr>
        <w:t>上海排名领先部分原因是有京沪高速铁路股份有</w:t>
      </w:r>
      <w:r>
        <w:rPr>
          <w:lang w:eastAsia="zh-CN"/>
        </w:rPr>
        <w:t>限公司的上市，集资</w:t>
      </w:r>
      <w:r>
        <w:rPr>
          <w:lang w:eastAsia="zh-CN"/>
        </w:rPr>
        <w:t>307</w:t>
      </w:r>
      <w:r>
        <w:rPr>
          <w:lang w:eastAsia="zh-CN"/>
        </w:rPr>
        <w:t>亿人民币，为</w:t>
      </w:r>
      <w:r>
        <w:rPr>
          <w:lang w:eastAsia="zh-CN"/>
        </w:rPr>
        <w:t>2020</w:t>
      </w:r>
      <w:r>
        <w:rPr>
          <w:lang w:eastAsia="zh-CN"/>
        </w:rPr>
        <w:t>年第一季度规模最大的</w:t>
      </w:r>
      <w:r>
        <w:rPr>
          <w:lang w:eastAsia="zh-CN"/>
        </w:rPr>
        <w:t>A</w:t>
      </w:r>
      <w:r>
        <w:rPr>
          <w:lang w:eastAsia="zh-CN"/>
        </w:rPr>
        <w:t>股首次公开招股，</w:t>
      </w:r>
      <w:hyperlink w:anchor="_ftn12">
        <w:r>
          <w:rPr>
            <w:lang w:eastAsia="zh-CN"/>
          </w:rPr>
          <w:t>[12]</w:t>
        </w:r>
      </w:hyperlink>
      <w:r>
        <w:rPr>
          <w:lang w:eastAsia="zh-CN"/>
        </w:rPr>
        <w:t>当时投资者兴趣浓厚。</w:t>
      </w:r>
    </w:p>
    <w:p w:rsidR="002F4AA0" w:rsidRDefault="00AF22AC">
      <w:pPr>
        <w:pStyle w:val="BodyText"/>
        <w:rPr>
          <w:lang w:eastAsia="zh-CN"/>
        </w:rPr>
      </w:pPr>
      <w:r>
        <w:rPr>
          <w:lang w:eastAsia="zh-CN"/>
        </w:rPr>
        <w:lastRenderedPageBreak/>
        <w:t>另一个因素是科创板市场（</w:t>
      </w:r>
      <w:r>
        <w:rPr>
          <w:lang w:eastAsia="zh-CN"/>
        </w:rPr>
        <w:t>2019</w:t>
      </w:r>
      <w:r>
        <w:rPr>
          <w:lang w:eastAsia="zh-CN"/>
        </w:rPr>
        <w:t>年</w:t>
      </w:r>
      <w:r>
        <w:rPr>
          <w:lang w:eastAsia="zh-CN"/>
        </w:rPr>
        <w:t>7</w:t>
      </w:r>
      <w:r>
        <w:rPr>
          <w:lang w:eastAsia="zh-CN"/>
        </w:rPr>
        <w:t>月份开板）的持续火爆（上海的</w:t>
      </w:r>
      <w:r>
        <w:rPr>
          <w:lang w:eastAsia="zh-CN"/>
        </w:rPr>
        <w:t>34</w:t>
      </w:r>
      <w:r>
        <w:rPr>
          <w:lang w:eastAsia="zh-CN"/>
        </w:rPr>
        <w:t>宗首次公开招股有</w:t>
      </w:r>
      <w:r>
        <w:rPr>
          <w:lang w:eastAsia="zh-CN"/>
        </w:rPr>
        <w:t>24</w:t>
      </w:r>
      <w:r>
        <w:rPr>
          <w:lang w:eastAsia="zh-CN"/>
        </w:rPr>
        <w:t>宗在科创板，集资</w:t>
      </w:r>
      <w:r>
        <w:rPr>
          <w:lang w:eastAsia="zh-CN"/>
        </w:rPr>
        <w:t>294</w:t>
      </w:r>
      <w:r>
        <w:rPr>
          <w:lang w:eastAsia="zh-CN"/>
        </w:rPr>
        <w:t>亿人民币）。</w:t>
      </w:r>
      <w:hyperlink w:anchor="_ftn13">
        <w:r>
          <w:rPr>
            <w:lang w:eastAsia="zh-CN"/>
          </w:rPr>
          <w:t>[13]</w:t>
        </w:r>
      </w:hyperlink>
      <w:r>
        <w:rPr>
          <w:lang w:eastAsia="zh-CN"/>
        </w:rPr>
        <w:t xml:space="preserve"> 2020</w:t>
      </w:r>
      <w:r>
        <w:rPr>
          <w:lang w:eastAsia="zh-CN"/>
        </w:rPr>
        <w:t>年第一季度</w:t>
      </w:r>
      <w:r>
        <w:rPr>
          <w:lang w:eastAsia="zh-CN"/>
        </w:rPr>
        <w:t>10</w:t>
      </w:r>
      <w:r>
        <w:rPr>
          <w:lang w:eastAsia="zh-CN"/>
        </w:rPr>
        <w:t>宗规模最大的</w:t>
      </w:r>
      <w:r>
        <w:rPr>
          <w:lang w:eastAsia="zh-CN"/>
        </w:rPr>
        <w:t>A</w:t>
      </w:r>
      <w:r>
        <w:rPr>
          <w:lang w:eastAsia="zh-CN"/>
        </w:rPr>
        <w:t>股首次公开招股中，有六家公司选择在科创板上市，包括北京石头世纪科技股份有限公司及华润微电子有限公司。</w:t>
      </w:r>
      <w:hyperlink w:anchor="_ftn14">
        <w:r>
          <w:rPr>
            <w:lang w:eastAsia="zh-CN"/>
          </w:rPr>
          <w:t>[14]</w:t>
        </w:r>
      </w:hyperlink>
      <w:r>
        <w:rPr>
          <w:lang w:eastAsia="zh-CN"/>
        </w:rPr>
        <w:t xml:space="preserve"> </w:t>
      </w:r>
      <w:r>
        <w:rPr>
          <w:lang w:eastAsia="zh-CN"/>
        </w:rPr>
        <w:t>鉴于上海证券交易所科创板透过纳入不同投票权及红筹股架构适应中国内陆的创新公司，科创板有望将继续在中国的首次公开招股市场上发挥重要作用。</w:t>
      </w:r>
    </w:p>
    <w:p w:rsidR="002F4AA0" w:rsidRDefault="00AF22AC">
      <w:pPr>
        <w:pStyle w:val="BodyText"/>
        <w:rPr>
          <w:lang w:eastAsia="zh-CN"/>
        </w:rPr>
      </w:pPr>
      <w:r>
        <w:rPr>
          <w:lang w:eastAsia="zh-CN"/>
        </w:rPr>
        <w:t>3. 2020</w:t>
      </w:r>
      <w:r>
        <w:rPr>
          <w:lang w:eastAsia="zh-CN"/>
        </w:rPr>
        <w:t>年香港首次公开招股市场展望</w:t>
      </w:r>
    </w:p>
    <w:p w:rsidR="002F4AA0" w:rsidRDefault="00AF22AC">
      <w:pPr>
        <w:pStyle w:val="BodyText"/>
        <w:rPr>
          <w:lang w:eastAsia="zh-CN"/>
        </w:rPr>
      </w:pPr>
      <w:r>
        <w:rPr>
          <w:lang w:eastAsia="zh-CN"/>
        </w:rPr>
        <w:t>预期全球市场状况将持续动荡，遏制</w:t>
      </w:r>
      <w:r>
        <w:rPr>
          <w:lang w:eastAsia="zh-CN"/>
        </w:rPr>
        <w:t>COVID-19</w:t>
      </w:r>
      <w:r>
        <w:rPr>
          <w:lang w:eastAsia="zh-CN"/>
        </w:rPr>
        <w:t>大流行对市场重获稳定至关重要。不过，首次公开招股准备工作正在进行，且在经济刺激及救济方案的推动下预计主要市场在中长期将恢复活动。</w:t>
      </w:r>
    </w:p>
    <w:p w:rsidR="002F4AA0" w:rsidRDefault="00AF22AC">
      <w:pPr>
        <w:pStyle w:val="BodyText"/>
      </w:pPr>
      <w:r>
        <w:rPr>
          <w:lang w:eastAsia="zh-CN"/>
        </w:rPr>
        <w:t>至于香港，预计未受市场波动影响的公司，特别是医疗保健及科技、媒体、通信行业内的公司，将透过数字路演及其他</w:t>
      </w:r>
      <w:r>
        <w:rPr>
          <w:lang w:eastAsia="zh-CN"/>
        </w:rPr>
        <w:t>方式适应现有状况及政府规定继续首次公开招股的准备工作，其中可能会进行首次公开招股的公司有腾讯支持的微医（在线医疗服务供应商）及中国电子商务巨头京东物流。</w:t>
      </w:r>
      <w:hyperlink w:anchor="_ftn15">
        <w:r>
          <w:t>[15]</w:t>
        </w:r>
      </w:hyperlink>
    </w:p>
    <w:p w:rsidR="002F4AA0" w:rsidRDefault="00AF22AC">
      <w:pPr>
        <w:pStyle w:val="BodyText"/>
      </w:pPr>
      <w:r>
        <w:t>还有诸多因素可能会刺激香港市场，包括：</w:t>
      </w:r>
    </w:p>
    <w:p w:rsidR="002F4AA0" w:rsidRDefault="00AF22AC">
      <w:pPr>
        <w:pStyle w:val="Compact"/>
        <w:numPr>
          <w:ilvl w:val="0"/>
          <w:numId w:val="2"/>
        </w:numPr>
        <w:rPr>
          <w:lang w:eastAsia="zh-CN"/>
        </w:rPr>
      </w:pPr>
      <w:r>
        <w:rPr>
          <w:lang w:eastAsia="zh-CN"/>
        </w:rPr>
        <w:t>鉴于地缘政治影响及</w:t>
      </w:r>
      <w:r>
        <w:rPr>
          <w:lang w:eastAsia="zh-CN"/>
        </w:rPr>
        <w:t>2019</w:t>
      </w:r>
      <w:r>
        <w:rPr>
          <w:lang w:eastAsia="zh-CN"/>
        </w:rPr>
        <w:t>年第四季度在美国上市的中国公司首次公开招股后的表现，不愿意在美国上市的中国公司越来越多；</w:t>
      </w:r>
      <w:hyperlink w:anchor="_ftn16">
        <w:r>
          <w:rPr>
            <w:lang w:eastAsia="zh-CN"/>
          </w:rPr>
          <w:t>[16]</w:t>
        </w:r>
      </w:hyperlink>
    </w:p>
    <w:p w:rsidR="002F4AA0" w:rsidRDefault="00AF22AC">
      <w:pPr>
        <w:pStyle w:val="Compact"/>
        <w:numPr>
          <w:ilvl w:val="0"/>
          <w:numId w:val="2"/>
        </w:numPr>
        <w:rPr>
          <w:lang w:eastAsia="zh-CN"/>
        </w:rPr>
      </w:pPr>
      <w:r>
        <w:rPr>
          <w:lang w:eastAsia="zh-CN"/>
        </w:rPr>
        <w:t>预期进行中国私有化交易及随后可能在香港或上海重新上市的公司数量会增长；</w:t>
      </w:r>
      <w:hyperlink w:anchor="_ftn17">
        <w:r>
          <w:rPr>
            <w:lang w:eastAsia="zh-CN"/>
          </w:rPr>
          <w:t>[17]</w:t>
        </w:r>
      </w:hyperlink>
      <w:r>
        <w:rPr>
          <w:lang w:eastAsia="zh-CN"/>
        </w:rPr>
        <w:t>及</w:t>
      </w:r>
    </w:p>
    <w:p w:rsidR="002F4AA0" w:rsidRDefault="00AF22AC">
      <w:pPr>
        <w:pStyle w:val="Compact"/>
        <w:numPr>
          <w:ilvl w:val="0"/>
          <w:numId w:val="2"/>
        </w:numPr>
        <w:rPr>
          <w:lang w:eastAsia="zh-CN"/>
        </w:rPr>
      </w:pPr>
      <w:r>
        <w:rPr>
          <w:lang w:eastAsia="zh-CN"/>
        </w:rPr>
        <w:t>香港交易所发出的《咨询文件</w:t>
      </w:r>
      <w:r>
        <w:rPr>
          <w:lang w:eastAsia="zh-CN"/>
        </w:rPr>
        <w:t>——</w:t>
      </w:r>
      <w:r>
        <w:rPr>
          <w:lang w:eastAsia="zh-CN"/>
        </w:rPr>
        <w:t>有关法团身份的不同投票权受益人》将准许公司从不同投票权中获利</w:t>
      </w:r>
    </w:p>
    <w:p w:rsidR="002F4AA0" w:rsidRDefault="00AF22AC">
      <w:r>
        <w:pict>
          <v:rect id="_x0000_i1025" style="width:0;height:1.5pt" o:hralign="center" o:hrstd="t" o:hr="t"/>
        </w:pict>
      </w:r>
    </w:p>
    <w:p w:rsidR="002F4AA0" w:rsidRDefault="00AF22AC" w:rsidP="00AF22AC">
      <w:pPr>
        <w:pStyle w:val="FirstParagraph"/>
        <w:jc w:val="left"/>
      </w:pPr>
      <w:hyperlink w:anchor="_ftnref1">
        <w:r>
          <w:t>[1]</w:t>
        </w:r>
      </w:hyperlink>
      <w:r>
        <w:t xml:space="preserve"> </w:t>
      </w:r>
      <w:hyperlink r:id="rId8">
        <w:r>
          <w:t>https://assets.kpmg/content/dam/kpmg/cn/pdf/en/2020/03/mainland-china-and-hong-kong-2020-q1-review-ipos-and-other-market-trends.pdf</w:t>
        </w:r>
      </w:hyperlink>
    </w:p>
    <w:p w:rsidR="002F4AA0" w:rsidRDefault="00AF22AC" w:rsidP="00AF22AC">
      <w:pPr>
        <w:pStyle w:val="BodyText"/>
        <w:jc w:val="left"/>
      </w:pPr>
      <w:hyperlink w:anchor="_ftnref2">
        <w:r>
          <w:t>[2]</w:t>
        </w:r>
      </w:hyperlink>
      <w:r>
        <w:t xml:space="preserve"> </w:t>
      </w:r>
      <w:hyperlink r:id="rId9">
        <w:r>
          <w:t>https://www.ey.com/en_lb/growth/ipo-trends-2020-q1</w:t>
        </w:r>
      </w:hyperlink>
    </w:p>
    <w:p w:rsidR="002F4AA0" w:rsidRDefault="00AF22AC" w:rsidP="00AF22AC">
      <w:pPr>
        <w:pStyle w:val="BodyText"/>
        <w:jc w:val="left"/>
      </w:pPr>
      <w:hyperlink w:anchor="_ftnref3">
        <w:r>
          <w:t>[3]</w:t>
        </w:r>
      </w:hyperlink>
      <w:r>
        <w:t xml:space="preserve"> </w:t>
      </w:r>
      <w:hyperlink r:id="rId10">
        <w:r>
          <w:t>https://www.ey.com/en_gl</w:t>
        </w:r>
        <w:r>
          <w:t>/news/2020/03/covid-19-pandemic-cuts-global-ipo-momentum-short-in-q1-2020</w:t>
        </w:r>
      </w:hyperlink>
    </w:p>
    <w:p w:rsidR="002F4AA0" w:rsidRDefault="00AF22AC" w:rsidP="00AF22AC">
      <w:pPr>
        <w:pStyle w:val="BodyText"/>
        <w:jc w:val="left"/>
      </w:pPr>
      <w:hyperlink w:anchor="_ftnref4">
        <w:r>
          <w:t>[4]</w:t>
        </w:r>
      </w:hyperlink>
      <w:r>
        <w:t xml:space="preserve"> Ibid.</w:t>
      </w:r>
    </w:p>
    <w:p w:rsidR="002F4AA0" w:rsidRDefault="00AF22AC" w:rsidP="00AF22AC">
      <w:pPr>
        <w:pStyle w:val="BodyText"/>
        <w:jc w:val="left"/>
      </w:pPr>
      <w:hyperlink w:anchor="_ftnref5">
        <w:r>
          <w:t>[5]</w:t>
        </w:r>
      </w:hyperlink>
      <w:r>
        <w:t xml:space="preserve"> </w:t>
      </w:r>
      <w:hyperlink r:id="rId11">
        <w:r>
          <w:t>https://www2.deloitte.com/cn/en/pages/about-deloitte/articles/pr-q1-2020-ml-hk-ipo-review-outlook.html</w:t>
        </w:r>
      </w:hyperlink>
    </w:p>
    <w:p w:rsidR="002F4AA0" w:rsidRDefault="00AF22AC" w:rsidP="00AF22AC">
      <w:pPr>
        <w:pStyle w:val="BodyText"/>
        <w:jc w:val="left"/>
      </w:pPr>
      <w:hyperlink w:anchor="_ftnref6">
        <w:r>
          <w:t>[6</w:t>
        </w:r>
        <w:r>
          <w:t>]</w:t>
        </w:r>
      </w:hyperlink>
      <w:r>
        <w:t xml:space="preserve"> </w:t>
      </w:r>
      <w:hyperlink r:id="rId12">
        <w:r>
          <w:t>https://assets.kpmg/content/dam/kpmg/cn/pdf/en/2020/03/mainland-china-and-hong-kong-2020-q1-review-ipos</w:t>
        </w:r>
        <w:r>
          <w:t>-and-other-market-trends.pdf</w:t>
        </w:r>
      </w:hyperlink>
    </w:p>
    <w:p w:rsidR="002F4AA0" w:rsidRDefault="00AF22AC" w:rsidP="00AF22AC">
      <w:pPr>
        <w:pStyle w:val="BodyText"/>
        <w:jc w:val="left"/>
      </w:pPr>
      <w:hyperlink w:anchor="_ftnref7">
        <w:r>
          <w:t>[7]</w:t>
        </w:r>
      </w:hyperlink>
      <w:r>
        <w:t xml:space="preserve"> Ibid.</w:t>
      </w:r>
    </w:p>
    <w:p w:rsidR="002F4AA0" w:rsidRDefault="00AF22AC" w:rsidP="00AF22AC">
      <w:pPr>
        <w:pStyle w:val="BodyText"/>
        <w:jc w:val="left"/>
      </w:pPr>
      <w:hyperlink w:anchor="_ftnref8">
        <w:r>
          <w:t>[8]</w:t>
        </w:r>
      </w:hyperlink>
      <w:r>
        <w:t xml:space="preserve"> Ibid.</w:t>
      </w:r>
    </w:p>
    <w:p w:rsidR="002F4AA0" w:rsidRDefault="00AF22AC" w:rsidP="00AF22AC">
      <w:pPr>
        <w:pStyle w:val="BodyText"/>
        <w:jc w:val="left"/>
      </w:pPr>
      <w:hyperlink w:anchor="_ftnref9">
        <w:r>
          <w:t>[9]</w:t>
        </w:r>
      </w:hyperlink>
      <w:r>
        <w:t xml:space="preserve"> Ibid.</w:t>
      </w:r>
    </w:p>
    <w:p w:rsidR="002F4AA0" w:rsidRDefault="00AF22AC" w:rsidP="00AF22AC">
      <w:pPr>
        <w:pStyle w:val="BodyText"/>
        <w:jc w:val="left"/>
      </w:pPr>
      <w:hyperlink w:anchor="_ftnref10">
        <w:r>
          <w:t>[10]</w:t>
        </w:r>
      </w:hyperlink>
      <w:r>
        <w:t xml:space="preserve"> </w:t>
      </w:r>
      <w:hyperlink r:id="rId13">
        <w:r>
          <w:t>https://www2.deloitte.com/cn/en/pages/about-deloitte/articles/pr-q1-2020-ml-hk-ipo-review-outlook.html</w:t>
        </w:r>
      </w:hyperlink>
    </w:p>
    <w:p w:rsidR="002F4AA0" w:rsidRDefault="00AF22AC" w:rsidP="00AF22AC">
      <w:pPr>
        <w:pStyle w:val="BodyText"/>
        <w:jc w:val="left"/>
      </w:pPr>
      <w:hyperlink w:anchor="_ftnref11">
        <w:r>
          <w:t>[11]</w:t>
        </w:r>
      </w:hyperlink>
      <w:r>
        <w:t xml:space="preserve"> Ibid.</w:t>
      </w:r>
    </w:p>
    <w:p w:rsidR="002F4AA0" w:rsidRDefault="00AF22AC" w:rsidP="00AF22AC">
      <w:pPr>
        <w:pStyle w:val="BodyText"/>
        <w:jc w:val="left"/>
      </w:pPr>
      <w:hyperlink w:anchor="_ftnref12">
        <w:r>
          <w:t>[12]</w:t>
        </w:r>
      </w:hyperlink>
      <w:r>
        <w:t xml:space="preserve"> Ibid.</w:t>
      </w:r>
    </w:p>
    <w:p w:rsidR="002F4AA0" w:rsidRDefault="00AF22AC" w:rsidP="00AF22AC">
      <w:pPr>
        <w:pStyle w:val="BodyText"/>
        <w:jc w:val="left"/>
      </w:pPr>
      <w:hyperlink w:anchor="_ftnref13">
        <w:r>
          <w:t>[13]</w:t>
        </w:r>
      </w:hyperlink>
      <w:r>
        <w:t xml:space="preserve"> </w:t>
      </w:r>
      <w:hyperlink r:id="rId14">
        <w:r>
          <w:t>https://assets.kpmg/content/dam/kpmg/cn/pdf/en/2020/03/mainland-china-</w:t>
        </w:r>
        <w:r>
          <w:t>and-hong-kong-2020-q1-review-ipos-and-other-market-trends.pdf</w:t>
        </w:r>
      </w:hyperlink>
    </w:p>
    <w:p w:rsidR="002F4AA0" w:rsidRDefault="00AF22AC" w:rsidP="00AF22AC">
      <w:pPr>
        <w:pStyle w:val="BodyText"/>
        <w:jc w:val="left"/>
      </w:pPr>
      <w:hyperlink w:anchor="_ftnref14">
        <w:r>
          <w:t>[14]</w:t>
        </w:r>
      </w:hyperlink>
      <w:r>
        <w:t xml:space="preserve"> Ibid.</w:t>
      </w:r>
    </w:p>
    <w:p w:rsidR="002F4AA0" w:rsidRDefault="00AF22AC" w:rsidP="00AF22AC">
      <w:pPr>
        <w:pStyle w:val="BodyText"/>
        <w:jc w:val="left"/>
      </w:pPr>
      <w:hyperlink w:anchor="_ftnref15">
        <w:r>
          <w:t>[15]</w:t>
        </w:r>
      </w:hyperlink>
      <w:r>
        <w:t xml:space="preserve"> </w:t>
      </w:r>
      <w:hyperlink r:id="rId15">
        <w:r>
          <w:t>https://www.scmp.com/business/banking-finance/article/3077611/shanghai-overtakes-hong-kong-worlds-top-ipo-destination</w:t>
        </w:r>
      </w:hyperlink>
    </w:p>
    <w:p w:rsidR="002F4AA0" w:rsidRDefault="00AF22AC" w:rsidP="00AF22AC">
      <w:pPr>
        <w:pStyle w:val="BodyText"/>
        <w:jc w:val="left"/>
        <w:rPr>
          <w:lang w:eastAsia="zh-CN"/>
        </w:rPr>
      </w:pPr>
      <w:hyperlink w:anchor="_ftnref16">
        <w:r>
          <w:rPr>
            <w:lang w:eastAsia="zh-CN"/>
          </w:rPr>
          <w:t>[16]</w:t>
        </w:r>
      </w:hyperlink>
      <w:r>
        <w:rPr>
          <w:lang w:eastAsia="zh-CN"/>
        </w:rPr>
        <w:t xml:space="preserve"> Ibid.</w:t>
      </w:r>
    </w:p>
    <w:p w:rsidR="002F4AA0" w:rsidRDefault="00AF22AC" w:rsidP="00AF22AC">
      <w:pPr>
        <w:pStyle w:val="BodyText"/>
        <w:jc w:val="left"/>
        <w:rPr>
          <w:lang w:eastAsia="zh-CN"/>
        </w:rPr>
      </w:pPr>
      <w:hyperlink w:anchor="_ftnref17">
        <w:r>
          <w:rPr>
            <w:lang w:eastAsia="zh-CN"/>
          </w:rPr>
          <w:t>[17]</w:t>
        </w:r>
      </w:hyperlink>
      <w:r>
        <w:rPr>
          <w:lang w:eastAsia="zh-CN"/>
        </w:rPr>
        <w:t xml:space="preserve"> Ibid.</w:t>
      </w:r>
    </w:p>
    <w:p w:rsidR="002F4AA0" w:rsidRDefault="00AF22AC">
      <w:pPr>
        <w:pStyle w:val="DisclaimerBold"/>
        <w:rPr>
          <w:lang w:eastAsia="zh-CN"/>
        </w:rPr>
      </w:pPr>
      <w:r>
        <w:rPr>
          <w:lang w:eastAsia="zh-CN"/>
        </w:rPr>
        <w:t>此法讯仅为提供相关资料信息之用，其内容并</w:t>
      </w:r>
    </w:p>
    <w:p w:rsidR="002F4AA0" w:rsidRDefault="00AF22AC">
      <w:pPr>
        <w:pStyle w:val="Disclaimer"/>
        <w:rPr>
          <w:lang w:eastAsia="zh-CN"/>
        </w:rPr>
      </w:pPr>
      <w:r>
        <w:rPr>
          <w:lang w:eastAsia="zh-CN"/>
        </w:rPr>
        <w:t>不构成法律建议及</w:t>
      </w:r>
      <w:r>
        <w:rPr>
          <w:lang w:eastAsia="zh-CN"/>
        </w:rPr>
        <w:t>个案的法律分析。</w:t>
      </w:r>
    </w:p>
    <w:p w:rsidR="002F4AA0" w:rsidRDefault="00AF22AC">
      <w:pPr>
        <w:pStyle w:val="Disclaimer"/>
        <w:rPr>
          <w:lang w:eastAsia="zh-CN"/>
        </w:rPr>
      </w:pPr>
      <w:r>
        <w:rPr>
          <w:lang w:eastAsia="zh-CN"/>
        </w:rPr>
        <w:t>此法讯的发送并不是为了在易周律师行与用户或浏览者之间建立一种律师与客户之关系。</w:t>
      </w:r>
    </w:p>
    <w:p w:rsidR="002F4AA0" w:rsidRDefault="00AF22AC">
      <w:pPr>
        <w:pStyle w:val="Disclaimer"/>
        <w:rPr>
          <w:lang w:eastAsia="zh-CN"/>
        </w:rPr>
      </w:pPr>
      <w:r>
        <w:rPr>
          <w:lang w:eastAsia="zh-CN"/>
        </w:rPr>
        <w:t>易周律师行并不对可从互联网获得的任何第三方内容负责。</w:t>
      </w:r>
    </w:p>
    <w:p w:rsidR="002F4AA0" w:rsidRDefault="00AF22AC">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2F4AA0" w:rsidRDefault="00AF22AC">
      <w:pPr>
        <w:pStyle w:val="BlackStrips"/>
      </w:pPr>
      <w:r>
        <w:t xml:space="preserve">Charltons - </w:t>
      </w:r>
      <w:r>
        <w:t>香港法律</w:t>
      </w:r>
      <w:r>
        <w:t xml:space="preserve"> - 2020</w:t>
      </w:r>
      <w:r>
        <w:t>年</w:t>
      </w:r>
      <w:r>
        <w:t>4</w:t>
      </w:r>
      <w:r>
        <w:t>月</w:t>
      </w:r>
      <w:r>
        <w:t>29</w:t>
      </w:r>
      <w:bookmarkStart w:id="0" w:name="_GoBack"/>
      <w:bookmarkEnd w:id="0"/>
      <w:r>
        <w:t>日</w:t>
      </w:r>
    </w:p>
    <w:sectPr w:rsidR="002F4AA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22AC">
      <w:pPr>
        <w:spacing w:after="0"/>
      </w:pPr>
      <w:r>
        <w:separator/>
      </w:r>
    </w:p>
  </w:endnote>
  <w:endnote w:type="continuationSeparator" w:id="0">
    <w:p w:rsidR="00000000" w:rsidRDefault="00AF22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AA0" w:rsidRDefault="00AF22AC">
      <w:r>
        <w:separator/>
      </w:r>
    </w:p>
  </w:footnote>
  <w:footnote w:type="continuationSeparator" w:id="0">
    <w:p w:rsidR="002F4AA0" w:rsidRDefault="00AF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DB15E9"/>
    <w:multiLevelType w:val="multilevel"/>
    <w:tmpl w:val="C316D7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FE38F16D"/>
    <w:multiLevelType w:val="multilevel"/>
    <w:tmpl w:val="0DA603A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F4AA0"/>
    <w:rsid w:val="004E29B3"/>
    <w:rsid w:val="00590D07"/>
    <w:rsid w:val="00784D58"/>
    <w:rsid w:val="008D6863"/>
    <w:rsid w:val="00AF22AC"/>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D70C48"/>
  <w15:docId w15:val="{E7865D6E-4225-4071-8EC7-88A7F721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kpmg/content/dam/kpmg/cn/pdf/en/2020/03/mainland-china-and-hong-kong-2020-q1-review-ipos-and-other-market-trends.pdf" TargetMode="External"/><Relationship Id="rId13" Type="http://schemas.openxmlformats.org/officeDocument/2006/relationships/hyperlink" Target="https://www2.deloitte.com/cn/en/pages/about-deloitte/articles/pr-q1-2020-ml-hk-ipo-review-outloo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2020-nian-di-yi-ji-du-xiang-gang-jiao-yi-suo-shou-ci-gong-kai-zhao-gu-shi-chang" TargetMode="External"/><Relationship Id="rId12" Type="http://schemas.openxmlformats.org/officeDocument/2006/relationships/hyperlink" Target="https://assets.kpmg/content/dam/kpmg/cn/pdf/en/2020/03/mainland-china-and-hong-kong-2020-q1-review-ipos-and-other-market-trend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deloitte.com/cn/en/pages/about-deloitte/articles/pr-q1-2020-ml-hk-ipo-review-outlook.html" TargetMode="External"/><Relationship Id="rId5" Type="http://schemas.openxmlformats.org/officeDocument/2006/relationships/footnotes" Target="footnotes.xml"/><Relationship Id="rId15" Type="http://schemas.openxmlformats.org/officeDocument/2006/relationships/hyperlink" Target="https://www.scmp.com/business/banking-finance/article/3077611/shanghai-overtakes-hong-kong-worlds-top-ipo-destination" TargetMode="External"/><Relationship Id="rId10" Type="http://schemas.openxmlformats.org/officeDocument/2006/relationships/hyperlink" Target="https://www.ey.com/en_gl/news/2020/03/covid-19-pandemic-cuts-global-ipo-momentum-short-in-q1-2020" TargetMode="External"/><Relationship Id="rId4" Type="http://schemas.openxmlformats.org/officeDocument/2006/relationships/webSettings" Target="webSettings.xml"/><Relationship Id="rId9" Type="http://schemas.openxmlformats.org/officeDocument/2006/relationships/hyperlink" Target="https://www.ey.com/en_lb/growth/ipo-trends-2020-q1" TargetMode="External"/><Relationship Id="rId14" Type="http://schemas.openxmlformats.org/officeDocument/2006/relationships/hyperlink" Target="https://assets.kpmg/content/dam/kpmg/cn/pdf/en/2020/03/mainland-china-and-hong-kong-2020-q1-review-ipos-and-other-market-tre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808</Words>
  <Characters>4608</Characters>
  <Application>Microsoft Office Word</Application>
  <DocSecurity>0</DocSecurity>
  <Lines>38</Lines>
  <Paragraphs>10</Paragraphs>
  <ScaleCrop>false</ScaleCrop>
  <Company>Charltons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2020-04-29T01:58:00Z</dcterms:created>
  <dcterms:modified xsi:type="dcterms:W3CDTF">2020-04-29T02:06:00Z</dcterms:modified>
</cp:coreProperties>
</file>