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9E" w:rsidRDefault="00FF22F4">
      <w:pPr>
        <w:pStyle w:val="BlackStrips"/>
      </w:pPr>
      <w:r>
        <w:t>Charltons - 香港法律 - 2020年12月15日</w:t>
      </w:r>
    </w:p>
    <w:p w:rsidR="00CD499E" w:rsidRDefault="004551D1">
      <w:pPr>
        <w:pStyle w:val="ReadOnline"/>
        <w:rPr>
          <w:lang w:eastAsia="zh-CN"/>
        </w:rPr>
      </w:pPr>
      <w:hyperlink r:id="rId7">
        <w:r w:rsidR="00FF22F4">
          <w:rPr>
            <w:lang w:eastAsia="zh-CN"/>
          </w:rPr>
          <w:t>online version</w:t>
        </w:r>
      </w:hyperlink>
    </w:p>
    <w:p w:rsidR="00CD499E" w:rsidRDefault="00FF22F4">
      <w:pPr>
        <w:pStyle w:val="Title"/>
        <w:rPr>
          <w:lang w:eastAsia="zh-CN"/>
        </w:rPr>
      </w:pPr>
      <w:r>
        <w:rPr>
          <w:lang w:eastAsia="zh-CN"/>
        </w:rPr>
        <w:t>香港交易所就提高主板市场盈利要求的提案进行咨询</w:t>
      </w:r>
    </w:p>
    <w:p w:rsidR="00CD499E" w:rsidRDefault="00FF22F4">
      <w:pPr>
        <w:pStyle w:val="FirstParagraph"/>
        <w:rPr>
          <w:lang w:eastAsia="zh-CN"/>
        </w:rPr>
      </w:pPr>
      <w:r>
        <w:rPr>
          <w:lang w:eastAsia="zh-CN"/>
        </w:rPr>
        <w:t>2020年11月27日，香港联合交易所有限公司（</w:t>
      </w:r>
      <w:r>
        <w:rPr>
          <w:b/>
          <w:lang w:eastAsia="zh-CN"/>
        </w:rPr>
        <w:t>香港交易所</w:t>
      </w:r>
      <w:r>
        <w:rPr>
          <w:lang w:eastAsia="zh-CN"/>
        </w:rPr>
        <w:t>）刊发了一份咨询文件，就提高香港交易所主板市场盈利要求的提案进行了概述（</w:t>
      </w:r>
      <w:r>
        <w:rPr>
          <w:b/>
          <w:lang w:eastAsia="zh-CN"/>
        </w:rPr>
        <w:t>香港交易所盈利要求或香港交易所盈利规定</w:t>
      </w:r>
      <w:r>
        <w:rPr>
          <w:lang w:eastAsia="zh-CN"/>
        </w:rPr>
        <w:t>）（</w:t>
      </w:r>
      <w:r>
        <w:rPr>
          <w:b/>
          <w:lang w:eastAsia="zh-CN"/>
        </w:rPr>
        <w:t>香港交易所盈利规定咨询文件</w:t>
      </w:r>
      <w:r>
        <w:rPr>
          <w:lang w:eastAsia="zh-CN"/>
        </w:rPr>
        <w:t>）。该提案如获采纳，将对市场产生重大影响，而香港交易所的影响研究评估结果显示2016年至2019年期间提交香港交易所盈利要求申请的公司中（若分别根据选项1及选项2）分别有59%（437家）及65%（486家）不具上市资格。</w:t>
      </w:r>
    </w:p>
    <w:p w:rsidR="00CD499E" w:rsidRDefault="00FF22F4">
      <w:pPr>
        <w:pStyle w:val="BodyText"/>
        <w:rPr>
          <w:lang w:eastAsia="zh-CN"/>
        </w:rPr>
      </w:pPr>
      <w:r>
        <w:rPr>
          <w:lang w:eastAsia="zh-CN"/>
        </w:rPr>
        <w:t>香港交易所提议将香港交易所盈利要求提高至以下其中之一的标准：</w:t>
      </w:r>
    </w:p>
    <w:p w:rsidR="00CD499E" w:rsidRDefault="00FF22F4">
      <w:pPr>
        <w:pStyle w:val="Compact"/>
        <w:numPr>
          <w:ilvl w:val="0"/>
          <w:numId w:val="3"/>
        </w:numPr>
        <w:rPr>
          <w:lang w:eastAsia="zh-CN"/>
        </w:rPr>
      </w:pPr>
      <w:r>
        <w:rPr>
          <w:lang w:eastAsia="zh-CN"/>
        </w:rPr>
        <w:t>150%，依据是2018年市值要求的百分比增长，这将提高应归属于股东的最低盈利款额(i)上市之前的最近一个财政年度从2000万港元增加至5000万港元及(ii)之前两个财政年度总计从3000万港元增加至7500万港元；或</w:t>
      </w:r>
    </w:p>
    <w:p w:rsidR="00CD499E" w:rsidRDefault="00FF22F4">
      <w:pPr>
        <w:pStyle w:val="Compact"/>
        <w:numPr>
          <w:ilvl w:val="0"/>
          <w:numId w:val="3"/>
        </w:numPr>
        <w:rPr>
          <w:lang w:eastAsia="zh-CN"/>
        </w:rPr>
      </w:pPr>
      <w:r>
        <w:rPr>
          <w:lang w:eastAsia="zh-CN"/>
        </w:rPr>
        <w:t>200%，依据是1994年至2019年期间恒生指数平均收市价的大概百分比增长，(i)上市之前最近一个财政年度从2000万港元增加至6000万港元及 (ii)之前两个财政年度总计从3000万港元增加至9000万港元。</w:t>
      </w:r>
    </w:p>
    <w:p w:rsidR="00CD499E" w:rsidRDefault="00FF22F4">
      <w:pPr>
        <w:pStyle w:val="FirstParagraph"/>
        <w:rPr>
          <w:lang w:eastAsia="zh-CN"/>
        </w:rPr>
      </w:pPr>
      <w:r>
        <w:rPr>
          <w:lang w:eastAsia="zh-CN"/>
        </w:rPr>
        <w:t>香港交易所认为现时香港交易所盈利规定与提高后的市值规定不相匹配。香港交易所认为这一点已引起了监管方面对寻求于主板市场上市的公司质素在的担忧。香港交易所表示刚刚符合香港交易所盈利规定但是相较于已上市同业而言具相对较高市盈率的小盘股发行人的上市数量已有增长。</w:t>
      </w:r>
    </w:p>
    <w:p w:rsidR="00CD499E" w:rsidRDefault="00FF22F4">
      <w:pPr>
        <w:pStyle w:val="BodyText"/>
        <w:rPr>
          <w:lang w:eastAsia="zh-CN"/>
        </w:rPr>
      </w:pPr>
      <w:r>
        <w:rPr>
          <w:lang w:eastAsia="zh-CN"/>
        </w:rPr>
        <w:t>透过提高香港交易所盈利规定，香港交易所还致力于增强香港主板及创业版上市的区别，为发行人提供更清晰的选择，也为投资者提供更清晰的认识。</w:t>
      </w:r>
    </w:p>
    <w:p w:rsidR="00CD499E" w:rsidRDefault="00FF22F4">
      <w:pPr>
        <w:pStyle w:val="BodyText"/>
        <w:rPr>
          <w:lang w:eastAsia="zh-CN"/>
        </w:rPr>
      </w:pPr>
      <w:r>
        <w:rPr>
          <w:lang w:eastAsia="zh-CN"/>
        </w:rPr>
        <w:t>是次咨询期间于2021年2月01日截止。</w:t>
      </w:r>
    </w:p>
    <w:p w:rsidR="00CD499E" w:rsidRDefault="00FF22F4">
      <w:pPr>
        <w:pStyle w:val="BodyText"/>
        <w:rPr>
          <w:lang w:eastAsia="zh-CN"/>
        </w:rPr>
      </w:pPr>
      <w:r>
        <w:rPr>
          <w:lang w:eastAsia="zh-CN"/>
        </w:rPr>
        <w:t>1. 香港交易所现时主板市场最低盈利规定</w:t>
      </w:r>
    </w:p>
    <w:p w:rsidR="00CD499E" w:rsidRDefault="00FF22F4">
      <w:pPr>
        <w:pStyle w:val="BodyText"/>
        <w:rPr>
          <w:lang w:eastAsia="zh-CN"/>
        </w:rPr>
      </w:pPr>
      <w:r>
        <w:rPr>
          <w:lang w:eastAsia="zh-CN"/>
        </w:rPr>
        <w:t>《主板上市规则》第8.05(1)(a)条现时规定新申请人须拥有应归属于股东的最低盈利款额(i)最近一个财政年度内达2000万港元及(ii)之前两个财政年度内总计达3000万港元。</w:t>
      </w:r>
    </w:p>
    <w:p w:rsidR="00CD499E" w:rsidRDefault="00FF22F4">
      <w:pPr>
        <w:pStyle w:val="BodyText"/>
        <w:rPr>
          <w:lang w:eastAsia="zh-CN"/>
        </w:rPr>
      </w:pPr>
      <w:r>
        <w:rPr>
          <w:lang w:eastAsia="zh-CN"/>
        </w:rPr>
        <w:t>香港交易所现时的最低盈利规定于1994年9月引入，2002年至2017年期间历经上市委员会进行的两轮公众咨询以及两轮评审仍一直保持不变，原因是其过去一直是申请人表现的良好指标，与选定的海外交易所的主要市场相匹敌。同时，该市值规定（主板规则第8.09(2)条）（须遵守香港交易所盈利要求的申请人亦须满足该规定）于2018年02月份从2亿港元被提高至5亿港元。自从该次提高之后，香港交易所表示刚刚符合香港交易所盈利规定但是具相对较高拟定市值的发行人申请数量已有大幅增长。</w:t>
      </w:r>
    </w:p>
    <w:p w:rsidR="00CD499E" w:rsidRDefault="00FF22F4">
      <w:pPr>
        <w:pStyle w:val="BodyText"/>
        <w:rPr>
          <w:lang w:eastAsia="zh-CN"/>
        </w:rPr>
      </w:pPr>
      <w:r>
        <w:rPr>
          <w:lang w:eastAsia="zh-CN"/>
        </w:rPr>
        <w:t>2016年至2019年间绝大部分主板市场申请人（82%）都依赖香港交易所盈利规定（其中51%为小盘股发行人），相比之下根据市值收益现金流规定（上市）的仅有1%，遵从市值收益规定的为4%，</w:t>
      </w:r>
      <w:bookmarkStart w:id="0" w:name="_GoBack"/>
      <w:bookmarkEnd w:id="0"/>
      <w:r>
        <w:rPr>
          <w:lang w:eastAsia="zh-CN"/>
        </w:rPr>
        <w:t>13%依赖其他规定，其中有分别根据《上市规则》第8A.06条，第18章，第18A章，第19C章，第20章及第21章提交的各类上市申请。</w:t>
      </w:r>
    </w:p>
    <w:p w:rsidR="00CD499E" w:rsidRDefault="00FF22F4">
      <w:pPr>
        <w:pStyle w:val="BodyText"/>
        <w:rPr>
          <w:lang w:eastAsia="zh-CN"/>
        </w:rPr>
      </w:pPr>
      <w:r>
        <w:rPr>
          <w:lang w:eastAsia="zh-CN"/>
        </w:rPr>
        <w:t>据香港交易所概述，自2018年提高市值规定起，香港交易所已经见证了小盘股发行人（被界定为拥有市值低于或者等于7亿港元的公司）上市申请数量的增长，该等小盘股发行人刚刚符合香港交易所盈利规定但是相较于其已上市同业而言具相对较高的市盈率。例如，香港交易所提出2016年至2019年期间香港交易所盈利规定申请的平均历史市盈率达14倍，但是自市值要求提升之后历史市盈率超过15倍的香港交易所盈利规定申请占比在2018年有了大幅增长。虽然这</w:t>
      </w:r>
      <w:r>
        <w:rPr>
          <w:lang w:eastAsia="zh-CN"/>
        </w:rPr>
        <w:lastRenderedPageBreak/>
        <w:t>些小盘股发行人透过引述潜在增长为其更高的估值辩护，但是香港交易所表示其中有一部分未能达到其上市后盈利预测，由此对该部分发行人估值的合理性产生质疑。</w:t>
      </w:r>
    </w:p>
    <w:p w:rsidR="00CD499E" w:rsidRDefault="00FF22F4">
      <w:pPr>
        <w:pStyle w:val="BodyText"/>
        <w:rPr>
          <w:lang w:eastAsia="zh-CN"/>
        </w:rPr>
      </w:pPr>
      <w:r>
        <w:rPr>
          <w:lang w:eastAsia="zh-CN"/>
        </w:rPr>
        <w:t>另外，香港交易所提出担心会出现小盘股发行人可能一直在抬高其估值以便制造壳股公司在上市后进行售卖的可能性。香港交易所表示这不仅会影响主板市场上市的质素，而且鉴于投资者面临的潜在损失以及由此产生的对投资者信心的影响还会对整个市场产生影响。</w:t>
      </w:r>
    </w:p>
    <w:p w:rsidR="00CD499E" w:rsidRDefault="00FF22F4">
      <w:pPr>
        <w:pStyle w:val="BodyText"/>
        <w:rPr>
          <w:lang w:eastAsia="zh-CN"/>
        </w:rPr>
      </w:pPr>
      <w:r>
        <w:rPr>
          <w:lang w:eastAsia="zh-CN"/>
        </w:rPr>
        <w:t>2. 香港交易所主板市场最低盈利要求的拟定提高</w:t>
      </w:r>
    </w:p>
    <w:p w:rsidR="00FF22F4" w:rsidRDefault="00FF22F4" w:rsidP="00FF22F4">
      <w:pPr>
        <w:spacing w:after="0"/>
        <w:jc w:val="both"/>
        <w:rPr>
          <w:rFonts w:ascii="SimSun" w:eastAsia="SimSun" w:hAnsi="SimSun" w:cs="SimSun"/>
          <w:lang w:eastAsia="zh-CN"/>
        </w:rPr>
      </w:pPr>
      <w:r>
        <w:rPr>
          <w:rFonts w:ascii="SimSun" w:eastAsia="SimSun" w:hAnsi="SimSun" w:cs="SimSun" w:hint="eastAsia"/>
          <w:lang w:eastAsia="zh-CN"/>
        </w:rPr>
        <w:t>鉴于香港交易所的观点及担忧，香港交易所拟定提高主板市场最低盈利规定。选项如下：</w:t>
      </w:r>
    </w:p>
    <w:p w:rsidR="00FF22F4" w:rsidRPr="00FF22F4" w:rsidRDefault="00FF22F4" w:rsidP="00FF22F4">
      <w:pPr>
        <w:spacing w:after="0"/>
        <w:jc w:val="both"/>
        <w:rPr>
          <w:rFonts w:ascii="Times New Roman" w:eastAsia="Times New Roman" w:hAnsi="Times New Roman" w:cs="Times New Roman"/>
          <w:color w:val="auto"/>
          <w:lang w:eastAsia="zh-CN"/>
        </w:rPr>
      </w:pPr>
    </w:p>
    <w:tbl>
      <w:tblPr>
        <w:tblW w:w="9630" w:type="dxa"/>
        <w:tblInd w:w="68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82"/>
        <w:gridCol w:w="2458"/>
        <w:gridCol w:w="1890"/>
      </w:tblGrid>
      <w:tr w:rsidR="00FF22F4" w:rsidRPr="006005B6" w:rsidTr="00FE75E4">
        <w:tc>
          <w:tcPr>
            <w:tcW w:w="5282"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ind w:right="1980"/>
              <w:rPr>
                <w:rFonts w:ascii="Times New Roman" w:eastAsia="Times New Roman" w:hAnsi="Times New Roman" w:cs="Times New Roman"/>
                <w:color w:val="auto"/>
                <w:lang w:eastAsia="zh-CN"/>
              </w:rPr>
            </w:pPr>
          </w:p>
        </w:tc>
        <w:tc>
          <w:tcPr>
            <w:tcW w:w="2458"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Pr>
                <w:rFonts w:ascii="Helvetica" w:hAnsi="Helvetica" w:cs="Helvetica" w:hint="eastAsia"/>
                <w:b/>
                <w:bCs/>
                <w:color w:val="000000"/>
                <w:sz w:val="20"/>
                <w:szCs w:val="20"/>
                <w:bdr w:val="none" w:sz="0" w:space="0" w:color="auto" w:frame="1"/>
                <w:lang w:eastAsia="zh-CN"/>
              </w:rPr>
              <w:t>选项</w:t>
            </w:r>
            <w:r w:rsidRPr="006005B6">
              <w:rPr>
                <w:rFonts w:ascii="Helvetica" w:eastAsia="Times New Roman" w:hAnsi="Helvetica" w:cs="Helvetica"/>
                <w:b/>
                <w:bCs/>
                <w:color w:val="000000"/>
                <w:sz w:val="20"/>
                <w:szCs w:val="20"/>
                <w:bdr w:val="none" w:sz="0" w:space="0" w:color="auto" w:frame="1"/>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Pr>
                <w:rFonts w:ascii="Helvetica" w:hAnsi="Helvetica" w:cs="Helvetica" w:hint="eastAsia"/>
                <w:b/>
                <w:bCs/>
                <w:color w:val="000000"/>
                <w:sz w:val="20"/>
                <w:szCs w:val="20"/>
                <w:bdr w:val="none" w:sz="0" w:space="0" w:color="auto" w:frame="1"/>
                <w:lang w:eastAsia="zh-CN"/>
              </w:rPr>
              <w:t>选项</w:t>
            </w:r>
            <w:r w:rsidRPr="006005B6">
              <w:rPr>
                <w:rFonts w:ascii="Helvetica" w:eastAsia="Times New Roman" w:hAnsi="Helvetica" w:cs="Helvetica"/>
                <w:b/>
                <w:bCs/>
                <w:color w:val="000000"/>
                <w:sz w:val="20"/>
                <w:szCs w:val="20"/>
                <w:bdr w:val="none" w:sz="0" w:space="0" w:color="auto" w:frame="1"/>
              </w:rPr>
              <w:t>2**</w:t>
            </w:r>
          </w:p>
        </w:tc>
      </w:tr>
      <w:tr w:rsidR="00FF22F4" w:rsidRPr="006005B6" w:rsidTr="00FE75E4">
        <w:tc>
          <w:tcPr>
            <w:tcW w:w="5282"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97208E" w:rsidRDefault="00FF22F4" w:rsidP="00FE75E4">
            <w:pPr>
              <w:spacing w:after="0" w:line="288" w:lineRule="atLeast"/>
              <w:ind w:left="300" w:right="1980"/>
              <w:textAlignment w:val="baseline"/>
              <w:rPr>
                <w:rFonts w:ascii="Helvetica" w:hAnsi="Helvetica" w:cs="Helvetica"/>
                <w:color w:val="000000"/>
                <w:sz w:val="20"/>
                <w:szCs w:val="20"/>
                <w:lang w:eastAsia="zh-CN"/>
              </w:rPr>
            </w:pPr>
            <w:r>
              <w:rPr>
                <w:rFonts w:ascii="Helvetica" w:hAnsi="Helvetica" w:cs="Helvetica" w:hint="eastAsia"/>
                <w:color w:val="000000"/>
                <w:sz w:val="20"/>
                <w:szCs w:val="20"/>
                <w:lang w:eastAsia="zh-CN"/>
              </w:rPr>
              <w:t>拟定提高幅度（</w:t>
            </w:r>
            <w:r w:rsidRPr="006005B6">
              <w:rPr>
                <w:rFonts w:ascii="Helvetica" w:eastAsia="Times New Roman" w:hAnsi="Helvetica" w:cs="Helvetica"/>
                <w:color w:val="000000"/>
                <w:sz w:val="20"/>
                <w:szCs w:val="20"/>
              </w:rPr>
              <w:t>%</w:t>
            </w:r>
            <w:r>
              <w:rPr>
                <w:rFonts w:ascii="Helvetica" w:hAnsi="Helvetica" w:cs="Helvetica" w:hint="eastAsia"/>
                <w:color w:val="000000"/>
                <w:sz w:val="20"/>
                <w:szCs w:val="20"/>
                <w:lang w:eastAsia="zh-CN"/>
              </w:rPr>
              <w:t>）</w:t>
            </w:r>
          </w:p>
        </w:tc>
        <w:tc>
          <w:tcPr>
            <w:tcW w:w="2458"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sidRPr="006005B6">
              <w:rPr>
                <w:rFonts w:ascii="Helvetica" w:eastAsia="Times New Roman" w:hAnsi="Helvetica" w:cs="Helvetica"/>
                <w:color w:val="000000"/>
                <w:sz w:val="20"/>
                <w:szCs w:val="20"/>
              </w:rPr>
              <w:t>150%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sidRPr="006005B6">
              <w:rPr>
                <w:rFonts w:ascii="Helvetica" w:eastAsia="Times New Roman" w:hAnsi="Helvetica" w:cs="Helvetica"/>
                <w:color w:val="000000"/>
                <w:sz w:val="20"/>
                <w:szCs w:val="20"/>
              </w:rPr>
              <w:t>200%</w:t>
            </w:r>
          </w:p>
        </w:tc>
      </w:tr>
      <w:tr w:rsidR="00FF22F4" w:rsidRPr="006005B6" w:rsidTr="00FE75E4">
        <w:tc>
          <w:tcPr>
            <w:tcW w:w="5282"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ind w:right="1980"/>
              <w:rPr>
                <w:rFonts w:ascii="Helvetica" w:eastAsia="Times New Roman" w:hAnsi="Helvetica" w:cs="Helvetica"/>
                <w:color w:val="000000"/>
                <w:sz w:val="20"/>
                <w:szCs w:val="20"/>
              </w:rPr>
            </w:pPr>
          </w:p>
        </w:tc>
        <w:tc>
          <w:tcPr>
            <w:tcW w:w="4348" w:type="dxa"/>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97208E" w:rsidRDefault="00FF22F4" w:rsidP="00FE75E4">
            <w:pPr>
              <w:spacing w:after="0" w:line="288" w:lineRule="atLeast"/>
              <w:ind w:left="300"/>
              <w:jc w:val="both"/>
              <w:textAlignment w:val="baseline"/>
              <w:rPr>
                <w:rFonts w:ascii="Helvetica" w:hAnsi="Helvetica" w:cs="Helvetica"/>
                <w:color w:val="000000"/>
                <w:sz w:val="20"/>
                <w:szCs w:val="20"/>
                <w:lang w:eastAsia="zh-CN"/>
              </w:rPr>
            </w:pPr>
            <w:r>
              <w:rPr>
                <w:rFonts w:ascii="Helvetica" w:hAnsi="Helvetica" w:cs="Helvetica" w:hint="eastAsia"/>
                <w:color w:val="000000"/>
                <w:sz w:val="20"/>
                <w:szCs w:val="20"/>
                <w:lang w:eastAsia="zh-CN"/>
              </w:rPr>
              <w:t>百万港元</w:t>
            </w:r>
          </w:p>
        </w:tc>
      </w:tr>
      <w:tr w:rsidR="00FF22F4" w:rsidRPr="006005B6" w:rsidTr="00FE75E4">
        <w:tc>
          <w:tcPr>
            <w:tcW w:w="5282"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97208E" w:rsidRDefault="00FF22F4" w:rsidP="00FE75E4">
            <w:pPr>
              <w:spacing w:after="0" w:line="288" w:lineRule="atLeast"/>
              <w:ind w:left="300" w:right="1980"/>
              <w:textAlignment w:val="baseline"/>
              <w:rPr>
                <w:rFonts w:ascii="Helvetica" w:hAnsi="Helvetica" w:cs="Helvetica"/>
                <w:color w:val="000000"/>
                <w:sz w:val="20"/>
                <w:szCs w:val="20"/>
                <w:lang w:eastAsia="zh-CN"/>
              </w:rPr>
            </w:pPr>
            <w:r>
              <w:rPr>
                <w:rFonts w:ascii="Helvetica" w:hAnsi="Helvetica" w:cs="Helvetica" w:hint="eastAsia"/>
                <w:color w:val="000000"/>
                <w:sz w:val="20"/>
                <w:szCs w:val="20"/>
                <w:lang w:eastAsia="zh-CN"/>
              </w:rPr>
              <w:t>前两个财政年度总计</w:t>
            </w:r>
          </w:p>
        </w:tc>
        <w:tc>
          <w:tcPr>
            <w:tcW w:w="2458"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sidRPr="006005B6">
              <w:rPr>
                <w:rFonts w:ascii="Helvetica" w:eastAsia="Times New Roman" w:hAnsi="Helvetica" w:cs="Helvetica"/>
                <w:color w:val="000000"/>
                <w:sz w:val="20"/>
                <w:szCs w:val="20"/>
              </w:rPr>
              <w:t>75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sidRPr="006005B6">
              <w:rPr>
                <w:rFonts w:ascii="Helvetica" w:eastAsia="Times New Roman" w:hAnsi="Helvetica" w:cs="Helvetica"/>
                <w:color w:val="000000"/>
                <w:sz w:val="20"/>
                <w:szCs w:val="20"/>
              </w:rPr>
              <w:t>90</w:t>
            </w:r>
          </w:p>
        </w:tc>
      </w:tr>
      <w:tr w:rsidR="00FF22F4" w:rsidRPr="006005B6" w:rsidTr="00FE75E4">
        <w:tc>
          <w:tcPr>
            <w:tcW w:w="5282"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97208E" w:rsidRDefault="00FF22F4" w:rsidP="00FE75E4">
            <w:pPr>
              <w:spacing w:after="0" w:line="288" w:lineRule="atLeast"/>
              <w:ind w:left="300" w:right="1980"/>
              <w:textAlignment w:val="baseline"/>
              <w:rPr>
                <w:rFonts w:ascii="Helvetica" w:hAnsi="Helvetica" w:cs="Helvetica"/>
                <w:color w:val="000000"/>
                <w:sz w:val="20"/>
                <w:szCs w:val="20"/>
                <w:lang w:eastAsia="zh-CN"/>
              </w:rPr>
            </w:pPr>
            <w:r>
              <w:rPr>
                <w:rFonts w:ascii="Helvetica" w:hAnsi="Helvetica" w:cs="Helvetica" w:hint="eastAsia"/>
                <w:color w:val="000000"/>
                <w:sz w:val="20"/>
                <w:szCs w:val="20"/>
                <w:lang w:eastAsia="zh-CN"/>
              </w:rPr>
              <w:t>最后一个财政年度</w:t>
            </w:r>
          </w:p>
        </w:tc>
        <w:tc>
          <w:tcPr>
            <w:tcW w:w="2458"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sidRPr="006005B6">
              <w:rPr>
                <w:rFonts w:ascii="Helvetica" w:eastAsia="Times New Roman" w:hAnsi="Helvetica" w:cs="Helvetica"/>
                <w:color w:val="000000"/>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sidRPr="006005B6">
              <w:rPr>
                <w:rFonts w:ascii="Helvetica" w:eastAsia="Times New Roman" w:hAnsi="Helvetica" w:cs="Helvetica"/>
                <w:color w:val="000000"/>
                <w:sz w:val="20"/>
                <w:szCs w:val="20"/>
              </w:rPr>
              <w:t>60</w:t>
            </w:r>
          </w:p>
        </w:tc>
      </w:tr>
      <w:tr w:rsidR="00FF22F4" w:rsidRPr="006005B6" w:rsidTr="00FE75E4">
        <w:tc>
          <w:tcPr>
            <w:tcW w:w="5282"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97208E" w:rsidRDefault="00FF22F4" w:rsidP="00FE75E4">
            <w:pPr>
              <w:spacing w:after="0" w:line="288" w:lineRule="atLeast"/>
              <w:ind w:left="300" w:right="1980"/>
              <w:textAlignment w:val="baseline"/>
              <w:rPr>
                <w:rFonts w:ascii="Helvetica" w:hAnsi="Helvetica" w:cs="Helvetica"/>
                <w:color w:val="000000"/>
                <w:sz w:val="20"/>
                <w:szCs w:val="20"/>
                <w:lang w:eastAsia="zh-CN"/>
              </w:rPr>
            </w:pPr>
            <w:r>
              <w:rPr>
                <w:rFonts w:ascii="Helvetica" w:hAnsi="Helvetica" w:cs="Helvetica" w:hint="eastAsia"/>
                <w:b/>
                <w:bCs/>
                <w:color w:val="000000"/>
                <w:sz w:val="20"/>
                <w:szCs w:val="20"/>
                <w:bdr w:val="none" w:sz="0" w:space="0" w:color="auto" w:frame="1"/>
                <w:lang w:eastAsia="zh-CN"/>
              </w:rPr>
              <w:t>总计</w:t>
            </w:r>
          </w:p>
        </w:tc>
        <w:tc>
          <w:tcPr>
            <w:tcW w:w="2458"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sidRPr="006005B6">
              <w:rPr>
                <w:rFonts w:ascii="Helvetica" w:eastAsia="Times New Roman" w:hAnsi="Helvetica" w:cs="Helvetica"/>
                <w:color w:val="000000"/>
                <w:sz w:val="20"/>
                <w:szCs w:val="20"/>
              </w:rPr>
              <w:t>125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6005B6" w:rsidRDefault="00FF22F4" w:rsidP="00FE75E4">
            <w:pPr>
              <w:spacing w:after="0" w:line="288" w:lineRule="atLeast"/>
              <w:ind w:left="300"/>
              <w:jc w:val="both"/>
              <w:textAlignment w:val="baseline"/>
              <w:rPr>
                <w:rFonts w:ascii="Helvetica" w:eastAsia="Times New Roman" w:hAnsi="Helvetica" w:cs="Helvetica"/>
                <w:color w:val="000000"/>
                <w:sz w:val="20"/>
                <w:szCs w:val="20"/>
              </w:rPr>
            </w:pPr>
            <w:r w:rsidRPr="006005B6">
              <w:rPr>
                <w:rFonts w:ascii="Helvetica" w:eastAsia="Times New Roman" w:hAnsi="Helvetica" w:cs="Helvetica"/>
                <w:color w:val="000000"/>
                <w:sz w:val="20"/>
                <w:szCs w:val="20"/>
              </w:rPr>
              <w:t>150</w:t>
            </w:r>
          </w:p>
        </w:tc>
      </w:tr>
      <w:tr w:rsidR="00FF22F4" w:rsidRPr="006005B6" w:rsidTr="00FE75E4">
        <w:tc>
          <w:tcPr>
            <w:tcW w:w="5282"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97208E" w:rsidRDefault="00FF22F4" w:rsidP="00FE75E4">
            <w:pPr>
              <w:spacing w:after="0" w:line="288" w:lineRule="atLeast"/>
              <w:ind w:left="300" w:right="1980"/>
              <w:textAlignment w:val="baseline"/>
              <w:rPr>
                <w:rFonts w:ascii="Helvetica" w:hAnsi="Helvetica" w:cs="Helvetica"/>
                <w:color w:val="000000"/>
                <w:sz w:val="20"/>
                <w:szCs w:val="20"/>
                <w:lang w:eastAsia="zh-CN"/>
              </w:rPr>
            </w:pPr>
            <w:r>
              <w:rPr>
                <w:rFonts w:ascii="Helvetica" w:hAnsi="Helvetica" w:cs="Helvetica" w:hint="eastAsia"/>
                <w:color w:val="000000"/>
                <w:sz w:val="20"/>
                <w:szCs w:val="20"/>
                <w:lang w:eastAsia="zh-CN"/>
              </w:rPr>
              <w:t>默示历史市盈率（基于市值规定）</w:t>
            </w:r>
          </w:p>
        </w:tc>
        <w:tc>
          <w:tcPr>
            <w:tcW w:w="2458"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97208E" w:rsidRDefault="00FF22F4" w:rsidP="00FE75E4">
            <w:pPr>
              <w:spacing w:after="0" w:line="288" w:lineRule="atLeast"/>
              <w:ind w:left="300"/>
              <w:jc w:val="both"/>
              <w:textAlignment w:val="baseline"/>
              <w:rPr>
                <w:rFonts w:ascii="Helvetica" w:hAnsi="Helvetica" w:cs="Helvetica"/>
                <w:color w:val="000000"/>
                <w:sz w:val="20"/>
                <w:szCs w:val="20"/>
                <w:lang w:eastAsia="zh-CN"/>
              </w:rPr>
            </w:pPr>
            <w:r w:rsidRPr="006005B6">
              <w:rPr>
                <w:rFonts w:ascii="Helvetica" w:eastAsia="Times New Roman" w:hAnsi="Helvetica" w:cs="Helvetica"/>
                <w:color w:val="000000"/>
                <w:sz w:val="20"/>
                <w:szCs w:val="20"/>
              </w:rPr>
              <w:t>10</w:t>
            </w:r>
            <w:r>
              <w:rPr>
                <w:rFonts w:ascii="Helvetica" w:hAnsi="Helvetica" w:cs="Helvetica" w:hint="eastAsia"/>
                <w:color w:val="000000"/>
                <w:sz w:val="20"/>
                <w:szCs w:val="20"/>
                <w:lang w:eastAsia="zh-CN"/>
              </w:rPr>
              <w:t>倍</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FF22F4" w:rsidRPr="0097208E" w:rsidRDefault="00FF22F4" w:rsidP="00FE75E4">
            <w:pPr>
              <w:spacing w:after="0" w:line="288" w:lineRule="atLeast"/>
              <w:ind w:left="300"/>
              <w:jc w:val="both"/>
              <w:textAlignment w:val="baseline"/>
              <w:rPr>
                <w:rFonts w:ascii="Helvetica" w:hAnsi="Helvetica" w:cs="Helvetica"/>
                <w:color w:val="000000"/>
                <w:sz w:val="20"/>
                <w:szCs w:val="20"/>
                <w:lang w:eastAsia="zh-CN"/>
              </w:rPr>
            </w:pPr>
            <w:r w:rsidRPr="006005B6">
              <w:rPr>
                <w:rFonts w:ascii="Helvetica" w:eastAsia="Times New Roman" w:hAnsi="Helvetica" w:cs="Helvetica"/>
                <w:color w:val="000000"/>
                <w:sz w:val="20"/>
                <w:szCs w:val="20"/>
              </w:rPr>
              <w:t>8</w:t>
            </w:r>
            <w:r>
              <w:rPr>
                <w:rFonts w:ascii="Helvetica" w:hAnsi="Helvetica" w:cs="Helvetica" w:hint="eastAsia"/>
                <w:color w:val="000000"/>
                <w:sz w:val="20"/>
                <w:szCs w:val="20"/>
                <w:lang w:eastAsia="zh-CN"/>
              </w:rPr>
              <w:t>倍</w:t>
            </w:r>
          </w:p>
        </w:tc>
      </w:tr>
    </w:tbl>
    <w:p w:rsidR="00CD499E" w:rsidRDefault="00FF22F4">
      <w:pPr>
        <w:pStyle w:val="BodyText"/>
        <w:rPr>
          <w:lang w:eastAsia="zh-CN"/>
        </w:rPr>
      </w:pPr>
      <w:r>
        <w:rPr>
          <w:i/>
          <w:lang w:eastAsia="zh-CN"/>
        </w:rPr>
        <w:t>* 基于市值规定的百分比提升</w:t>
      </w:r>
    </w:p>
    <w:p w:rsidR="00CD499E" w:rsidRDefault="00FF22F4">
      <w:pPr>
        <w:pStyle w:val="BodyText"/>
        <w:rPr>
          <w:lang w:eastAsia="zh-CN"/>
        </w:rPr>
      </w:pPr>
      <w:r>
        <w:rPr>
          <w:i/>
          <w:lang w:eastAsia="zh-CN"/>
        </w:rPr>
        <w:t>** 基于恒生指数平均收市价的大概百分比提升，即从1994（当年引进了香港交易所盈利规定）年的9,541增长至2019年的27,569。</w:t>
      </w:r>
    </w:p>
    <w:p w:rsidR="00CD499E" w:rsidRDefault="00FF22F4">
      <w:pPr>
        <w:pStyle w:val="BodyText"/>
        <w:rPr>
          <w:lang w:eastAsia="zh-CN"/>
        </w:rPr>
      </w:pPr>
      <w:r>
        <w:rPr>
          <w:lang w:eastAsia="zh-CN"/>
        </w:rPr>
        <w:t>3. 香港交易所主板市场最低盈利规定的预期影响</w:t>
      </w:r>
    </w:p>
    <w:p w:rsidR="00CD499E" w:rsidRDefault="00FF22F4">
      <w:pPr>
        <w:numPr>
          <w:ilvl w:val="0"/>
          <w:numId w:val="4"/>
        </w:numPr>
      </w:pPr>
      <w:r>
        <w:rPr>
          <w:u w:val="single"/>
        </w:rPr>
        <w:t>合资格上市申请人数量</w:t>
      </w:r>
    </w:p>
    <w:p w:rsidR="00CD499E" w:rsidRDefault="00FF22F4">
      <w:pPr>
        <w:numPr>
          <w:ilvl w:val="0"/>
          <w:numId w:val="1"/>
        </w:numPr>
        <w:rPr>
          <w:lang w:eastAsia="zh-CN"/>
        </w:rPr>
      </w:pPr>
      <w:r>
        <w:rPr>
          <w:lang w:eastAsia="zh-CN"/>
        </w:rPr>
        <w:t>香港交易所进行了一项影响分析，并对结论进行了概述，以论证香港交易所盈利规定提高产生的预期效果。</w:t>
      </w:r>
    </w:p>
    <w:p w:rsidR="00CD499E" w:rsidRDefault="00FF22F4">
      <w:pPr>
        <w:numPr>
          <w:ilvl w:val="0"/>
          <w:numId w:val="1"/>
        </w:numPr>
        <w:rPr>
          <w:lang w:eastAsia="zh-CN"/>
        </w:rPr>
      </w:pPr>
      <w:r>
        <w:rPr>
          <w:lang w:eastAsia="zh-CN"/>
        </w:rPr>
        <w:t>2016年至2019年期间提交的香港交易所盈利规定申请中，（若按照）选项1及选项2则分别有59%（437家）及65%（486家）不具上市资格。在两个选项下，有46%的不合资格申请来自小盘股发行人，该等小盘股发行人拥有拟定市值为5亿港元至7亿港元不等，其中没有一家属「新经济」公司，历史市盈率中值为14倍。相比之下，有10%（根据选项1）及3%（根据选项2）的合资格申请拥有拟定市值达5亿港元至7亿港元不等，历史市盈率中值为8倍。</w:t>
      </w:r>
    </w:p>
    <w:p w:rsidR="00CD499E" w:rsidRDefault="00FF22F4">
      <w:pPr>
        <w:numPr>
          <w:ilvl w:val="0"/>
          <w:numId w:val="1"/>
        </w:numPr>
        <w:rPr>
          <w:lang w:eastAsia="zh-CN"/>
        </w:rPr>
      </w:pPr>
      <w:r>
        <w:rPr>
          <w:lang w:eastAsia="zh-CN"/>
        </w:rPr>
        <w:t>22%（根据选项1）及25%（根据选项2）的不合资格申请来自非小盘股发行人，该等发行人拥有拟定市值超过7亿港元，历史市盈率中值分别为27倍（根据选项1）及26倍（根据选项2），与此同时有87%（根据选项1）及95%（根据选项2）的合资格申请来自非小盘</w:t>
      </w:r>
      <w:r>
        <w:rPr>
          <w:lang w:eastAsia="zh-CN"/>
        </w:rPr>
        <w:lastRenderedPageBreak/>
        <w:t>股发行人，该等发行人拥有市值超过7亿港元，历史市盈率中值为16倍（根据选项1）及15倍（根据选项2）。</w:t>
      </w:r>
    </w:p>
    <w:p w:rsidR="00CD499E" w:rsidRDefault="00FF22F4">
      <w:pPr>
        <w:numPr>
          <w:ilvl w:val="0"/>
          <w:numId w:val="1"/>
        </w:numPr>
        <w:rPr>
          <w:lang w:eastAsia="zh-CN"/>
        </w:rPr>
      </w:pPr>
      <w:r>
        <w:rPr>
          <w:lang w:eastAsia="zh-CN"/>
        </w:rPr>
        <w:t>即便香港交易所盈利要求没有提高，根据现时的市值规定，拥有市值不到5亿港元的申请人也本不具上市资格。</w:t>
      </w:r>
    </w:p>
    <w:p w:rsidR="00CD499E" w:rsidRDefault="00FF22F4">
      <w:pPr>
        <w:numPr>
          <w:ilvl w:val="0"/>
          <w:numId w:val="4"/>
        </w:numPr>
        <w:rPr>
          <w:lang w:eastAsia="zh-CN"/>
        </w:rPr>
      </w:pPr>
      <w:r>
        <w:rPr>
          <w:u w:val="single"/>
          <w:lang w:eastAsia="zh-CN"/>
        </w:rPr>
        <w:t>早起发展阶段的公司及中小型企业</w:t>
      </w:r>
    </w:p>
    <w:p w:rsidR="00CD499E" w:rsidRDefault="00FF22F4">
      <w:pPr>
        <w:numPr>
          <w:ilvl w:val="0"/>
          <w:numId w:val="1"/>
        </w:numPr>
        <w:rPr>
          <w:lang w:eastAsia="zh-CN"/>
        </w:rPr>
      </w:pPr>
      <w:r>
        <w:rPr>
          <w:lang w:eastAsia="zh-CN"/>
        </w:rPr>
        <w:t>香港交易所留意到寻求在香港交易所主板上市的处于早起发展阶段的公司或中小型企业将会受到提高后的香港交易所盈利规定的影响。不过，提高后的香港交易所盈利规定不会妨碍该等公司进入香港资本市场，因为其可以另行在创业板市场寻求上市。这一点与香港交易所为改善主板发行人整体质素而进一步区分主板市场上市及创业板市场上市的目标相匹配，因此也加强了香港作为国际金融中心的地位。</w:t>
      </w:r>
    </w:p>
    <w:p w:rsidR="00CD499E" w:rsidRDefault="00FF22F4">
      <w:pPr>
        <w:numPr>
          <w:ilvl w:val="0"/>
          <w:numId w:val="4"/>
        </w:numPr>
        <w:rPr>
          <w:lang w:eastAsia="zh-CN"/>
        </w:rPr>
      </w:pPr>
      <w:r>
        <w:rPr>
          <w:u w:val="single"/>
          <w:lang w:eastAsia="zh-CN"/>
        </w:rPr>
        <w:t>香港交易所与海外市场的比较</w:t>
      </w:r>
    </w:p>
    <w:p w:rsidR="00CD499E" w:rsidRDefault="00FF22F4">
      <w:pPr>
        <w:numPr>
          <w:ilvl w:val="0"/>
          <w:numId w:val="1"/>
        </w:numPr>
        <w:rPr>
          <w:lang w:eastAsia="zh-CN"/>
        </w:rPr>
      </w:pPr>
      <w:r>
        <w:rPr>
          <w:lang w:eastAsia="zh-CN"/>
        </w:rPr>
        <w:t>目前，与经挑选的海外主要市场（澳大利亚证券交易所，伦敦证券交易所（溢价部分），纳斯达克证券交易所（全球精选市场），纽约证券交易所，新加坡证券交易所主板市场及上海证券交易所主板市场）相比，香港交易所的盈利规定位列第三。提高香港交易所盈利规定（根据选项1或者选项2）将会致使香港交易所的盈利要求位列第一（与选定的海外市场在三年业绩记录期内的总盈利规定相比）。但是，可能不符合提高后的香港交易所主板市场盈利规定公司可以有其他合资格测试选择，香港交易所认为提高后的香港交易所盈利规定是合理的，因为其可以解决香港市场目前面对的一些问题。</w:t>
      </w:r>
    </w:p>
    <w:p w:rsidR="00CD499E" w:rsidRDefault="00FF22F4">
      <w:pPr>
        <w:pStyle w:val="FirstParagraph"/>
        <w:rPr>
          <w:lang w:eastAsia="zh-CN"/>
        </w:rPr>
      </w:pPr>
      <w:r>
        <w:rPr>
          <w:lang w:eastAsia="zh-CN"/>
        </w:rPr>
        <w:t>4. 拟议暂时豁免交易所提高的盈利要求</w:t>
      </w:r>
    </w:p>
    <w:p w:rsidR="00CD499E" w:rsidRDefault="00FF22F4">
      <w:pPr>
        <w:pStyle w:val="BodyText"/>
        <w:rPr>
          <w:lang w:eastAsia="zh-CN"/>
        </w:rPr>
      </w:pPr>
      <w:r>
        <w:rPr>
          <w:lang w:eastAsia="zh-CN"/>
        </w:rPr>
        <w:t>根据交易所现行盈利要求，至少上市前首两个财政年度以及最近一个财政年度的总盈利应分别占总盈利5000万港元门槛的60%（3000万港元）及40%（2000万港元）。</w:t>
      </w:r>
    </w:p>
    <w:p w:rsidR="00CD499E" w:rsidRDefault="00FF22F4">
      <w:pPr>
        <w:pStyle w:val="BodyText"/>
        <w:rPr>
          <w:lang w:eastAsia="zh-CN"/>
        </w:rPr>
      </w:pPr>
      <w:r>
        <w:rPr>
          <w:lang w:eastAsia="zh-CN"/>
        </w:rPr>
        <w:t>如果拟议提高的盈利要求获采纳，交易所计划对交易所提高的盈利要求实施临时有条件的豁免，为财务业绩暂时受到新冠疫情及相应经济下行影响的优质公司上市提供便利。</w:t>
      </w:r>
    </w:p>
    <w:p w:rsidR="00CD499E" w:rsidRDefault="00FF22F4">
      <w:pPr>
        <w:pStyle w:val="BodyText"/>
        <w:rPr>
          <w:lang w:eastAsia="zh-CN"/>
        </w:rPr>
      </w:pPr>
      <w:r>
        <w:rPr>
          <w:lang w:eastAsia="zh-CN"/>
        </w:rPr>
        <w:t>如果交易所提高的盈利要求被采纳，申请人必须符合下列条件，才有资格获得首两个财政年度与最近一个财政年度之间的盈利差额的临时豁免：</w:t>
      </w:r>
    </w:p>
    <w:p w:rsidR="00CD499E" w:rsidRDefault="00FF22F4">
      <w:pPr>
        <w:pStyle w:val="Compact"/>
        <w:numPr>
          <w:ilvl w:val="0"/>
          <w:numId w:val="5"/>
        </w:numPr>
        <w:rPr>
          <w:lang w:eastAsia="zh-CN"/>
        </w:rPr>
      </w:pPr>
      <w:r>
        <w:rPr>
          <w:lang w:eastAsia="zh-CN"/>
        </w:rPr>
        <w:t>在营业记录期内总盈利达到总盈利门槛（选择1下的1.25亿港元或选择2下的1.5亿港元）；</w:t>
      </w:r>
    </w:p>
    <w:p w:rsidR="00CD499E" w:rsidRDefault="00FF22F4">
      <w:pPr>
        <w:pStyle w:val="Compact"/>
        <w:numPr>
          <w:ilvl w:val="0"/>
          <w:numId w:val="5"/>
        </w:numPr>
        <w:rPr>
          <w:lang w:eastAsia="zh-CN"/>
        </w:rPr>
      </w:pPr>
      <w:r>
        <w:rPr>
          <w:lang w:eastAsia="zh-CN"/>
        </w:rPr>
        <w:t>在营运资本变化和在记录期间的上一个财政年度纳税之前，在常规及一般业务过程中，营运活动产生的现金流为正值；</w:t>
      </w:r>
    </w:p>
    <w:p w:rsidR="00CD499E" w:rsidRDefault="00FF22F4">
      <w:pPr>
        <w:pStyle w:val="Compact"/>
        <w:numPr>
          <w:ilvl w:val="0"/>
          <w:numId w:val="5"/>
        </w:numPr>
        <w:rPr>
          <w:lang w:eastAsia="zh-CN"/>
        </w:rPr>
      </w:pPr>
      <w:r>
        <w:rPr>
          <w:lang w:eastAsia="zh-CN"/>
        </w:rPr>
        <w:t>证明导致其无法满足交易所盈利要求的盈利差值的条件和环境是暂时的。交易所将评估申请人上一财政年度/期间的盈利能力，以了解申请人是否已从不利的市场环境中恢复或正在恢复;</w:t>
      </w:r>
    </w:p>
    <w:p w:rsidR="00CD499E" w:rsidRDefault="00FF22F4">
      <w:pPr>
        <w:pStyle w:val="Compact"/>
        <w:numPr>
          <w:ilvl w:val="0"/>
          <w:numId w:val="5"/>
        </w:numPr>
        <w:rPr>
          <w:lang w:eastAsia="zh-CN"/>
        </w:rPr>
      </w:pPr>
      <w:r>
        <w:rPr>
          <w:lang w:eastAsia="zh-CN"/>
        </w:rPr>
        <w:t>营业记录期须至少为2020日历年内的连续6个月；及</w:t>
      </w:r>
    </w:p>
    <w:p w:rsidR="00CD499E" w:rsidRDefault="00FF22F4">
      <w:pPr>
        <w:pStyle w:val="Compact"/>
        <w:numPr>
          <w:ilvl w:val="0"/>
          <w:numId w:val="5"/>
        </w:numPr>
        <w:rPr>
          <w:lang w:eastAsia="zh-CN"/>
        </w:rPr>
      </w:pPr>
      <w:r>
        <w:rPr>
          <w:lang w:eastAsia="zh-CN"/>
        </w:rPr>
        <w:t>在上市文件中充分进行披露，包括：</w:t>
      </w:r>
    </w:p>
    <w:p w:rsidR="00CD499E" w:rsidRDefault="00FF22F4">
      <w:pPr>
        <w:pStyle w:val="Compact"/>
        <w:numPr>
          <w:ilvl w:val="1"/>
          <w:numId w:val="6"/>
        </w:numPr>
        <w:rPr>
          <w:lang w:eastAsia="zh-CN"/>
        </w:rPr>
      </w:pPr>
      <w:r>
        <w:rPr>
          <w:lang w:eastAsia="zh-CN"/>
        </w:rPr>
        <w:t>在交易所提高盈利要求的情况下，导致无法满足盈利价差的情况持续或再次出现的可能性；</w:t>
      </w:r>
    </w:p>
    <w:p w:rsidR="00CD499E" w:rsidRDefault="00FF22F4">
      <w:pPr>
        <w:pStyle w:val="Compact"/>
        <w:numPr>
          <w:ilvl w:val="1"/>
          <w:numId w:val="6"/>
        </w:numPr>
        <w:rPr>
          <w:lang w:eastAsia="zh-CN"/>
        </w:rPr>
      </w:pPr>
      <w:r>
        <w:rPr>
          <w:lang w:eastAsia="zh-CN"/>
        </w:rPr>
        <w:t>申请人采取或即将采取的措施，降低此类情况对未来盈利能力的影响；及</w:t>
      </w:r>
    </w:p>
    <w:p w:rsidR="00CD499E" w:rsidRDefault="00FF22F4">
      <w:pPr>
        <w:pStyle w:val="Compact"/>
        <w:numPr>
          <w:ilvl w:val="1"/>
          <w:numId w:val="6"/>
        </w:numPr>
        <w:rPr>
          <w:lang w:eastAsia="zh-CN"/>
        </w:rPr>
      </w:pPr>
      <w:r>
        <w:rPr>
          <w:lang w:eastAsia="zh-CN"/>
        </w:rPr>
        <w:t>包括上市日期后即将到来的财政年度结束日期的盈利预测，包括详细根据和主要假设。</w:t>
      </w:r>
    </w:p>
    <w:p w:rsidR="00CD499E" w:rsidRDefault="00FF22F4">
      <w:pPr>
        <w:pStyle w:val="FirstParagraph"/>
        <w:rPr>
          <w:lang w:eastAsia="zh-CN"/>
        </w:rPr>
      </w:pPr>
      <w:r>
        <w:rPr>
          <w:lang w:eastAsia="zh-CN"/>
        </w:rPr>
        <w:t>在任何情况下，寻求临时豁免的申请人须提交申请至交易所，交易所会根据个案考虑。</w:t>
      </w:r>
    </w:p>
    <w:p w:rsidR="00CD499E" w:rsidRDefault="00FF22F4">
      <w:pPr>
        <w:pStyle w:val="BodyText"/>
        <w:rPr>
          <w:lang w:eastAsia="zh-CN"/>
        </w:rPr>
      </w:pPr>
      <w:r>
        <w:rPr>
          <w:lang w:eastAsia="zh-CN"/>
        </w:rPr>
        <w:t>5. 过渡安排</w:t>
      </w:r>
    </w:p>
    <w:p w:rsidR="00CD499E" w:rsidRDefault="00FF22F4">
      <w:pPr>
        <w:pStyle w:val="BodyText"/>
        <w:rPr>
          <w:lang w:eastAsia="zh-CN"/>
        </w:rPr>
      </w:pPr>
      <w:r>
        <w:rPr>
          <w:lang w:eastAsia="zh-CN"/>
        </w:rPr>
        <w:lastRenderedPageBreak/>
        <w:t>鉴于公司可能已根据香港交易所所现行的盈利要求，开始计划申请在主板上市，交易所建议引入过渡安排，以尽量减少对潜在申请人的影响。</w:t>
      </w:r>
    </w:p>
    <w:p w:rsidR="00CD499E" w:rsidRDefault="00FF22F4">
      <w:pPr>
        <w:pStyle w:val="BodyText"/>
        <w:rPr>
          <w:lang w:eastAsia="zh-CN"/>
        </w:rPr>
      </w:pPr>
      <w:r>
        <w:rPr>
          <w:lang w:eastAsia="zh-CN"/>
        </w:rPr>
        <w:t>如交易所提高盈利要求的建议获采纳，将不早于2021年7月1日（生效日）生效。2021年7月1前提交以及在2021年7月1日仍然活跃（即申请未失效，未被撤回、拒绝或退回）的主板上市申请（包括创业板转让）将按现行的交易所盈利要求进行评估。如申请在上次申请失效之日起计三个日历月内续期，可在生效日期后续期一次，以继续根据提高的交易所盈利要求进行评估。</w:t>
      </w:r>
    </w:p>
    <w:p w:rsidR="00CD499E" w:rsidRDefault="00FF22F4">
      <w:pPr>
        <w:pStyle w:val="BodyText"/>
        <w:rPr>
          <w:lang w:eastAsia="zh-CN"/>
        </w:rPr>
      </w:pPr>
      <w:r>
        <w:rPr>
          <w:lang w:eastAsia="zh-CN"/>
        </w:rPr>
        <w:t>至于根据《上市规则》附录28载列的过渡安排处理的创业板转让申请（即创业板合资格发行人在2018年2月15日至2021年2月14日间提出的申请），如申请在2021年2月14日以后失效，他们将不再享有过渡安排，并须遵守现行的交易所盈利及市值要求等。但上述过渡性安排将适用。</w:t>
      </w:r>
    </w:p>
    <w:p w:rsidR="00CD499E" w:rsidRDefault="00FF22F4">
      <w:pPr>
        <w:pStyle w:val="BodyText"/>
        <w:rPr>
          <w:lang w:eastAsia="zh-CN"/>
        </w:rPr>
      </w:pPr>
      <w:r>
        <w:rPr>
          <w:lang w:eastAsia="zh-CN"/>
        </w:rPr>
        <w:t>申请人不得在上市申请失效前撤回其上市申请，但是在生效日期后可立刻重新提交该上市申请，否则根据交易所现行的盈利要求，对该申请进行评估的时间会较长。</w:t>
      </w:r>
    </w:p>
    <w:p w:rsidR="00CD499E" w:rsidRDefault="00FF22F4">
      <w:pPr>
        <w:pStyle w:val="DisclaimerBold"/>
        <w:rPr>
          <w:lang w:eastAsia="zh-CN"/>
        </w:rPr>
      </w:pPr>
      <w:r>
        <w:rPr>
          <w:lang w:eastAsia="zh-CN"/>
        </w:rPr>
        <w:t>此法讯仅为提供相关资料信息之用，其内容并</w:t>
      </w:r>
    </w:p>
    <w:p w:rsidR="00CD499E" w:rsidRDefault="00FF22F4">
      <w:pPr>
        <w:pStyle w:val="Disclaimer"/>
        <w:rPr>
          <w:lang w:eastAsia="zh-CN"/>
        </w:rPr>
      </w:pPr>
      <w:r>
        <w:rPr>
          <w:lang w:eastAsia="zh-CN"/>
        </w:rPr>
        <w:t>不构成法律建议及个案的法律分析。</w:t>
      </w:r>
    </w:p>
    <w:p w:rsidR="00CD499E" w:rsidRDefault="00FF22F4">
      <w:pPr>
        <w:pStyle w:val="Disclaimer"/>
        <w:rPr>
          <w:lang w:eastAsia="zh-CN"/>
        </w:rPr>
      </w:pPr>
      <w:r>
        <w:rPr>
          <w:lang w:eastAsia="zh-CN"/>
        </w:rPr>
        <w:t>此法讯的发送并不是为了在易周律师行与用户或浏览者之间建立一种律师与客户之关系。</w:t>
      </w:r>
    </w:p>
    <w:p w:rsidR="00CD499E" w:rsidRDefault="00FF22F4">
      <w:pPr>
        <w:pStyle w:val="Disclaimer"/>
        <w:rPr>
          <w:lang w:eastAsia="zh-CN"/>
        </w:rPr>
      </w:pPr>
      <w:r>
        <w:rPr>
          <w:lang w:eastAsia="zh-CN"/>
        </w:rPr>
        <w:t>易周律师行并不对可从互联网获得的任何第三方内容负责。</w:t>
      </w:r>
    </w:p>
    <w:p w:rsidR="00CD499E" w:rsidRDefault="00FF22F4">
      <w:pPr>
        <w:pStyle w:val="Disclaimer"/>
        <w:rPr>
          <w:lang w:eastAsia="zh-CN"/>
        </w:rPr>
      </w:pPr>
      <w:r>
        <w:rPr>
          <w:lang w:eastAsia="zh-CN"/>
        </w:rPr>
        <w:t xml:space="preserve">如你不希望再收到易周法讯，请发送电邮至  </w:t>
      </w:r>
      <w:hyperlink r:id="rId8">
        <w:r>
          <w:rPr>
            <w:lang w:eastAsia="zh-CN"/>
          </w:rPr>
          <w:t>unsubscribe@charltonslaw.com</w:t>
        </w:r>
      </w:hyperlink>
    </w:p>
    <w:p w:rsidR="00CD499E" w:rsidRDefault="00FF22F4">
      <w:pPr>
        <w:pStyle w:val="BlackStrips"/>
      </w:pPr>
      <w:r>
        <w:t>Charltons - 香港法律 - 2020年12月15日</w:t>
      </w:r>
    </w:p>
    <w:sectPr w:rsidR="00CD499E">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1C2" w:rsidRDefault="00FF22F4">
      <w:pPr>
        <w:spacing w:after="0"/>
      </w:pPr>
      <w:r>
        <w:separator/>
      </w:r>
    </w:p>
  </w:endnote>
  <w:endnote w:type="continuationSeparator" w:id="0">
    <w:p w:rsidR="007861C2" w:rsidRDefault="00FF22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99E" w:rsidRDefault="00FF22F4">
      <w:r>
        <w:separator/>
      </w:r>
    </w:p>
  </w:footnote>
  <w:footnote w:type="continuationSeparator" w:id="0">
    <w:p w:rsidR="00CD499E" w:rsidRDefault="00FF2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FAAA38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97CD0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E27AF4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F59E5AB8"/>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551D1"/>
    <w:rsid w:val="004E29B3"/>
    <w:rsid w:val="00590D07"/>
    <w:rsid w:val="00784D58"/>
    <w:rsid w:val="007861C2"/>
    <w:rsid w:val="008D6863"/>
    <w:rsid w:val="00B86B75"/>
    <w:rsid w:val="00BC48D5"/>
    <w:rsid w:val="00C36279"/>
    <w:rsid w:val="00CD499E"/>
    <w:rsid w:val="00E315A3"/>
    <w:rsid w:val="00FF22F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233C"/>
  <w15:docId w15:val="{7D0423F3-B7DE-4A4C-A89A-BDCD8EAF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jiao-yi-suo-jiu-ti-gao-zhu-ban-shi-chang-ying-li-yao-qiu-de-ti-an-jin-xing-zi-x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658</Words>
  <Characters>3755</Characters>
  <Application>Microsoft Office Word</Application>
  <DocSecurity>0</DocSecurity>
  <Lines>31</Lines>
  <Paragraphs>8</Paragraphs>
  <ScaleCrop>false</ScaleCrop>
  <Company>Charltons</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2020-12-15T06:47:00Z</dcterms:created>
  <dcterms:modified xsi:type="dcterms:W3CDTF">2020-12-15T08:15:00Z</dcterms:modified>
</cp:coreProperties>
</file>