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BE4" w:rsidRDefault="0002087F">
      <w:pPr>
        <w:pStyle w:val="BlackStrips"/>
      </w:pPr>
      <w:r>
        <w:t xml:space="preserve">Charltons - </w:t>
      </w:r>
      <w:r>
        <w:t>香港法律</w:t>
      </w:r>
      <w:r>
        <w:t xml:space="preserve"> - 2021</w:t>
      </w:r>
      <w:r>
        <w:t>年</w:t>
      </w:r>
      <w:r>
        <w:t>11</w:t>
      </w:r>
      <w:r>
        <w:t>月</w:t>
      </w:r>
      <w:r>
        <w:t>8</w:t>
      </w:r>
      <w:r>
        <w:t>日</w:t>
      </w:r>
    </w:p>
    <w:p w:rsidR="00117BE4" w:rsidRDefault="0002087F">
      <w:pPr>
        <w:pStyle w:val="ReadOnline"/>
        <w:rPr>
          <w:lang w:eastAsia="zh-CN"/>
        </w:rPr>
      </w:pPr>
      <w:hyperlink r:id="rId7">
        <w:r>
          <w:rPr>
            <w:lang w:eastAsia="zh-CN"/>
          </w:rPr>
          <w:t>online version</w:t>
        </w:r>
      </w:hyperlink>
    </w:p>
    <w:p w:rsidR="00117BE4" w:rsidRDefault="0002087F">
      <w:pPr>
        <w:pStyle w:val="Title"/>
        <w:rPr>
          <w:lang w:eastAsia="zh-CN"/>
        </w:rPr>
      </w:pPr>
      <w:r>
        <w:rPr>
          <w:lang w:eastAsia="zh-CN"/>
        </w:rPr>
        <w:t>香港政府资助设立香港开放式基金公司及房地产投资信托基金</w:t>
      </w:r>
    </w:p>
    <w:p w:rsidR="00117BE4" w:rsidRDefault="0002087F">
      <w:pPr>
        <w:pStyle w:val="FirstParagraph"/>
        <w:rPr>
          <w:lang w:eastAsia="zh-CN"/>
        </w:rPr>
      </w:pPr>
      <w:r>
        <w:rPr>
          <w:lang w:eastAsia="zh-CN"/>
        </w:rPr>
        <w:t>香港政府财政司司长在</w:t>
      </w:r>
      <w:r>
        <w:rPr>
          <w:lang w:eastAsia="zh-CN"/>
        </w:rPr>
        <w:t>2021/2022</w:t>
      </w:r>
      <w:r>
        <w:rPr>
          <w:lang w:eastAsia="zh-CN"/>
        </w:rPr>
        <w:t>预算案演辞</w:t>
      </w:r>
      <w:hyperlink w:anchor="footnote-8693-1">
        <w:r>
          <w:rPr>
            <w:vertAlign w:val="superscript"/>
            <w:lang w:eastAsia="zh-CN"/>
          </w:rPr>
          <w:t>1</w:t>
        </w:r>
      </w:hyperlink>
      <w:r>
        <w:rPr>
          <w:lang w:eastAsia="zh-CN"/>
        </w:rPr>
        <w:t>中宣布香港政府将提供</w:t>
      </w:r>
      <w:r>
        <w:rPr>
          <w:lang w:eastAsia="zh-CN"/>
        </w:rPr>
        <w:t>70%</w:t>
      </w:r>
      <w:r>
        <w:rPr>
          <w:lang w:eastAsia="zh-CN"/>
        </w:rPr>
        <w:t>的支出补贴支付香港专业服务提供者，用以未来三年在香港设立或迁址香港的香港开放式基金公司，每个开放式基金公司获补贴的上限为</w:t>
      </w:r>
      <w:r>
        <w:rPr>
          <w:lang w:eastAsia="zh-CN"/>
        </w:rPr>
        <w:t>100</w:t>
      </w:r>
      <w:r>
        <w:rPr>
          <w:lang w:eastAsia="zh-CN"/>
        </w:rPr>
        <w:t>万港元（</w:t>
      </w:r>
      <w:r>
        <w:rPr>
          <w:lang w:eastAsia="zh-CN"/>
        </w:rPr>
        <w:t>“</w:t>
      </w:r>
      <w:r>
        <w:rPr>
          <w:b/>
          <w:lang w:eastAsia="zh-CN"/>
        </w:rPr>
        <w:t>香港开放式基金公司资助计划</w:t>
      </w:r>
      <w:r>
        <w:rPr>
          <w:lang w:eastAsia="zh-CN"/>
        </w:rPr>
        <w:t>”</w:t>
      </w:r>
      <w:r>
        <w:rPr>
          <w:lang w:eastAsia="zh-CN"/>
        </w:rPr>
        <w:t>）。此外，香港财政司司长强调，香港致力发展香港房地产投资信托市场，并担当融资中心的角色。因此，政府宣布，在未来三年，政府将为获证监会批准并在香港上市的符合资格的香港房地产投资基金提供补贴。该补贴将</w:t>
      </w:r>
      <w:r>
        <w:rPr>
          <w:lang w:eastAsia="zh-CN"/>
        </w:rPr>
        <w:t>涵盖为香港房地产投资基金上市而支付给本地专业服务提供者费用的</w:t>
      </w:r>
      <w:r>
        <w:rPr>
          <w:lang w:eastAsia="zh-CN"/>
        </w:rPr>
        <w:t>70%</w:t>
      </w:r>
      <w:r>
        <w:rPr>
          <w:lang w:eastAsia="zh-CN"/>
        </w:rPr>
        <w:t>，每个香港房地产投资基金的资助上限为</w:t>
      </w:r>
      <w:r>
        <w:rPr>
          <w:lang w:eastAsia="zh-CN"/>
        </w:rPr>
        <w:t>800</w:t>
      </w:r>
      <w:r>
        <w:rPr>
          <w:lang w:eastAsia="zh-CN"/>
        </w:rPr>
        <w:t>万港元（</w:t>
      </w:r>
      <w:r>
        <w:rPr>
          <w:lang w:eastAsia="zh-CN"/>
        </w:rPr>
        <w:t>“</w:t>
      </w:r>
      <w:r>
        <w:rPr>
          <w:b/>
          <w:lang w:eastAsia="zh-CN"/>
        </w:rPr>
        <w:t>香港房地产投资信托基金资助计划</w:t>
      </w:r>
      <w:r>
        <w:rPr>
          <w:lang w:eastAsia="zh-CN"/>
        </w:rPr>
        <w:t>”</w:t>
      </w:r>
      <w:r>
        <w:rPr>
          <w:lang w:eastAsia="zh-CN"/>
        </w:rPr>
        <w:t>）。</w:t>
      </w:r>
    </w:p>
    <w:p w:rsidR="00117BE4" w:rsidRDefault="0002087F">
      <w:pPr>
        <w:pStyle w:val="BodyText"/>
        <w:rPr>
          <w:lang w:eastAsia="zh-CN"/>
        </w:rPr>
      </w:pPr>
      <w:r>
        <w:rPr>
          <w:lang w:eastAsia="zh-CN"/>
        </w:rPr>
        <w:t>香港开放式基金公司资助计划及香港房地产投资信托基金资助计划的申请期为三年，由</w:t>
      </w:r>
      <w:r>
        <w:rPr>
          <w:lang w:eastAsia="zh-CN"/>
        </w:rPr>
        <w:t>2021</w:t>
      </w:r>
      <w:r>
        <w:rPr>
          <w:lang w:eastAsia="zh-CN"/>
        </w:rPr>
        <w:t>年</w:t>
      </w:r>
      <w:r>
        <w:rPr>
          <w:lang w:eastAsia="zh-CN"/>
        </w:rPr>
        <w:t>5</w:t>
      </w:r>
      <w:r>
        <w:rPr>
          <w:lang w:eastAsia="zh-CN"/>
        </w:rPr>
        <w:t>月</w:t>
      </w:r>
      <w:r>
        <w:rPr>
          <w:lang w:eastAsia="zh-CN"/>
        </w:rPr>
        <w:t>10</w:t>
      </w:r>
      <w:r>
        <w:rPr>
          <w:lang w:eastAsia="zh-CN"/>
        </w:rPr>
        <w:t>日（</w:t>
      </w:r>
      <w:r>
        <w:rPr>
          <w:lang w:eastAsia="zh-CN"/>
        </w:rPr>
        <w:t>“</w:t>
      </w:r>
      <w:r>
        <w:rPr>
          <w:b/>
          <w:lang w:eastAsia="zh-CN"/>
        </w:rPr>
        <w:t>开始日期</w:t>
      </w:r>
      <w:r>
        <w:rPr>
          <w:lang w:eastAsia="zh-CN"/>
        </w:rPr>
        <w:t>”</w:t>
      </w:r>
      <w:r>
        <w:rPr>
          <w:lang w:eastAsia="zh-CN"/>
        </w:rPr>
        <w:t>）开始，至</w:t>
      </w:r>
      <w:r>
        <w:rPr>
          <w:lang w:eastAsia="zh-CN"/>
        </w:rPr>
        <w:t>2024</w:t>
      </w:r>
      <w:r>
        <w:rPr>
          <w:lang w:eastAsia="zh-CN"/>
        </w:rPr>
        <w:t>年</w:t>
      </w:r>
      <w:r>
        <w:rPr>
          <w:lang w:eastAsia="zh-CN"/>
        </w:rPr>
        <w:t>5</w:t>
      </w:r>
      <w:r>
        <w:rPr>
          <w:lang w:eastAsia="zh-CN"/>
        </w:rPr>
        <w:t>月</w:t>
      </w:r>
      <w:r>
        <w:rPr>
          <w:lang w:eastAsia="zh-CN"/>
        </w:rPr>
        <w:t>9</w:t>
      </w:r>
      <w:r>
        <w:rPr>
          <w:lang w:eastAsia="zh-CN"/>
        </w:rPr>
        <w:t>日结束。</w:t>
      </w:r>
    </w:p>
    <w:p w:rsidR="00117BE4" w:rsidRDefault="0002087F">
      <w:pPr>
        <w:pStyle w:val="BodyText"/>
        <w:rPr>
          <w:lang w:eastAsia="zh-CN"/>
        </w:rPr>
      </w:pPr>
      <w:r>
        <w:rPr>
          <w:lang w:eastAsia="zh-CN"/>
        </w:rPr>
        <w:t>香港开放式基金公司资助计划</w:t>
      </w:r>
    </w:p>
    <w:p w:rsidR="00117BE4" w:rsidRDefault="0002087F">
      <w:pPr>
        <w:pStyle w:val="BodyText"/>
        <w:rPr>
          <w:lang w:eastAsia="zh-CN"/>
        </w:rPr>
      </w:pPr>
      <w:r>
        <w:rPr>
          <w:lang w:eastAsia="zh-CN"/>
        </w:rPr>
        <w:t>对于在香港成功注册成立或迁址于香港的香港开放式基金公司，香港开放式基金公司资助计划将涵盖支付给香港服务提供者的香港开放式基金公司合资格开支（定义如下）的</w:t>
      </w:r>
      <w:r>
        <w:rPr>
          <w:lang w:eastAsia="zh-CN"/>
        </w:rPr>
        <w:t>70%</w:t>
      </w:r>
      <w:r>
        <w:rPr>
          <w:lang w:eastAsia="zh-CN"/>
        </w:rPr>
        <w:t>，每个香港开放式基金公司</w:t>
      </w:r>
      <w:r>
        <w:rPr>
          <w:lang w:eastAsia="zh-CN"/>
        </w:rPr>
        <w:t>获资助的上限为</w:t>
      </w:r>
      <w:r>
        <w:rPr>
          <w:lang w:eastAsia="zh-CN"/>
        </w:rPr>
        <w:t>100</w:t>
      </w:r>
      <w:r>
        <w:rPr>
          <w:lang w:eastAsia="zh-CN"/>
        </w:rPr>
        <w:t>万港元。</w:t>
      </w:r>
    </w:p>
    <w:p w:rsidR="00117BE4" w:rsidRDefault="0002087F">
      <w:pPr>
        <w:pStyle w:val="BodyText"/>
        <w:rPr>
          <w:lang w:eastAsia="zh-CN"/>
        </w:rPr>
      </w:pPr>
      <w:r>
        <w:rPr>
          <w:i/>
          <w:lang w:eastAsia="zh-CN"/>
        </w:rPr>
        <w:t>根据香港开放式基金公司资助计划，合资格成为香港开放式基金公司的标准</w:t>
      </w:r>
    </w:p>
    <w:tbl>
      <w:tblPr>
        <w:tblW w:w="5000" w:type="pct"/>
        <w:tblLayout w:type="fixed"/>
        <w:tblLook w:val="07E0" w:firstRow="1" w:lastRow="1" w:firstColumn="1" w:lastColumn="1" w:noHBand="1" w:noVBand="1"/>
      </w:tblPr>
      <w:tblGrid>
        <w:gridCol w:w="798"/>
        <w:gridCol w:w="9596"/>
      </w:tblGrid>
      <w:tr w:rsidR="00117BE4" w:rsidTr="00A22308">
        <w:tc>
          <w:tcPr>
            <w:tcW w:w="384" w:type="pct"/>
            <w:tcBorders>
              <w:bottom w:val="single" w:sz="4" w:space="0" w:color="auto"/>
            </w:tcBorders>
            <w:vAlign w:val="bottom"/>
          </w:tcPr>
          <w:p w:rsidR="00117BE4" w:rsidRDefault="00117BE4">
            <w:pPr>
              <w:rPr>
                <w:lang w:eastAsia="zh-CN"/>
              </w:rPr>
            </w:pPr>
          </w:p>
        </w:tc>
        <w:tc>
          <w:tcPr>
            <w:tcW w:w="4616" w:type="pct"/>
            <w:tcBorders>
              <w:bottom w:val="single" w:sz="0" w:space="0" w:color="auto"/>
            </w:tcBorders>
            <w:vAlign w:val="bottom"/>
          </w:tcPr>
          <w:p w:rsidR="00117BE4" w:rsidRDefault="0002087F">
            <w:pPr>
              <w:rPr>
                <w:lang w:eastAsia="zh-CN"/>
              </w:rPr>
            </w:pPr>
            <w:r>
              <w:rPr>
                <w:b/>
                <w:lang w:eastAsia="zh-CN"/>
              </w:rPr>
              <w:t>香港开放式基金公司的资格要求</w:t>
            </w:r>
          </w:p>
        </w:tc>
      </w:tr>
      <w:tr w:rsidR="00117BE4" w:rsidTr="00A22308">
        <w:tc>
          <w:tcPr>
            <w:tcW w:w="384" w:type="pct"/>
          </w:tcPr>
          <w:p w:rsidR="00117BE4" w:rsidRDefault="0002087F">
            <w:r>
              <w:rPr>
                <w:b/>
              </w:rPr>
              <w:t>合资格申请人</w:t>
            </w:r>
          </w:p>
        </w:tc>
        <w:tc>
          <w:tcPr>
            <w:tcW w:w="4616" w:type="pct"/>
          </w:tcPr>
          <w:p w:rsidR="00117BE4" w:rsidRDefault="0002087F">
            <w:pPr>
              <w:rPr>
                <w:lang w:eastAsia="zh-CN"/>
              </w:rPr>
            </w:pPr>
            <w:r>
              <w:rPr>
                <w:lang w:eastAsia="zh-CN"/>
              </w:rPr>
              <w:t>香港开放式基金公司资助计划适用于香港开放式基金公司的投资经理，其：</w:t>
            </w:r>
          </w:p>
          <w:p w:rsidR="00117BE4" w:rsidRDefault="0002087F">
            <w:pPr>
              <w:pStyle w:val="Compact"/>
              <w:numPr>
                <w:ilvl w:val="0"/>
                <w:numId w:val="3"/>
              </w:numPr>
              <w:jc w:val="left"/>
              <w:rPr>
                <w:lang w:eastAsia="zh-CN"/>
              </w:rPr>
            </w:pPr>
            <w:r>
              <w:rPr>
                <w:lang w:eastAsia="zh-CN"/>
              </w:rPr>
              <w:t>成功注册香港开放式基金公司；或</w:t>
            </w:r>
          </w:p>
          <w:p w:rsidR="00117BE4" w:rsidRDefault="0002087F">
            <w:pPr>
              <w:pStyle w:val="Compact"/>
              <w:numPr>
                <w:ilvl w:val="0"/>
                <w:numId w:val="3"/>
              </w:numPr>
              <w:jc w:val="left"/>
              <w:rPr>
                <w:lang w:eastAsia="zh-CN"/>
              </w:rPr>
            </w:pPr>
            <w:r>
              <w:rPr>
                <w:lang w:eastAsia="zh-CN"/>
              </w:rPr>
              <w:t>在开始日期或之后将非香港公司的基金迁以开放式基金公司的身份移至香港。</w:t>
            </w:r>
          </w:p>
          <w:p w:rsidR="00117BE4" w:rsidRDefault="0002087F">
            <w:pPr>
              <w:rPr>
                <w:lang w:eastAsia="zh-CN"/>
              </w:rPr>
            </w:pPr>
            <w:r>
              <w:rPr>
                <w:lang w:eastAsia="zh-CN"/>
              </w:rPr>
              <w:t>香港开放式基金公司的投资经理可代表香港开放式基金公司申请香港开放式基金公司资助计划。</w:t>
            </w:r>
          </w:p>
        </w:tc>
      </w:tr>
      <w:tr w:rsidR="00117BE4" w:rsidTr="00A22308">
        <w:tc>
          <w:tcPr>
            <w:tcW w:w="647" w:type="dxa"/>
          </w:tcPr>
          <w:p w:rsidR="00117BE4" w:rsidRDefault="0002087F">
            <w:r>
              <w:rPr>
                <w:b/>
              </w:rPr>
              <w:t>资助金额</w:t>
            </w:r>
          </w:p>
        </w:tc>
        <w:tc>
          <w:tcPr>
            <w:tcW w:w="9747" w:type="dxa"/>
          </w:tcPr>
          <w:p w:rsidR="00117BE4" w:rsidRDefault="0002087F">
            <w:pPr>
              <w:rPr>
                <w:lang w:eastAsia="zh-CN"/>
              </w:rPr>
            </w:pPr>
            <w:r>
              <w:rPr>
                <w:lang w:eastAsia="zh-CN"/>
              </w:rPr>
              <w:t>每份申请的香港开放式基金公司资助金额，相当于香港开放式基金公司合资格开支（定义如下）的</w:t>
            </w:r>
            <w:r>
              <w:rPr>
                <w:lang w:eastAsia="zh-CN"/>
              </w:rPr>
              <w:t>70%</w:t>
            </w:r>
            <w:r>
              <w:rPr>
                <w:lang w:eastAsia="zh-CN"/>
              </w:rPr>
              <w:t>。</w:t>
            </w:r>
          </w:p>
          <w:p w:rsidR="00117BE4" w:rsidRDefault="0002087F">
            <w:pPr>
              <w:rPr>
                <w:lang w:eastAsia="zh-CN"/>
              </w:rPr>
            </w:pPr>
            <w:r>
              <w:rPr>
                <w:lang w:eastAsia="zh-CN"/>
              </w:rPr>
              <w:t>每个香港开放式基金公司获资助金额上限为</w:t>
            </w:r>
            <w:r>
              <w:rPr>
                <w:lang w:eastAsia="zh-CN"/>
              </w:rPr>
              <w:t>100</w:t>
            </w:r>
            <w:r>
              <w:rPr>
                <w:lang w:eastAsia="zh-CN"/>
              </w:rPr>
              <w:t>万港元，以及每名投资经理最多可建立三</w:t>
            </w:r>
            <w:r>
              <w:rPr>
                <w:lang w:eastAsia="zh-CN"/>
              </w:rPr>
              <w:t>(3)</w:t>
            </w:r>
            <w:r>
              <w:rPr>
                <w:lang w:eastAsia="zh-CN"/>
              </w:rPr>
              <w:t>家香港开放式基金公司。</w:t>
            </w:r>
          </w:p>
        </w:tc>
      </w:tr>
      <w:tr w:rsidR="00117BE4" w:rsidTr="00A22308">
        <w:tc>
          <w:tcPr>
            <w:tcW w:w="647" w:type="dxa"/>
          </w:tcPr>
          <w:p w:rsidR="00117BE4" w:rsidRDefault="0002087F">
            <w:r>
              <w:rPr>
                <w:b/>
              </w:rPr>
              <w:t>合资格支出</w:t>
            </w:r>
          </w:p>
        </w:tc>
        <w:tc>
          <w:tcPr>
            <w:tcW w:w="9747" w:type="dxa"/>
          </w:tcPr>
          <w:p w:rsidR="00117BE4" w:rsidRDefault="0002087F">
            <w:pPr>
              <w:rPr>
                <w:lang w:eastAsia="zh-CN"/>
              </w:rPr>
            </w:pPr>
            <w:r>
              <w:rPr>
                <w:lang w:eastAsia="zh-CN"/>
              </w:rPr>
              <w:t>只包括支付给</w:t>
            </w:r>
            <w:r>
              <w:rPr>
                <w:b/>
                <w:lang w:eastAsia="zh-CN"/>
              </w:rPr>
              <w:t>香港</w:t>
            </w:r>
            <w:r>
              <w:rPr>
                <w:lang w:eastAsia="zh-CN"/>
              </w:rPr>
              <w:t>服务提供者的支出，其中包括：</w:t>
            </w:r>
          </w:p>
          <w:p w:rsidR="00117BE4" w:rsidRDefault="0002087F">
            <w:pPr>
              <w:pStyle w:val="Compact"/>
              <w:numPr>
                <w:ilvl w:val="0"/>
                <w:numId w:val="4"/>
              </w:numPr>
              <w:jc w:val="left"/>
              <w:rPr>
                <w:lang w:eastAsia="zh-CN"/>
              </w:rPr>
            </w:pPr>
            <w:r>
              <w:rPr>
                <w:lang w:eastAsia="zh-CN"/>
              </w:rPr>
              <w:t>香港开放式基金公司成功建立；或</w:t>
            </w:r>
          </w:p>
          <w:p w:rsidR="00117BE4" w:rsidRDefault="0002087F">
            <w:pPr>
              <w:pStyle w:val="Compact"/>
              <w:numPr>
                <w:ilvl w:val="0"/>
                <w:numId w:val="4"/>
              </w:numPr>
              <w:jc w:val="left"/>
              <w:rPr>
                <w:lang w:eastAsia="zh-CN"/>
              </w:rPr>
            </w:pPr>
            <w:r>
              <w:rPr>
                <w:lang w:eastAsia="zh-CN"/>
              </w:rPr>
              <w:t>将非香港公司的基金迁以开放式基金公司的身份移至香港。</w:t>
            </w:r>
          </w:p>
          <w:p w:rsidR="00117BE4" w:rsidRDefault="0002087F">
            <w:pPr>
              <w:rPr>
                <w:lang w:eastAsia="zh-CN"/>
              </w:rPr>
            </w:pPr>
            <w:r>
              <w:rPr>
                <w:lang w:eastAsia="zh-CN"/>
              </w:rPr>
              <w:t>将包括以下</w:t>
            </w:r>
            <w:r>
              <w:rPr>
                <w:b/>
                <w:lang w:eastAsia="zh-CN"/>
              </w:rPr>
              <w:t>香港</w:t>
            </w:r>
            <w:r>
              <w:rPr>
                <w:lang w:eastAsia="zh-CN"/>
              </w:rPr>
              <w:t>服务提供者的费用：</w:t>
            </w:r>
          </w:p>
          <w:p w:rsidR="00117BE4" w:rsidRDefault="0002087F">
            <w:pPr>
              <w:pStyle w:val="Compact"/>
              <w:numPr>
                <w:ilvl w:val="0"/>
                <w:numId w:val="5"/>
              </w:numPr>
              <w:jc w:val="left"/>
              <w:rPr>
                <w:lang w:eastAsia="zh-CN"/>
              </w:rPr>
            </w:pPr>
            <w:r>
              <w:rPr>
                <w:lang w:eastAsia="zh-CN"/>
              </w:rPr>
              <w:t>香港律师事务所或法律顾问就成功建立香港开放式基金公司或将非香港公司的基金迁以开放式基金公司的身份移至香港所作工作收取的费用。这包括草拟香港开放式基金公司的法律文件及要约文件所产生的费用，以及香港开放式基金公司就香港公众开放</w:t>
            </w:r>
            <w:r>
              <w:rPr>
                <w:lang w:eastAsia="zh-CN"/>
              </w:rPr>
              <w:t>式基金公司获证监会授权一事所进行的工作；</w:t>
            </w:r>
          </w:p>
          <w:p w:rsidR="00117BE4" w:rsidRDefault="0002087F">
            <w:pPr>
              <w:pStyle w:val="Compact"/>
              <w:numPr>
                <w:ilvl w:val="0"/>
                <w:numId w:val="5"/>
              </w:numPr>
              <w:jc w:val="left"/>
              <w:rPr>
                <w:lang w:eastAsia="zh-CN"/>
              </w:rPr>
            </w:pPr>
            <w:r>
              <w:rPr>
                <w:lang w:eastAsia="zh-CN"/>
              </w:rPr>
              <w:t>香港核数师</w:t>
            </w:r>
            <w:r>
              <w:rPr>
                <w:lang w:eastAsia="zh-CN"/>
              </w:rPr>
              <w:t>*</w:t>
            </w:r>
            <w:r>
              <w:rPr>
                <w:lang w:eastAsia="zh-CN"/>
              </w:rPr>
              <w:t>、会计师或税务顾问就成功成立香港开放式基金公司及</w:t>
            </w:r>
            <w:r>
              <w:rPr>
                <w:lang w:eastAsia="zh-CN"/>
              </w:rPr>
              <w:t>/</w:t>
            </w:r>
            <w:r>
              <w:rPr>
                <w:lang w:eastAsia="zh-CN"/>
              </w:rPr>
              <w:t>或将非香港公司的基金迁以开放式基金公司的身份移至香港而提供的会计及</w:t>
            </w:r>
            <w:r>
              <w:rPr>
                <w:lang w:eastAsia="zh-CN"/>
              </w:rPr>
              <w:t>/</w:t>
            </w:r>
            <w:r>
              <w:rPr>
                <w:lang w:eastAsia="zh-CN"/>
              </w:rPr>
              <w:t>或税务服务所收取的费</w:t>
            </w:r>
            <w:r>
              <w:rPr>
                <w:lang w:eastAsia="zh-CN"/>
              </w:rPr>
              <w:lastRenderedPageBreak/>
              <w:t>用；</w:t>
            </w:r>
          </w:p>
          <w:p w:rsidR="00117BE4" w:rsidRDefault="0002087F">
            <w:pPr>
              <w:pStyle w:val="Compact"/>
              <w:numPr>
                <w:ilvl w:val="0"/>
                <w:numId w:val="5"/>
              </w:numPr>
              <w:jc w:val="left"/>
              <w:rPr>
                <w:lang w:eastAsia="zh-CN"/>
              </w:rPr>
            </w:pPr>
            <w:r>
              <w:rPr>
                <w:lang w:eastAsia="zh-CN"/>
              </w:rPr>
              <w:t>香港基金管理人、公司服务提供者或公司秘书为成立公司或迁址而收取的费用，并包括为必要的备案所做的工作所收取的费用；</w:t>
            </w:r>
          </w:p>
          <w:p w:rsidR="00117BE4" w:rsidRDefault="0002087F">
            <w:pPr>
              <w:pStyle w:val="Compact"/>
              <w:numPr>
                <w:ilvl w:val="0"/>
                <w:numId w:val="5"/>
              </w:numPr>
              <w:jc w:val="left"/>
              <w:rPr>
                <w:lang w:eastAsia="zh-CN"/>
              </w:rPr>
            </w:pPr>
            <w:r>
              <w:rPr>
                <w:lang w:eastAsia="zh-CN"/>
              </w:rPr>
              <w:t>香港监管顾问就成立公司或迁址所进行的工作，以及就香港公众开放式基金公司向证监会授权所收取的费用；</w:t>
            </w:r>
          </w:p>
          <w:p w:rsidR="00117BE4" w:rsidRDefault="0002087F">
            <w:pPr>
              <w:pStyle w:val="Compact"/>
              <w:numPr>
                <w:ilvl w:val="0"/>
                <w:numId w:val="5"/>
              </w:numPr>
              <w:jc w:val="left"/>
              <w:rPr>
                <w:lang w:eastAsia="zh-CN"/>
              </w:rPr>
            </w:pPr>
            <w:r>
              <w:rPr>
                <w:lang w:eastAsia="zh-CN"/>
              </w:rPr>
              <w:t>在香港开放式基金公司上市时，上市代理收取的费用；（合称为</w:t>
            </w:r>
            <w:r>
              <w:rPr>
                <w:lang w:eastAsia="zh-CN"/>
              </w:rPr>
              <w:t>“</w:t>
            </w:r>
            <w:r>
              <w:rPr>
                <w:b/>
                <w:lang w:eastAsia="zh-CN"/>
              </w:rPr>
              <w:t>香港开放式基金公司合资格支出</w:t>
            </w:r>
            <w:r>
              <w:rPr>
                <w:lang w:eastAsia="zh-CN"/>
              </w:rPr>
              <w:t>”</w:t>
            </w:r>
            <w:r>
              <w:rPr>
                <w:lang w:eastAsia="zh-CN"/>
              </w:rPr>
              <w:t>）。</w:t>
            </w:r>
          </w:p>
          <w:p w:rsidR="00117BE4" w:rsidRDefault="0002087F">
            <w:pPr>
              <w:rPr>
                <w:lang w:eastAsia="zh-CN"/>
              </w:rPr>
            </w:pPr>
            <w:r>
              <w:rPr>
                <w:lang w:eastAsia="zh-CN"/>
              </w:rPr>
              <w:t>不包括法</w:t>
            </w:r>
            <w:r>
              <w:rPr>
                <w:lang w:eastAsia="zh-CN"/>
              </w:rPr>
              <w:t>定费用，例如向证监会缴纳的注册或申请费用，以及向证监会申请投资经理发牌或注册的费用。不包括在现存伞式的香港开放式基金公司下设立子基金的费用及在香港联合交易所（</w:t>
            </w:r>
            <w:r>
              <w:rPr>
                <w:lang w:eastAsia="zh-CN"/>
              </w:rPr>
              <w:t>“</w:t>
            </w:r>
            <w:r>
              <w:rPr>
                <w:b/>
                <w:lang w:eastAsia="zh-CN"/>
              </w:rPr>
              <w:t>交易所</w:t>
            </w:r>
            <w:r>
              <w:rPr>
                <w:lang w:eastAsia="zh-CN"/>
              </w:rPr>
              <w:t>”</w:t>
            </w:r>
            <w:r>
              <w:rPr>
                <w:lang w:eastAsia="zh-CN"/>
              </w:rPr>
              <w:t>）的上市费用。</w:t>
            </w:r>
          </w:p>
          <w:p w:rsidR="00117BE4" w:rsidRDefault="0002087F">
            <w:pPr>
              <w:rPr>
                <w:lang w:eastAsia="zh-CN"/>
              </w:rPr>
            </w:pPr>
            <w:r>
              <w:rPr>
                <w:lang w:eastAsia="zh-CN"/>
              </w:rPr>
              <w:t>*</w:t>
            </w:r>
            <w:r>
              <w:rPr>
                <w:lang w:eastAsia="zh-CN"/>
              </w:rPr>
              <w:t>核数师收取的与香港开放式基金公司年度审核有关的费用，不视为香港开放式基金公司合资格费用。</w:t>
            </w:r>
          </w:p>
        </w:tc>
      </w:tr>
      <w:tr w:rsidR="00117BE4" w:rsidTr="00A22308">
        <w:tc>
          <w:tcPr>
            <w:tcW w:w="647" w:type="dxa"/>
          </w:tcPr>
          <w:p w:rsidR="00117BE4" w:rsidRPr="00AA2B84" w:rsidRDefault="0002087F">
            <w:pPr>
              <w:rPr>
                <w:b/>
              </w:rPr>
            </w:pPr>
            <w:r w:rsidRPr="00AA2B84">
              <w:rPr>
                <w:b/>
              </w:rPr>
              <w:lastRenderedPageBreak/>
              <w:t>最低营运要求</w:t>
            </w:r>
          </w:p>
        </w:tc>
        <w:tc>
          <w:tcPr>
            <w:tcW w:w="9747" w:type="dxa"/>
          </w:tcPr>
          <w:p w:rsidR="00117BE4" w:rsidRDefault="0002087F">
            <w:pPr>
              <w:rPr>
                <w:lang w:eastAsia="zh-CN"/>
              </w:rPr>
            </w:pPr>
            <w:r>
              <w:rPr>
                <w:lang w:eastAsia="zh-CN"/>
              </w:rPr>
              <w:t>香港政府还引进了</w:t>
            </w:r>
            <w:r>
              <w:rPr>
                <w:lang w:eastAsia="zh-CN"/>
              </w:rPr>
              <w:t>“</w:t>
            </w:r>
            <w:r>
              <w:rPr>
                <w:lang w:eastAsia="zh-CN"/>
              </w:rPr>
              <w:t>收回</w:t>
            </w:r>
            <w:r>
              <w:rPr>
                <w:lang w:eastAsia="zh-CN"/>
              </w:rPr>
              <w:t>”</w:t>
            </w:r>
            <w:r>
              <w:rPr>
                <w:lang w:eastAsia="zh-CN"/>
              </w:rPr>
              <w:t>机制，如香港开放式基金公司在成立公司或迁址之日起计两</w:t>
            </w:r>
            <w:r>
              <w:rPr>
                <w:lang w:eastAsia="zh-CN"/>
              </w:rPr>
              <w:t>(2)</w:t>
            </w:r>
            <w:r>
              <w:rPr>
                <w:lang w:eastAsia="zh-CN"/>
              </w:rPr>
              <w:t>年内开始清盘或申请终止注册（两者中以适用者为准），则可收回已给予香港开放式基金公司的拨款。</w:t>
            </w:r>
          </w:p>
        </w:tc>
      </w:tr>
    </w:tbl>
    <w:p w:rsidR="00117BE4" w:rsidRDefault="0002087F">
      <w:pPr>
        <w:pStyle w:val="BodyText"/>
        <w:rPr>
          <w:lang w:eastAsia="zh-CN"/>
        </w:rPr>
      </w:pPr>
      <w:r>
        <w:rPr>
          <w:i/>
          <w:lang w:eastAsia="zh-CN"/>
        </w:rPr>
        <w:t>有关香港开放式基金公司（私营及公众）的申请程序</w:t>
      </w:r>
    </w:p>
    <w:p w:rsidR="00117BE4" w:rsidRDefault="0002087F">
      <w:pPr>
        <w:pStyle w:val="BodyText"/>
        <w:rPr>
          <w:lang w:eastAsia="zh-CN"/>
        </w:rPr>
      </w:pPr>
      <w:r>
        <w:rPr>
          <w:lang w:eastAsia="zh-CN"/>
        </w:rPr>
        <w:t>就香港开放式基金公司而言，申请人须将填妥的开放式基金公司及房地产投资信托基金资助申请表格</w:t>
      </w:r>
      <w:hyperlink w:anchor="footnote-8693-2">
        <w:r>
          <w:rPr>
            <w:vertAlign w:val="superscript"/>
            <w:lang w:eastAsia="zh-CN"/>
          </w:rPr>
          <w:t>2</w:t>
        </w:r>
      </w:hyperlink>
      <w:r>
        <w:rPr>
          <w:lang w:eastAsia="zh-CN"/>
        </w:rPr>
        <w:t>（</w:t>
      </w:r>
      <w:r>
        <w:rPr>
          <w:lang w:eastAsia="zh-CN"/>
        </w:rPr>
        <w:t>“</w:t>
      </w:r>
      <w:r>
        <w:rPr>
          <w:b/>
          <w:lang w:eastAsia="zh-CN"/>
        </w:rPr>
        <w:t>开放式基金公司申请表格</w:t>
      </w:r>
      <w:r>
        <w:rPr>
          <w:lang w:eastAsia="zh-CN"/>
        </w:rPr>
        <w:t>”</w:t>
      </w:r>
      <w:r>
        <w:rPr>
          <w:lang w:eastAsia="zh-CN"/>
        </w:rPr>
        <w:t>）连同有关证明文件提交至证监会：</w:t>
      </w:r>
    </w:p>
    <w:p w:rsidR="00117BE4" w:rsidRDefault="0002087F">
      <w:pPr>
        <w:pStyle w:val="Compact"/>
        <w:numPr>
          <w:ilvl w:val="0"/>
          <w:numId w:val="6"/>
        </w:numPr>
        <w:rPr>
          <w:lang w:eastAsia="zh-CN"/>
        </w:rPr>
      </w:pPr>
      <w:r>
        <w:rPr>
          <w:lang w:eastAsia="zh-CN"/>
        </w:rPr>
        <w:t>如属香港私人开放式基金公司，则在香港公司注册处发出公司注册证书或迁址证书日期起计三</w:t>
      </w:r>
      <w:r>
        <w:rPr>
          <w:lang w:eastAsia="zh-CN"/>
        </w:rPr>
        <w:t>(3)</w:t>
      </w:r>
      <w:r>
        <w:rPr>
          <w:lang w:eastAsia="zh-CN"/>
        </w:rPr>
        <w:t>个月内；或</w:t>
      </w:r>
    </w:p>
    <w:p w:rsidR="00117BE4" w:rsidRDefault="0002087F">
      <w:pPr>
        <w:pStyle w:val="Compact"/>
        <w:numPr>
          <w:ilvl w:val="0"/>
          <w:numId w:val="6"/>
        </w:numPr>
        <w:rPr>
          <w:lang w:eastAsia="zh-CN"/>
        </w:rPr>
      </w:pPr>
      <w:r>
        <w:rPr>
          <w:lang w:eastAsia="zh-CN"/>
        </w:rPr>
        <w:t>如属香港公众开放式基金公司，则须在香港公众开放式基金公司的授权生效日期起计</w:t>
      </w:r>
      <w:r>
        <w:rPr>
          <w:lang w:eastAsia="zh-CN"/>
        </w:rPr>
        <w:t>3</w:t>
      </w:r>
      <w:r>
        <w:rPr>
          <w:lang w:eastAsia="zh-CN"/>
        </w:rPr>
        <w:t>个月内。</w:t>
      </w:r>
    </w:p>
    <w:p w:rsidR="00117BE4" w:rsidRDefault="0002087F">
      <w:pPr>
        <w:pStyle w:val="FirstParagraph"/>
        <w:rPr>
          <w:lang w:eastAsia="zh-CN"/>
        </w:rPr>
      </w:pPr>
      <w:r>
        <w:rPr>
          <w:lang w:eastAsia="zh-CN"/>
        </w:rPr>
        <w:t>就香港公众开放式基金公司而言，申请者还需要自授权香港公众开放式基金型公司之日起三</w:t>
      </w:r>
      <w:r>
        <w:rPr>
          <w:lang w:eastAsia="zh-CN"/>
        </w:rPr>
        <w:t>(3)</w:t>
      </w:r>
      <w:r>
        <w:rPr>
          <w:lang w:eastAsia="zh-CN"/>
        </w:rPr>
        <w:t>个月内向证监会提交已妥善签署及完整的公共开放式基金公司</w:t>
      </w:r>
      <w:r>
        <w:rPr>
          <w:lang w:eastAsia="zh-CN"/>
        </w:rPr>
        <w:t>-</w:t>
      </w:r>
      <w:r>
        <w:rPr>
          <w:lang w:eastAsia="zh-CN"/>
        </w:rPr>
        <w:t>资助申请确认意图</w:t>
      </w:r>
      <w:hyperlink w:anchor="footnote-8693-3">
        <w:r>
          <w:rPr>
            <w:vertAlign w:val="superscript"/>
            <w:lang w:eastAsia="zh-CN"/>
          </w:rPr>
          <w:t>3</w:t>
        </w:r>
      </w:hyperlink>
      <w:r>
        <w:rPr>
          <w:lang w:eastAsia="zh-CN"/>
        </w:rPr>
        <w:t>（</w:t>
      </w:r>
      <w:r>
        <w:rPr>
          <w:lang w:eastAsia="zh-CN"/>
        </w:rPr>
        <w:t>“</w:t>
      </w:r>
      <w:r>
        <w:rPr>
          <w:b/>
          <w:lang w:eastAsia="zh-CN"/>
        </w:rPr>
        <w:t>公众开放式基金公司申请表</w:t>
      </w:r>
      <w:r>
        <w:rPr>
          <w:lang w:eastAsia="zh-CN"/>
        </w:rPr>
        <w:t>”</w:t>
      </w:r>
      <w:r>
        <w:rPr>
          <w:lang w:eastAsia="zh-CN"/>
        </w:rPr>
        <w:t>）。这必须作为香港公众开放式基金公司产品申请的一部分提交给证监会。</w:t>
      </w:r>
    </w:p>
    <w:p w:rsidR="00117BE4" w:rsidRDefault="0002087F">
      <w:pPr>
        <w:pStyle w:val="BodyText"/>
        <w:rPr>
          <w:lang w:eastAsia="zh-CN"/>
        </w:rPr>
      </w:pPr>
      <w:r>
        <w:rPr>
          <w:lang w:eastAsia="zh-CN"/>
        </w:rPr>
        <w:t>证监会提供了两种选择用以签署开放式基金公司申请表格和公众开放式基金公司申请表格。第一种选择，证监会已表示会接受提交未签署的开放式基金公司申请表格副本及公众开放式基金公司申请表格（</w:t>
      </w:r>
      <w:r>
        <w:rPr>
          <w:lang w:eastAsia="zh-CN"/>
        </w:rPr>
        <w:t>如适用），前提是须连同获授权签署人以电邮确认各申请表格内所有资料及承诺（如适用）均属真实及正确。</w:t>
      </w:r>
    </w:p>
    <w:p w:rsidR="00117BE4" w:rsidRDefault="0002087F">
      <w:pPr>
        <w:pStyle w:val="BodyText"/>
        <w:rPr>
          <w:lang w:eastAsia="zh-CN"/>
        </w:rPr>
      </w:pPr>
      <w:r>
        <w:rPr>
          <w:lang w:eastAsia="zh-CN"/>
        </w:rPr>
        <w:t>第二种选择，申请香港公众开放式基金公司资助的申请人可向证监会提交一份由获授权签署人签署的开放式基金公司申请表格及公众开放式基金公司申请表格（如适用）的扫描件。</w:t>
      </w:r>
    </w:p>
    <w:p w:rsidR="00117BE4" w:rsidRDefault="0002087F">
      <w:pPr>
        <w:pStyle w:val="BodyText"/>
        <w:rPr>
          <w:lang w:eastAsia="zh-CN"/>
        </w:rPr>
      </w:pPr>
      <w:r>
        <w:rPr>
          <w:lang w:eastAsia="zh-CN"/>
        </w:rPr>
        <w:t>根据香港公众开放式基金公司资助计划提出申请的申请人，须向证监会提供以前根据香港开放式基金公司资助计划申请或获得资助的详细资料。为证明申请的香港开放式基金公司合资格支出，申请人必须提交每一份香港开放式基金公司合资格支出申请的扫描副本的发票</w:t>
      </w:r>
      <w:r>
        <w:rPr>
          <w:lang w:eastAsia="zh-CN"/>
        </w:rPr>
        <w:t>/</w:t>
      </w:r>
      <w:r>
        <w:rPr>
          <w:lang w:eastAsia="zh-CN"/>
        </w:rPr>
        <w:t>收据，香港开放式</w:t>
      </w:r>
      <w:r>
        <w:rPr>
          <w:lang w:eastAsia="zh-CN"/>
        </w:rPr>
        <w:t>基金公司合资格支出的详情，亦须列于开放式基金公司申请表格附件</w:t>
      </w:r>
      <w:r>
        <w:rPr>
          <w:lang w:eastAsia="zh-CN"/>
        </w:rPr>
        <w:t>2</w:t>
      </w:r>
      <w:r>
        <w:rPr>
          <w:lang w:eastAsia="zh-CN"/>
        </w:rPr>
        <w:t>。</w:t>
      </w:r>
    </w:p>
    <w:p w:rsidR="00117BE4" w:rsidRDefault="0002087F">
      <w:pPr>
        <w:pStyle w:val="BodyText"/>
        <w:rPr>
          <w:lang w:eastAsia="zh-CN"/>
        </w:rPr>
      </w:pPr>
      <w:r>
        <w:rPr>
          <w:lang w:eastAsia="zh-CN"/>
        </w:rPr>
        <w:t>香港房地产投资信托基金资助计划</w:t>
      </w:r>
    </w:p>
    <w:p w:rsidR="00117BE4" w:rsidRDefault="0002087F">
      <w:pPr>
        <w:pStyle w:val="BodyText"/>
        <w:rPr>
          <w:lang w:eastAsia="zh-CN"/>
        </w:rPr>
      </w:pPr>
      <w:r>
        <w:rPr>
          <w:lang w:eastAsia="zh-CN"/>
        </w:rPr>
        <w:t>香港房地产投资信托基金资助计划将涵盖支付给香港服务提供商的香港房地产投资信托基金合资格开支（定义如下）的</w:t>
      </w:r>
      <w:r>
        <w:rPr>
          <w:lang w:eastAsia="zh-CN"/>
        </w:rPr>
        <w:t>70%</w:t>
      </w:r>
      <w:r>
        <w:rPr>
          <w:lang w:eastAsia="zh-CN"/>
        </w:rPr>
        <w:t>，每个香港房地产投资基金的上限为</w:t>
      </w:r>
      <w:r>
        <w:rPr>
          <w:lang w:eastAsia="zh-CN"/>
        </w:rPr>
        <w:t>800</w:t>
      </w:r>
      <w:r>
        <w:rPr>
          <w:lang w:eastAsia="zh-CN"/>
        </w:rPr>
        <w:t>万港元。</w:t>
      </w:r>
    </w:p>
    <w:p w:rsidR="00117BE4" w:rsidRDefault="0002087F">
      <w:pPr>
        <w:pStyle w:val="BodyText"/>
        <w:rPr>
          <w:lang w:eastAsia="zh-CN"/>
        </w:rPr>
      </w:pPr>
      <w:r>
        <w:rPr>
          <w:i/>
          <w:lang w:eastAsia="zh-CN"/>
        </w:rPr>
        <w:t>根据房地产投资信托基金资助计划申请房地产投资信托基金的资格准则</w:t>
      </w:r>
    </w:p>
    <w:tbl>
      <w:tblPr>
        <w:tblW w:w="5000" w:type="pct"/>
        <w:tblLook w:val="07E0" w:firstRow="1" w:lastRow="1" w:firstColumn="1" w:lastColumn="1" w:noHBand="1" w:noVBand="1"/>
      </w:tblPr>
      <w:tblGrid>
        <w:gridCol w:w="647"/>
        <w:gridCol w:w="152"/>
        <w:gridCol w:w="9595"/>
      </w:tblGrid>
      <w:tr w:rsidR="00117BE4">
        <w:tc>
          <w:tcPr>
            <w:tcW w:w="0" w:type="auto"/>
            <w:tcBorders>
              <w:bottom w:val="single" w:sz="0" w:space="0" w:color="auto"/>
            </w:tcBorders>
            <w:vAlign w:val="bottom"/>
          </w:tcPr>
          <w:p w:rsidR="00117BE4" w:rsidRDefault="00117BE4">
            <w:pPr>
              <w:rPr>
                <w:lang w:eastAsia="zh-CN"/>
              </w:rPr>
            </w:pPr>
          </w:p>
        </w:tc>
        <w:tc>
          <w:tcPr>
            <w:tcW w:w="0" w:type="auto"/>
            <w:gridSpan w:val="2"/>
            <w:tcBorders>
              <w:bottom w:val="single" w:sz="0" w:space="0" w:color="auto"/>
            </w:tcBorders>
            <w:vAlign w:val="bottom"/>
          </w:tcPr>
          <w:p w:rsidR="00117BE4" w:rsidRDefault="0002087F">
            <w:pPr>
              <w:rPr>
                <w:lang w:eastAsia="zh-CN"/>
              </w:rPr>
            </w:pPr>
            <w:r>
              <w:rPr>
                <w:b/>
                <w:lang w:eastAsia="zh-CN"/>
              </w:rPr>
              <w:t>房地产投资信托基金合资格要求</w:t>
            </w:r>
          </w:p>
        </w:tc>
      </w:tr>
      <w:tr w:rsidR="00117BE4" w:rsidTr="00A22308">
        <w:tc>
          <w:tcPr>
            <w:tcW w:w="1552" w:type="pct"/>
            <w:gridSpan w:val="2"/>
          </w:tcPr>
          <w:p w:rsidR="00117BE4" w:rsidRDefault="0002087F">
            <w:r>
              <w:rPr>
                <w:b/>
              </w:rPr>
              <w:t>合资格申请人</w:t>
            </w:r>
          </w:p>
        </w:tc>
        <w:tc>
          <w:tcPr>
            <w:tcW w:w="3448" w:type="pct"/>
          </w:tcPr>
          <w:p w:rsidR="00117BE4" w:rsidRDefault="0002087F">
            <w:pPr>
              <w:rPr>
                <w:lang w:eastAsia="zh-CN"/>
              </w:rPr>
            </w:pPr>
            <w:r>
              <w:rPr>
                <w:lang w:eastAsia="zh-CN"/>
              </w:rPr>
              <w:t>在开始日期当日或之后在交易所上市，且在上市时市值最低为</w:t>
            </w:r>
            <w:r>
              <w:rPr>
                <w:lang w:eastAsia="zh-CN"/>
              </w:rPr>
              <w:t>15</w:t>
            </w:r>
            <w:r>
              <w:rPr>
                <w:lang w:eastAsia="zh-CN"/>
              </w:rPr>
              <w:t>亿港元的证监会授权的香港房地产投资信托基金，将有资格根据香港房地产投资信托基金资助计划</w:t>
            </w:r>
            <w:r>
              <w:rPr>
                <w:lang w:eastAsia="zh-CN"/>
              </w:rPr>
              <w:t>提出申请。</w:t>
            </w:r>
          </w:p>
          <w:p w:rsidR="00117BE4" w:rsidRDefault="0002087F">
            <w:pPr>
              <w:rPr>
                <w:lang w:eastAsia="zh-CN"/>
              </w:rPr>
            </w:pPr>
            <w:r>
              <w:rPr>
                <w:lang w:eastAsia="zh-CN"/>
              </w:rPr>
              <w:t>如果香港房地产投资信托基金同时在香港以外的交易所上市，其在交易所上市的单位信托在上市时的最低市值应为</w:t>
            </w:r>
            <w:r>
              <w:rPr>
                <w:lang w:eastAsia="zh-CN"/>
              </w:rPr>
              <w:t>15</w:t>
            </w:r>
            <w:r>
              <w:rPr>
                <w:lang w:eastAsia="zh-CN"/>
              </w:rPr>
              <w:t>亿港元。</w:t>
            </w:r>
          </w:p>
          <w:p w:rsidR="00117BE4" w:rsidRDefault="0002087F">
            <w:pPr>
              <w:rPr>
                <w:lang w:eastAsia="zh-CN"/>
              </w:rPr>
            </w:pPr>
            <w:r>
              <w:rPr>
                <w:lang w:eastAsia="zh-CN"/>
              </w:rPr>
              <w:t>香港房地产投资信托基金经理可代表香港房地产投资信托基金根据香港房地产投资信托基金资助计划申请资助。</w:t>
            </w:r>
          </w:p>
        </w:tc>
      </w:tr>
      <w:tr w:rsidR="00117BE4" w:rsidTr="00A22308">
        <w:tc>
          <w:tcPr>
            <w:tcW w:w="1552" w:type="pct"/>
            <w:gridSpan w:val="2"/>
          </w:tcPr>
          <w:p w:rsidR="00117BE4" w:rsidRDefault="0002087F">
            <w:r>
              <w:rPr>
                <w:b/>
              </w:rPr>
              <w:t>资助金额</w:t>
            </w:r>
          </w:p>
        </w:tc>
        <w:tc>
          <w:tcPr>
            <w:tcW w:w="3448" w:type="pct"/>
          </w:tcPr>
          <w:p w:rsidR="00117BE4" w:rsidRDefault="0002087F">
            <w:pPr>
              <w:rPr>
                <w:lang w:eastAsia="zh-CN"/>
              </w:rPr>
            </w:pPr>
            <w:r>
              <w:rPr>
                <w:lang w:eastAsia="zh-CN"/>
              </w:rPr>
              <w:t>每份申请的香港房地产投资信托基金资助金额相等于香港房地产投资信托基金合资格支出（定义如下）的</w:t>
            </w:r>
            <w:r>
              <w:rPr>
                <w:lang w:eastAsia="zh-CN"/>
              </w:rPr>
              <w:t>70%</w:t>
            </w:r>
            <w:r>
              <w:rPr>
                <w:lang w:eastAsia="zh-CN"/>
              </w:rPr>
              <w:t>。</w:t>
            </w:r>
          </w:p>
          <w:p w:rsidR="00117BE4" w:rsidRDefault="0002087F">
            <w:pPr>
              <w:rPr>
                <w:lang w:eastAsia="zh-CN"/>
              </w:rPr>
            </w:pPr>
            <w:r>
              <w:rPr>
                <w:lang w:eastAsia="zh-CN"/>
              </w:rPr>
              <w:t>每支香港房地产投资信托基金的资助金额以</w:t>
            </w:r>
            <w:r>
              <w:rPr>
                <w:lang w:eastAsia="zh-CN"/>
              </w:rPr>
              <w:t>800</w:t>
            </w:r>
            <w:r>
              <w:rPr>
                <w:lang w:eastAsia="zh-CN"/>
              </w:rPr>
              <w:t>万港元为上限。</w:t>
            </w:r>
          </w:p>
        </w:tc>
      </w:tr>
      <w:tr w:rsidR="00117BE4" w:rsidTr="00A22308">
        <w:tc>
          <w:tcPr>
            <w:tcW w:w="1552" w:type="pct"/>
            <w:gridSpan w:val="2"/>
          </w:tcPr>
          <w:p w:rsidR="00117BE4" w:rsidRDefault="0002087F">
            <w:r>
              <w:rPr>
                <w:b/>
              </w:rPr>
              <w:t>合资格支出</w:t>
            </w:r>
          </w:p>
        </w:tc>
        <w:tc>
          <w:tcPr>
            <w:tcW w:w="3448" w:type="pct"/>
          </w:tcPr>
          <w:p w:rsidR="00117BE4" w:rsidRDefault="0002087F">
            <w:pPr>
              <w:rPr>
                <w:lang w:eastAsia="zh-CN"/>
              </w:rPr>
            </w:pPr>
            <w:r>
              <w:rPr>
                <w:lang w:eastAsia="zh-CN"/>
              </w:rPr>
              <w:t>只包括支付给香港服务供应商的有关费用：</w:t>
            </w:r>
          </w:p>
          <w:p w:rsidR="00117BE4" w:rsidRDefault="0002087F">
            <w:pPr>
              <w:pStyle w:val="Compact"/>
              <w:numPr>
                <w:ilvl w:val="0"/>
                <w:numId w:val="7"/>
              </w:numPr>
              <w:jc w:val="left"/>
              <w:rPr>
                <w:lang w:eastAsia="zh-CN"/>
              </w:rPr>
            </w:pPr>
            <w:r>
              <w:rPr>
                <w:lang w:eastAsia="zh-CN"/>
              </w:rPr>
              <w:t>承销商为香港房地产投资信托基金上市收取的承销佣金；</w:t>
            </w:r>
          </w:p>
          <w:p w:rsidR="00117BE4" w:rsidRDefault="0002087F">
            <w:pPr>
              <w:pStyle w:val="Compact"/>
              <w:numPr>
                <w:ilvl w:val="0"/>
                <w:numId w:val="7"/>
              </w:numPr>
              <w:jc w:val="left"/>
              <w:rPr>
                <w:lang w:eastAsia="zh-CN"/>
              </w:rPr>
            </w:pPr>
            <w:r>
              <w:rPr>
                <w:lang w:eastAsia="zh-CN"/>
              </w:rPr>
              <w:t>香港律师或法律顾问就香港房地产投资信托基金上市事宜的法律工作及包括</w:t>
            </w:r>
            <w:r>
              <w:rPr>
                <w:lang w:eastAsia="zh-CN"/>
              </w:rPr>
              <w:t>(i)</w:t>
            </w:r>
            <w:r>
              <w:rPr>
                <w:lang w:eastAsia="zh-CN"/>
              </w:rPr>
              <w:t>草拟香港房地产投资信托基金的法律文件及发售通告，以及</w:t>
            </w:r>
            <w:r>
              <w:rPr>
                <w:lang w:eastAsia="zh-CN"/>
              </w:rPr>
              <w:t>(ii)</w:t>
            </w:r>
            <w:r>
              <w:rPr>
                <w:lang w:eastAsia="zh-CN"/>
              </w:rPr>
              <w:t>有关香港房地产投资基金获证监会授权的所进行工作收取的费用；</w:t>
            </w:r>
          </w:p>
          <w:p w:rsidR="00117BE4" w:rsidRDefault="0002087F">
            <w:pPr>
              <w:pStyle w:val="Compact"/>
              <w:numPr>
                <w:ilvl w:val="0"/>
                <w:numId w:val="7"/>
              </w:numPr>
              <w:jc w:val="left"/>
              <w:rPr>
                <w:lang w:eastAsia="zh-CN"/>
              </w:rPr>
            </w:pPr>
            <w:r>
              <w:rPr>
                <w:lang w:eastAsia="zh-CN"/>
              </w:rPr>
              <w:t>香港核数师</w:t>
            </w:r>
            <w:r>
              <w:rPr>
                <w:lang w:eastAsia="zh-CN"/>
              </w:rPr>
              <w:t>*</w:t>
            </w:r>
            <w:r>
              <w:rPr>
                <w:lang w:eastAsia="zh-CN"/>
              </w:rPr>
              <w:t>、会计师或税务顾问就香港房地产投资信托基金上市所提供的会计及</w:t>
            </w:r>
            <w:r>
              <w:rPr>
                <w:lang w:eastAsia="zh-CN"/>
              </w:rPr>
              <w:t>/</w:t>
            </w:r>
            <w:r>
              <w:rPr>
                <w:lang w:eastAsia="zh-CN"/>
              </w:rPr>
              <w:t>或税务服务所收取的费用；</w:t>
            </w:r>
          </w:p>
          <w:p w:rsidR="00117BE4" w:rsidRDefault="0002087F">
            <w:pPr>
              <w:pStyle w:val="Compact"/>
              <w:numPr>
                <w:ilvl w:val="0"/>
                <w:numId w:val="7"/>
              </w:numPr>
              <w:jc w:val="left"/>
              <w:rPr>
                <w:lang w:eastAsia="zh-CN"/>
              </w:rPr>
            </w:pPr>
            <w:r>
              <w:rPr>
                <w:lang w:eastAsia="zh-CN"/>
              </w:rPr>
              <w:t>香港房地产投资信托基金的香港估价师为香港房地产投资信托基金上市而就房产提供估价报告而收取的费用；</w:t>
            </w:r>
          </w:p>
          <w:p w:rsidR="00117BE4" w:rsidRDefault="0002087F">
            <w:pPr>
              <w:pStyle w:val="Compact"/>
              <w:numPr>
                <w:ilvl w:val="0"/>
                <w:numId w:val="7"/>
              </w:numPr>
              <w:jc w:val="left"/>
              <w:rPr>
                <w:lang w:eastAsia="zh-CN"/>
              </w:rPr>
            </w:pPr>
            <w:r>
              <w:rPr>
                <w:lang w:eastAsia="zh-CN"/>
              </w:rPr>
              <w:t>为香港房地产投资信托基金上市而支付给香港营销机构或顾问的广告及营销相关服务的费用，包括推介费用；</w:t>
            </w:r>
          </w:p>
          <w:p w:rsidR="00117BE4" w:rsidRDefault="0002087F">
            <w:pPr>
              <w:pStyle w:val="Compact"/>
              <w:numPr>
                <w:ilvl w:val="0"/>
                <w:numId w:val="7"/>
              </w:numPr>
              <w:jc w:val="left"/>
              <w:rPr>
                <w:lang w:eastAsia="zh-CN"/>
              </w:rPr>
            </w:pPr>
            <w:r>
              <w:rPr>
                <w:lang w:eastAsia="zh-CN"/>
              </w:rPr>
              <w:t>香港上市代理收取的费用；</w:t>
            </w:r>
          </w:p>
          <w:p w:rsidR="00117BE4" w:rsidRDefault="0002087F">
            <w:pPr>
              <w:rPr>
                <w:lang w:eastAsia="zh-CN"/>
              </w:rPr>
            </w:pPr>
            <w:r>
              <w:rPr>
                <w:lang w:eastAsia="zh-CN"/>
              </w:rPr>
              <w:t>（合称为</w:t>
            </w:r>
            <w:r>
              <w:rPr>
                <w:lang w:eastAsia="zh-CN"/>
              </w:rPr>
              <w:t>“</w:t>
            </w:r>
            <w:r>
              <w:rPr>
                <w:b/>
                <w:lang w:eastAsia="zh-CN"/>
              </w:rPr>
              <w:t>香港房地产投资信托基金合资格支出</w:t>
            </w:r>
            <w:r>
              <w:rPr>
                <w:lang w:eastAsia="zh-CN"/>
              </w:rPr>
              <w:t>”</w:t>
            </w:r>
            <w:r>
              <w:rPr>
                <w:lang w:eastAsia="zh-CN"/>
              </w:rPr>
              <w:t>）。</w:t>
            </w:r>
          </w:p>
          <w:p w:rsidR="00117BE4" w:rsidRDefault="0002087F">
            <w:pPr>
              <w:rPr>
                <w:lang w:eastAsia="zh-CN"/>
              </w:rPr>
            </w:pPr>
            <w:r>
              <w:rPr>
                <w:lang w:eastAsia="zh-CN"/>
              </w:rPr>
              <w:t>一般而言，不包括支付香港交易所的上市费用。不包括向证监会缴纳的注册或申请费用法定费用，以及向证监会申请投资经理发牌或注册的费用。</w:t>
            </w:r>
          </w:p>
          <w:p w:rsidR="00117BE4" w:rsidRDefault="0002087F">
            <w:pPr>
              <w:rPr>
                <w:lang w:eastAsia="zh-CN"/>
              </w:rPr>
            </w:pPr>
            <w:r>
              <w:rPr>
                <w:lang w:eastAsia="zh-CN"/>
              </w:rPr>
              <w:t>*</w:t>
            </w:r>
            <w:r>
              <w:rPr>
                <w:lang w:eastAsia="zh-CN"/>
              </w:rPr>
              <w:t>只包括与香港房地产投资信托基金上市有关的审计费用。就香港房地产投资信托基金的年度审计审查向会计师事务所支付的审计费用，不会被视为香港房地产投资信托基金合资格支出。</w:t>
            </w:r>
          </w:p>
          <w:p w:rsidR="00117BE4" w:rsidRDefault="0002087F">
            <w:pPr>
              <w:rPr>
                <w:lang w:eastAsia="zh-CN"/>
              </w:rPr>
            </w:pPr>
            <w:r>
              <w:rPr>
                <w:lang w:eastAsia="zh-CN"/>
              </w:rPr>
              <w:t>香港政府已采纳</w:t>
            </w:r>
            <w:r>
              <w:rPr>
                <w:lang w:eastAsia="zh-CN"/>
              </w:rPr>
              <w:t>“</w:t>
            </w:r>
            <w:r>
              <w:rPr>
                <w:lang w:eastAsia="zh-CN"/>
              </w:rPr>
              <w:t>收回</w:t>
            </w:r>
            <w:r>
              <w:rPr>
                <w:lang w:eastAsia="zh-CN"/>
              </w:rPr>
              <w:t>”</w:t>
            </w:r>
            <w:r>
              <w:rPr>
                <w:lang w:eastAsia="zh-CN"/>
              </w:rPr>
              <w:t>机制，如果香港房地产投资信托基金在上市两年内退市或停牌，香港房地产投资信托基金的资助可被收回。</w:t>
            </w:r>
          </w:p>
          <w:p w:rsidR="00117BE4" w:rsidRDefault="0002087F">
            <w:pPr>
              <w:rPr>
                <w:lang w:eastAsia="zh-CN"/>
              </w:rPr>
            </w:pPr>
            <w:r>
              <w:rPr>
                <w:lang w:eastAsia="zh-CN"/>
              </w:rPr>
              <w:t>短暂停牌是否意味着资助要被</w:t>
            </w:r>
            <w:r>
              <w:rPr>
                <w:lang w:eastAsia="zh-CN"/>
              </w:rPr>
              <w:t>“</w:t>
            </w:r>
            <w:r>
              <w:rPr>
                <w:lang w:eastAsia="zh-CN"/>
              </w:rPr>
              <w:t>收回</w:t>
            </w:r>
            <w:r>
              <w:rPr>
                <w:lang w:eastAsia="zh-CN"/>
              </w:rPr>
              <w:t>”</w:t>
            </w:r>
            <w:r>
              <w:rPr>
                <w:lang w:eastAsia="zh-CN"/>
              </w:rPr>
              <w:t>，将视具体情</w:t>
            </w:r>
            <w:r>
              <w:rPr>
                <w:lang w:eastAsia="zh-CN"/>
              </w:rPr>
              <w:t>况而定。香港证监会举例说，一项即将公布的公告导致一家香港房地产投资信托基金短暂停牌，并指出，这种情况一般不会导致香港房地产投资信托基金的资助被</w:t>
            </w:r>
            <w:r>
              <w:rPr>
                <w:lang w:eastAsia="zh-CN"/>
              </w:rPr>
              <w:t>“</w:t>
            </w:r>
            <w:r>
              <w:rPr>
                <w:lang w:eastAsia="zh-CN"/>
              </w:rPr>
              <w:t>收回</w:t>
            </w:r>
            <w:r>
              <w:rPr>
                <w:lang w:eastAsia="zh-CN"/>
              </w:rPr>
              <w:t>”</w:t>
            </w:r>
            <w:r>
              <w:rPr>
                <w:lang w:eastAsia="zh-CN"/>
              </w:rPr>
              <w:t>。尽管如此，香港证监会解释说，如果香港房地产投资信托基金在上市两（</w:t>
            </w:r>
            <w:r>
              <w:rPr>
                <w:lang w:eastAsia="zh-CN"/>
              </w:rPr>
              <w:t>2</w:t>
            </w:r>
            <w:r>
              <w:rPr>
                <w:lang w:eastAsia="zh-CN"/>
              </w:rPr>
              <w:t>）年内连续停牌</w:t>
            </w:r>
            <w:r>
              <w:rPr>
                <w:lang w:eastAsia="zh-CN"/>
              </w:rPr>
              <w:t>18</w:t>
            </w:r>
            <w:r>
              <w:rPr>
                <w:lang w:eastAsia="zh-CN"/>
              </w:rPr>
              <w:t>个月，则该基金的拨款可能会被</w:t>
            </w:r>
            <w:r>
              <w:rPr>
                <w:lang w:eastAsia="zh-CN"/>
              </w:rPr>
              <w:t>“</w:t>
            </w:r>
            <w:r>
              <w:rPr>
                <w:lang w:eastAsia="zh-CN"/>
              </w:rPr>
              <w:t>收回</w:t>
            </w:r>
            <w:r>
              <w:rPr>
                <w:lang w:eastAsia="zh-CN"/>
              </w:rPr>
              <w:t>”</w:t>
            </w:r>
            <w:r>
              <w:rPr>
                <w:lang w:eastAsia="zh-CN"/>
              </w:rPr>
              <w:t>，此符合香港交易所上市规则</w:t>
            </w:r>
            <w:r>
              <w:rPr>
                <w:lang w:eastAsia="zh-CN"/>
              </w:rPr>
              <w:t>6.01A</w:t>
            </w:r>
            <w:r>
              <w:rPr>
                <w:lang w:eastAsia="zh-CN"/>
              </w:rPr>
              <w:t>，根据该规则，香港交易所可取消已连续停牌</w:t>
            </w:r>
            <w:r>
              <w:rPr>
                <w:lang w:eastAsia="zh-CN"/>
              </w:rPr>
              <w:t>18</w:t>
            </w:r>
            <w:r>
              <w:rPr>
                <w:lang w:eastAsia="zh-CN"/>
              </w:rPr>
              <w:t>个月的任何证券的上市。</w:t>
            </w:r>
          </w:p>
        </w:tc>
      </w:tr>
    </w:tbl>
    <w:p w:rsidR="00117BE4" w:rsidRDefault="0002087F">
      <w:pPr>
        <w:pStyle w:val="BodyText"/>
        <w:rPr>
          <w:lang w:eastAsia="zh-CN"/>
        </w:rPr>
      </w:pPr>
      <w:r>
        <w:rPr>
          <w:i/>
          <w:lang w:eastAsia="zh-CN"/>
        </w:rPr>
        <w:t>有关房地产投资信托基金的申请程序</w:t>
      </w:r>
    </w:p>
    <w:p w:rsidR="00117BE4" w:rsidRDefault="0002087F">
      <w:pPr>
        <w:pStyle w:val="BodyText"/>
        <w:rPr>
          <w:lang w:eastAsia="zh-CN"/>
        </w:rPr>
      </w:pPr>
      <w:r>
        <w:rPr>
          <w:lang w:eastAsia="zh-CN"/>
        </w:rPr>
        <w:lastRenderedPageBreak/>
        <w:t>申请人须于香港房地产投资信托基金上市后三</w:t>
      </w:r>
      <w:r>
        <w:rPr>
          <w:lang w:eastAsia="zh-CN"/>
        </w:rPr>
        <w:t>(3)</w:t>
      </w:r>
      <w:r>
        <w:rPr>
          <w:lang w:eastAsia="zh-CN"/>
        </w:rPr>
        <w:t>个月内，将填妥的开放式基金公司及房地产投资信托基金资助申请表</w:t>
      </w:r>
      <w:hyperlink w:anchor="footnote-8693-4">
        <w:r>
          <w:rPr>
            <w:vertAlign w:val="superscript"/>
            <w:lang w:eastAsia="zh-CN"/>
          </w:rPr>
          <w:t>4</w:t>
        </w:r>
      </w:hyperlink>
      <w:r>
        <w:rPr>
          <w:lang w:eastAsia="zh-CN"/>
        </w:rPr>
        <w:t>（</w:t>
      </w:r>
      <w:r>
        <w:rPr>
          <w:lang w:eastAsia="zh-CN"/>
        </w:rPr>
        <w:t>“</w:t>
      </w:r>
      <w:r>
        <w:rPr>
          <w:b/>
          <w:lang w:eastAsia="zh-CN"/>
        </w:rPr>
        <w:t>香港房地产投资信托基金申请表</w:t>
      </w:r>
      <w:r>
        <w:rPr>
          <w:lang w:eastAsia="zh-CN"/>
        </w:rPr>
        <w:t>”</w:t>
      </w:r>
      <w:r>
        <w:rPr>
          <w:lang w:eastAsia="zh-CN"/>
        </w:rPr>
        <w:t>）连同有关证明文件提交至证监会。</w:t>
      </w:r>
    </w:p>
    <w:p w:rsidR="00117BE4" w:rsidRDefault="0002087F">
      <w:pPr>
        <w:pStyle w:val="BodyText"/>
        <w:rPr>
          <w:lang w:eastAsia="zh-CN"/>
        </w:rPr>
      </w:pPr>
      <w:r>
        <w:rPr>
          <w:lang w:eastAsia="zh-CN"/>
        </w:rPr>
        <w:t>关于香港房地产投资基金合资格支出及香港房地产投资信托基金申请表格，申请人在香港房地产投资信托基金资助计划下拟申请的香港房地产投资信托基金合资格支出的详情，须列于香港房地产投资信托基金申请表格内。为支持申请的香港房地产投资信托基金合资格支出，申请人必须提交每一份</w:t>
      </w:r>
      <w:r>
        <w:rPr>
          <w:lang w:eastAsia="zh-CN"/>
        </w:rPr>
        <w:t>香港房地产投资信托基金合资格支出申请的扫描副本的发票</w:t>
      </w:r>
      <w:r>
        <w:rPr>
          <w:lang w:eastAsia="zh-CN"/>
        </w:rPr>
        <w:t>/</w:t>
      </w:r>
      <w:r>
        <w:rPr>
          <w:lang w:eastAsia="zh-CN"/>
        </w:rPr>
        <w:t>收据，香港房地产投资信托基金合资格支出的详情，亦须列于香港房地产投资信托基金申请表格附件</w:t>
      </w:r>
      <w:r>
        <w:rPr>
          <w:lang w:eastAsia="zh-CN"/>
        </w:rPr>
        <w:t>3</w:t>
      </w:r>
      <w:r>
        <w:rPr>
          <w:lang w:eastAsia="zh-CN"/>
        </w:rPr>
        <w:t>。</w:t>
      </w:r>
    </w:p>
    <w:p w:rsidR="00117BE4" w:rsidRDefault="0002087F">
      <w:pPr>
        <w:pStyle w:val="BodyText"/>
        <w:rPr>
          <w:lang w:eastAsia="zh-CN"/>
        </w:rPr>
      </w:pPr>
      <w:r>
        <w:rPr>
          <w:lang w:eastAsia="zh-CN"/>
        </w:rPr>
        <w:t>有关香港开放式基金公司及香港房地产投资信托基金的其他详情</w:t>
      </w:r>
    </w:p>
    <w:p w:rsidR="00117BE4" w:rsidRDefault="0002087F">
      <w:pPr>
        <w:pStyle w:val="BodyText"/>
        <w:rPr>
          <w:lang w:eastAsia="zh-CN"/>
        </w:rPr>
      </w:pPr>
      <w:r>
        <w:rPr>
          <w:lang w:eastAsia="zh-CN"/>
        </w:rPr>
        <w:t>有关香港开放式基金公司制度及设立香港开放式基金公司的详情，请参阅我们关于在香港设立投资基金的说明。</w:t>
      </w:r>
      <w:hyperlink w:anchor="footnote-8693-5">
        <w:r>
          <w:rPr>
            <w:vertAlign w:val="superscript"/>
            <w:lang w:eastAsia="zh-CN"/>
          </w:rPr>
          <w:t>5</w:t>
        </w:r>
      </w:hyperlink>
    </w:p>
    <w:p w:rsidR="00117BE4" w:rsidRDefault="0002087F">
      <w:pPr>
        <w:pStyle w:val="BodyText"/>
        <w:rPr>
          <w:lang w:eastAsia="zh-CN"/>
        </w:rPr>
      </w:pPr>
      <w:r>
        <w:rPr>
          <w:lang w:eastAsia="zh-CN"/>
        </w:rPr>
        <w:t>也请参阅易周律师行关于开曼群岛和香港基金情况的网络研讨会</w:t>
      </w:r>
      <w:hyperlink w:anchor="footnote-8693-6">
        <w:r>
          <w:rPr>
            <w:vertAlign w:val="superscript"/>
            <w:lang w:eastAsia="zh-CN"/>
          </w:rPr>
          <w:t>6</w:t>
        </w:r>
      </w:hyperlink>
      <w:r>
        <w:rPr>
          <w:lang w:eastAsia="zh-CN"/>
        </w:rPr>
        <w:t>，该研讨会关注的是香港开放式基金公司制度和香港房地产投资信托基金。</w:t>
      </w:r>
    </w:p>
    <w:p w:rsidR="00117BE4" w:rsidRDefault="0002087F" w:rsidP="0002087F">
      <w:pPr>
        <w:pStyle w:val="BodyText"/>
        <w:jc w:val="left"/>
      </w:pPr>
      <w:hyperlink w:anchor="footnote-8693-1-backlink">
        <w:r>
          <w:t>1</w:t>
        </w:r>
      </w:hyperlink>
      <w:r>
        <w:t xml:space="preserve"> </w:t>
      </w:r>
      <w:hyperlink r:id="rId8">
        <w:r>
          <w:t>https://www.charltonslaw.com/hong-kong-2021-2022-budget-market-highlights/</w:t>
        </w:r>
      </w:hyperlink>
    </w:p>
    <w:p w:rsidR="00117BE4" w:rsidRDefault="0002087F" w:rsidP="0002087F">
      <w:pPr>
        <w:pStyle w:val="BodyText"/>
        <w:jc w:val="left"/>
      </w:pPr>
      <w:hyperlink w:anchor="footnote-8693-2-backlink">
        <w:r>
          <w:t>2</w:t>
        </w:r>
      </w:hyperlink>
      <w:r>
        <w:t xml:space="preserve"> </w:t>
      </w:r>
      <w:hyperlink r:id="rId9">
        <w:r>
          <w:t>https://sfc.hk/-/media/files/PCIP/Checklist-and-Forms</w:t>
        </w:r>
        <w:r>
          <w:t>/Grant-Scheme---OFCs-and-REITs/1_Grant-Scheme-Application-Form_pdf_10052021_v1.pdf</w:t>
        </w:r>
      </w:hyperlink>
    </w:p>
    <w:p w:rsidR="00117BE4" w:rsidRDefault="0002087F" w:rsidP="0002087F">
      <w:pPr>
        <w:pStyle w:val="BodyText"/>
        <w:jc w:val="left"/>
      </w:pPr>
      <w:hyperlink w:anchor="footnote-8693-3-backlink">
        <w:r>
          <w:t>3</w:t>
        </w:r>
      </w:hyperlink>
      <w:r>
        <w:t xml:space="preserve"> </w:t>
      </w:r>
      <w:hyperlink r:id="rId10">
        <w:r>
          <w:t>https://sfc.hk/-/media/files/PCIP/Checklist-and-Forms/Grant-Scheme---OFCs-and-REITs/2_Confirmation-of-Intention-to-Apply</w:t>
        </w:r>
        <w:bookmarkStart w:id="0" w:name="_GoBack"/>
        <w:bookmarkEnd w:id="0"/>
        <w:r>
          <w:t>-for-OFC-Grant-Scheme_pdf_10052021.pdf</w:t>
        </w:r>
      </w:hyperlink>
    </w:p>
    <w:p w:rsidR="00117BE4" w:rsidRDefault="0002087F" w:rsidP="0002087F">
      <w:pPr>
        <w:pStyle w:val="BodyText"/>
        <w:jc w:val="left"/>
      </w:pPr>
      <w:hyperlink w:anchor="footnote-8693-4-backlink">
        <w:r>
          <w:t>4</w:t>
        </w:r>
      </w:hyperlink>
      <w:r>
        <w:t xml:space="preserve"> </w:t>
      </w:r>
      <w:hyperlink r:id="rId11">
        <w:r>
          <w:t>https://sfc.hk/-/media/files/PCIP/Checklist-and-Forms/Grant-Scheme---OFCs-and-REITs/1_Grant-Sch</w:t>
        </w:r>
        <w:r>
          <w:t>eme-Application-Form_pdf_10052021_v1.pdf</w:t>
        </w:r>
      </w:hyperlink>
    </w:p>
    <w:p w:rsidR="00117BE4" w:rsidRDefault="0002087F" w:rsidP="0002087F">
      <w:pPr>
        <w:pStyle w:val="BodyText"/>
        <w:jc w:val="left"/>
      </w:pPr>
      <w:hyperlink w:anchor="footnote-8693-5-backlink">
        <w:r>
          <w:t>5</w:t>
        </w:r>
      </w:hyperlink>
      <w:r>
        <w:t xml:space="preserve"> </w:t>
      </w:r>
      <w:hyperlink r:id="rId12">
        <w:r>
          <w:t>https:</w:t>
        </w:r>
        <w:r>
          <w:t>//www.charltonslaw.com/legal/information-insights/establishing-investment-funds-in-hk/Establishing-Investment-Funds-in-Hong-Kong-2.pdf</w:t>
        </w:r>
      </w:hyperlink>
    </w:p>
    <w:p w:rsidR="00117BE4" w:rsidRDefault="0002087F" w:rsidP="0002087F">
      <w:pPr>
        <w:pStyle w:val="BodyText"/>
        <w:jc w:val="left"/>
      </w:pPr>
      <w:hyperlink w:anchor="footnote-8693-6-backlink">
        <w:r>
          <w:t>6</w:t>
        </w:r>
      </w:hyperlink>
      <w:r>
        <w:t xml:space="preserve"> </w:t>
      </w:r>
      <w:hyperlink r:id="rId13">
        <w:r>
          <w:t>https://www.charltonslaw.com/hong-kong-law/webinar-on-fundamentals-of-funds-in-cayman-and-hong-kong/</w:t>
        </w:r>
      </w:hyperlink>
    </w:p>
    <w:p w:rsidR="00117BE4" w:rsidRDefault="0002087F">
      <w:pPr>
        <w:pStyle w:val="DisclaimerBold"/>
        <w:rPr>
          <w:lang w:eastAsia="zh-CN"/>
        </w:rPr>
      </w:pPr>
      <w:r>
        <w:rPr>
          <w:lang w:eastAsia="zh-CN"/>
        </w:rPr>
        <w:t>此法讯仅为提供相关资料信息之用，其内容并</w:t>
      </w:r>
    </w:p>
    <w:p w:rsidR="00117BE4" w:rsidRDefault="0002087F">
      <w:pPr>
        <w:pStyle w:val="Disclaimer"/>
        <w:rPr>
          <w:lang w:eastAsia="zh-CN"/>
        </w:rPr>
      </w:pPr>
      <w:r>
        <w:rPr>
          <w:lang w:eastAsia="zh-CN"/>
        </w:rPr>
        <w:t>不构成法律建议及个案的法律分析。</w:t>
      </w:r>
    </w:p>
    <w:p w:rsidR="00117BE4" w:rsidRDefault="0002087F">
      <w:pPr>
        <w:pStyle w:val="Disclaimer"/>
        <w:rPr>
          <w:lang w:eastAsia="zh-CN"/>
        </w:rPr>
      </w:pPr>
      <w:r>
        <w:rPr>
          <w:lang w:eastAsia="zh-CN"/>
        </w:rPr>
        <w:t>此法讯的发送并不是为了在易周律师行与用户或浏览者之间建立一种律师与客户之关系。</w:t>
      </w:r>
    </w:p>
    <w:p w:rsidR="00117BE4" w:rsidRDefault="0002087F">
      <w:pPr>
        <w:pStyle w:val="Disclaimer"/>
        <w:rPr>
          <w:lang w:eastAsia="zh-CN"/>
        </w:rPr>
      </w:pPr>
      <w:r>
        <w:rPr>
          <w:lang w:eastAsia="zh-CN"/>
        </w:rPr>
        <w:t>易周律师行并不对可从互联网获得的任何第三方内容负责。</w:t>
      </w:r>
    </w:p>
    <w:p w:rsidR="00117BE4" w:rsidRDefault="0002087F">
      <w:pPr>
        <w:pStyle w:val="Disclaimer"/>
        <w:rPr>
          <w:lang w:eastAsia="zh-CN"/>
        </w:rPr>
      </w:pPr>
      <w:r>
        <w:rPr>
          <w:lang w:eastAsia="zh-CN"/>
        </w:rPr>
        <w:t>如你</w:t>
      </w:r>
      <w:r>
        <w:rPr>
          <w:lang w:eastAsia="zh-CN"/>
        </w:rPr>
        <w:t>不希望再收到易周法讯，请发送电邮至</w:t>
      </w:r>
      <w:r>
        <w:rPr>
          <w:lang w:eastAsia="zh-CN"/>
        </w:rPr>
        <w:t xml:space="preserve">  </w:t>
      </w:r>
      <w:hyperlink r:id="rId14">
        <w:r>
          <w:rPr>
            <w:lang w:eastAsia="zh-CN"/>
          </w:rPr>
          <w:t>unsubscribe@charltonslaw.com</w:t>
        </w:r>
      </w:hyperlink>
    </w:p>
    <w:p w:rsidR="00117BE4" w:rsidRDefault="0002087F">
      <w:pPr>
        <w:pStyle w:val="BlackStrips"/>
      </w:pPr>
      <w:r>
        <w:t xml:space="preserve">Charltons - </w:t>
      </w:r>
      <w:r>
        <w:t>香港法律</w:t>
      </w:r>
      <w:r>
        <w:t xml:space="preserve"> - 2021</w:t>
      </w:r>
      <w:r>
        <w:t>年</w:t>
      </w:r>
      <w:r>
        <w:t>11</w:t>
      </w:r>
      <w:r>
        <w:t>月</w:t>
      </w:r>
      <w:r>
        <w:t>8</w:t>
      </w:r>
      <w:r>
        <w:t>日</w:t>
      </w:r>
    </w:p>
    <w:sectPr w:rsidR="00117BE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2087F">
      <w:pPr>
        <w:spacing w:after="0"/>
      </w:pPr>
      <w:r>
        <w:separator/>
      </w:r>
    </w:p>
  </w:endnote>
  <w:endnote w:type="continuationSeparator" w:id="0">
    <w:p w:rsidR="00000000" w:rsidRDefault="000208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E4" w:rsidRDefault="0002087F">
      <w:r>
        <w:separator/>
      </w:r>
    </w:p>
  </w:footnote>
  <w:footnote w:type="continuationSeparator" w:id="0">
    <w:p w:rsidR="00117BE4" w:rsidRDefault="0002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40C240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E0C438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A80FF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CEAE9C2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2087F"/>
    <w:rsid w:val="00117BE4"/>
    <w:rsid w:val="004E29B3"/>
    <w:rsid w:val="00590D07"/>
    <w:rsid w:val="00784D58"/>
    <w:rsid w:val="008D6863"/>
    <w:rsid w:val="00A22308"/>
    <w:rsid w:val="00AA2B84"/>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5D93C-9049-426C-A09F-AA338A27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ong-kong-2021-2022-budget-market-highlights/" TargetMode="External"/><Relationship Id="rId13" Type="http://schemas.openxmlformats.org/officeDocument/2006/relationships/hyperlink" Target="https://www.charltonslaw.com/hong-kong-law/webinar-on-fundamentals-of-funds-in-cayman-and-hong-kong/" TargetMode="External"/><Relationship Id="rId3" Type="http://schemas.openxmlformats.org/officeDocument/2006/relationships/settings" Target="settings.xml"/><Relationship Id="rId7" Type="http://schemas.openxmlformats.org/officeDocument/2006/relationships/hyperlink" Target="http://www.charltonslaw.com.cn/xiang-gang-zheng-fu-zi-zhu-she-li-xiang-gang-kai-fang-shi-ji-jin-gong-si-ji-fang-di-chan-tou-zi-xin-tuo-ji-jin" TargetMode="External"/><Relationship Id="rId12" Type="http://schemas.openxmlformats.org/officeDocument/2006/relationships/hyperlink" Target="https://www.charltonslaw.com/legal/information-insights/establishing-investment-funds-in-hk/Establishing-Investment-Funds-in-Hong-Kong-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fc.hk/-/media/files/PCIP/Checklist-and-Forms/Grant-Scheme---OFCs-and-REITs/1_Grant-Scheme-Application-Form_pdf_10052021_v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fc.hk/-/media/files/PCIP/Checklist-and-Forms/Grant-Scheme---OFCs-and-REITs/2_Confirmation-of-Intention-to-Apply-for-OFC-Grant-Scheme_pdf_10052021.pdf" TargetMode="External"/><Relationship Id="rId4" Type="http://schemas.openxmlformats.org/officeDocument/2006/relationships/webSettings" Target="webSettings.xml"/><Relationship Id="rId9" Type="http://schemas.openxmlformats.org/officeDocument/2006/relationships/hyperlink" Target="https://sfc.hk/-/media/files/PCIP/Checklist-and-Forms/Grant-Scheme---OFCs-and-REITs/1_Grant-Scheme-Application-Form_pdf_10052021_v1.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962</Words>
  <Characters>5484</Characters>
  <Application>Microsoft Office Word</Application>
  <DocSecurity>0</DocSecurity>
  <Lines>45</Lines>
  <Paragraphs>12</Paragraphs>
  <ScaleCrop>false</ScaleCrop>
  <Company>Charltons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4</cp:revision>
  <dcterms:created xsi:type="dcterms:W3CDTF">2021-11-08T07:27:00Z</dcterms:created>
  <dcterms:modified xsi:type="dcterms:W3CDTF">2021-11-08T07:31:00Z</dcterms:modified>
</cp:coreProperties>
</file>