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555" w:rsidRDefault="001F3A30">
      <w:pPr>
        <w:pStyle w:val="BlackStrips"/>
      </w:pPr>
      <w:r>
        <w:t xml:space="preserve">Charltons - </w:t>
      </w:r>
      <w:r>
        <w:t>香港法律</w:t>
      </w:r>
      <w:r>
        <w:t xml:space="preserve"> - 2021</w:t>
      </w:r>
      <w:r>
        <w:t>年</w:t>
      </w:r>
      <w:r>
        <w:t>11</w:t>
      </w:r>
      <w:r>
        <w:t>月</w:t>
      </w:r>
      <w:r>
        <w:t>10</w:t>
      </w:r>
      <w:r>
        <w:t>日</w:t>
      </w:r>
    </w:p>
    <w:p w:rsidR="00A14555" w:rsidRDefault="001F3A30">
      <w:pPr>
        <w:pStyle w:val="ReadOnline"/>
      </w:pPr>
      <w:hyperlink r:id="rId7">
        <w:r>
          <w:t>online version</w:t>
        </w:r>
      </w:hyperlink>
    </w:p>
    <w:p w:rsidR="00A14555" w:rsidRDefault="001F3A30">
      <w:pPr>
        <w:pStyle w:val="Title"/>
      </w:pPr>
      <w:r>
        <w:t>香港交易所将于</w:t>
      </w:r>
      <w:r>
        <w:t>2022</w:t>
      </w:r>
      <w:r>
        <w:t>年</w:t>
      </w:r>
      <w:r>
        <w:t>1</w:t>
      </w:r>
      <w:r>
        <w:t>月</w:t>
      </w:r>
      <w:r>
        <w:t>1</w:t>
      </w:r>
      <w:r>
        <w:t>日起提高主板利润要求</w:t>
      </w:r>
    </w:p>
    <w:p w:rsidR="00A14555" w:rsidRDefault="001F3A30">
      <w:pPr>
        <w:pStyle w:val="FirstParagraph"/>
        <w:rPr>
          <w:lang w:eastAsia="zh-CN"/>
        </w:rPr>
      </w:pPr>
      <w:r>
        <w:rPr>
          <w:lang w:eastAsia="zh-CN"/>
        </w:rPr>
        <w:t>香港联合交易所（</w:t>
      </w:r>
      <w:r>
        <w:rPr>
          <w:b/>
          <w:lang w:eastAsia="zh-CN"/>
        </w:rPr>
        <w:t>交易所</w:t>
      </w:r>
      <w:r>
        <w:rPr>
          <w:lang w:eastAsia="zh-CN"/>
        </w:rPr>
        <w:t>）于</w:t>
      </w:r>
      <w:r>
        <w:rPr>
          <w:lang w:eastAsia="zh-CN"/>
        </w:rPr>
        <w:t>2021</w:t>
      </w:r>
      <w:r>
        <w:rPr>
          <w:lang w:eastAsia="zh-CN"/>
        </w:rPr>
        <w:t>年</w:t>
      </w:r>
      <w:r>
        <w:rPr>
          <w:lang w:eastAsia="zh-CN"/>
        </w:rPr>
        <w:t>5</w:t>
      </w:r>
      <w:r>
        <w:rPr>
          <w:lang w:eastAsia="zh-CN"/>
        </w:rPr>
        <w:t>月</w:t>
      </w:r>
      <w:r>
        <w:rPr>
          <w:lang w:eastAsia="zh-CN"/>
        </w:rPr>
        <w:t>20</w:t>
      </w:r>
      <w:r>
        <w:rPr>
          <w:lang w:eastAsia="zh-CN"/>
        </w:rPr>
        <w:t>日公布《主板利润要求谘询总结》</w:t>
      </w:r>
      <w:hyperlink w:anchor="footnote-8693-1">
        <w:r>
          <w:rPr>
            <w:vertAlign w:val="superscript"/>
            <w:lang w:eastAsia="zh-CN"/>
          </w:rPr>
          <w:t>1</w:t>
        </w:r>
      </w:hyperlink>
      <w:r>
        <w:rPr>
          <w:lang w:eastAsia="zh-CN"/>
        </w:rPr>
        <w:t>。在谘询文件</w:t>
      </w:r>
      <w:hyperlink w:anchor="footnote-8693-2">
        <w:r>
          <w:rPr>
            <w:vertAlign w:val="superscript"/>
            <w:lang w:eastAsia="zh-CN"/>
          </w:rPr>
          <w:t>2</w:t>
        </w:r>
      </w:hyperlink>
      <w:r>
        <w:rPr>
          <w:lang w:eastAsia="zh-CN"/>
        </w:rPr>
        <w:t>建议将在主板上市的公司的利润要求提高</w:t>
      </w:r>
      <w:r>
        <w:rPr>
          <w:lang w:eastAsia="zh-CN"/>
        </w:rPr>
        <w:t>150%</w:t>
      </w:r>
      <w:r>
        <w:rPr>
          <w:lang w:eastAsia="zh-CN"/>
        </w:rPr>
        <w:t>或</w:t>
      </w:r>
      <w:r>
        <w:rPr>
          <w:lang w:eastAsia="zh-CN"/>
        </w:rPr>
        <w:t>200%</w:t>
      </w:r>
      <w:r>
        <w:rPr>
          <w:lang w:eastAsia="zh-CN"/>
        </w:rPr>
        <w:t>遭到广泛反对后，由</w:t>
      </w:r>
      <w:r>
        <w:rPr>
          <w:lang w:eastAsia="zh-CN"/>
        </w:rPr>
        <w:t>2022</w:t>
      </w:r>
      <w:r>
        <w:rPr>
          <w:lang w:eastAsia="zh-CN"/>
        </w:rPr>
        <w:t>年</w:t>
      </w:r>
      <w:r>
        <w:rPr>
          <w:lang w:eastAsia="zh-CN"/>
        </w:rPr>
        <w:t>1</w:t>
      </w:r>
      <w:r>
        <w:rPr>
          <w:lang w:eastAsia="zh-CN"/>
        </w:rPr>
        <w:t>月</w:t>
      </w:r>
      <w:r>
        <w:rPr>
          <w:lang w:eastAsia="zh-CN"/>
        </w:rPr>
        <w:t>1</w:t>
      </w:r>
      <w:r>
        <w:rPr>
          <w:lang w:eastAsia="zh-CN"/>
        </w:rPr>
        <w:t>日起，交易所将在三个财政年度营业纪录期内，将总利润要求提高</w:t>
      </w:r>
      <w:r>
        <w:rPr>
          <w:lang w:eastAsia="zh-CN"/>
        </w:rPr>
        <w:t>60%</w:t>
      </w:r>
      <w:r>
        <w:rPr>
          <w:lang w:eastAsia="zh-CN"/>
        </w:rPr>
        <w:t>，至</w:t>
      </w:r>
      <w:r>
        <w:rPr>
          <w:lang w:eastAsia="zh-CN"/>
        </w:rPr>
        <w:t>8,000</w:t>
      </w:r>
      <w:r>
        <w:rPr>
          <w:lang w:eastAsia="zh-CN"/>
        </w:rPr>
        <w:t>万港元。首两个财政年度的总利润要求将由</w:t>
      </w:r>
      <w:r>
        <w:rPr>
          <w:lang w:eastAsia="zh-CN"/>
        </w:rPr>
        <w:t>3,000</w:t>
      </w:r>
      <w:r>
        <w:rPr>
          <w:lang w:eastAsia="zh-CN"/>
        </w:rPr>
        <w:t>万港元提高至</w:t>
      </w:r>
      <w:r>
        <w:rPr>
          <w:lang w:eastAsia="zh-CN"/>
        </w:rPr>
        <w:t>4,500</w:t>
      </w:r>
      <w:r>
        <w:rPr>
          <w:lang w:eastAsia="zh-CN"/>
        </w:rPr>
        <w:t>万港元，而最后一个财政年度的利润要求将由</w:t>
      </w:r>
      <w:r>
        <w:rPr>
          <w:lang w:eastAsia="zh-CN"/>
        </w:rPr>
        <w:t>2,000</w:t>
      </w:r>
      <w:r>
        <w:rPr>
          <w:lang w:eastAsia="zh-CN"/>
        </w:rPr>
        <w:t>万港元提高至</w:t>
      </w:r>
      <w:r>
        <w:rPr>
          <w:lang w:eastAsia="zh-CN"/>
        </w:rPr>
        <w:t>3,500</w:t>
      </w:r>
      <w:r>
        <w:rPr>
          <w:lang w:eastAsia="zh-CN"/>
        </w:rPr>
        <w:t>万港元。交易所还将根据个案具体情况，而非</w:t>
      </w:r>
      <w:r>
        <w:rPr>
          <w:lang w:eastAsia="zh-CN"/>
        </w:rPr>
        <w:t>最初建议的对特定条件的满意程度，在营业记录期内给予利润宽减。</w:t>
      </w:r>
    </w:p>
    <w:p w:rsidR="00A14555" w:rsidRDefault="001F3A30">
      <w:pPr>
        <w:pStyle w:val="BodyText"/>
        <w:rPr>
          <w:lang w:eastAsia="zh-CN"/>
        </w:rPr>
      </w:pPr>
      <w:r>
        <w:rPr>
          <w:lang w:eastAsia="zh-CN"/>
        </w:rPr>
        <w:t>针对市场对创业板作为另类上市地点可行性的意见，交易所建议对创业板进行检讨。</w:t>
      </w:r>
    </w:p>
    <w:p w:rsidR="00A14555" w:rsidRDefault="001F3A30">
      <w:pPr>
        <w:pStyle w:val="BodyText"/>
        <w:rPr>
          <w:lang w:eastAsia="zh-CN"/>
        </w:rPr>
      </w:pPr>
      <w:r>
        <w:rPr>
          <w:lang w:eastAsia="zh-CN"/>
        </w:rPr>
        <w:t>有关谘询文件原建议的摘要，请参阅易周律师行</w:t>
      </w:r>
      <w:r>
        <w:rPr>
          <w:lang w:eastAsia="zh-CN"/>
        </w:rPr>
        <w:t>2020</w:t>
      </w:r>
      <w:r>
        <w:rPr>
          <w:lang w:eastAsia="zh-CN"/>
        </w:rPr>
        <w:t>年</w:t>
      </w:r>
      <w:r>
        <w:rPr>
          <w:lang w:eastAsia="zh-CN"/>
        </w:rPr>
        <w:t>11</w:t>
      </w:r>
      <w:r>
        <w:rPr>
          <w:lang w:eastAsia="zh-CN"/>
        </w:rPr>
        <w:t>月的时事通讯</w:t>
      </w:r>
      <w:hyperlink w:anchor="footnote-8693-3">
        <w:r>
          <w:rPr>
            <w:vertAlign w:val="superscript"/>
            <w:lang w:eastAsia="zh-CN"/>
          </w:rPr>
          <w:t>3</w:t>
        </w:r>
      </w:hyperlink>
      <w:r>
        <w:rPr>
          <w:lang w:eastAsia="zh-CN"/>
        </w:rPr>
        <w:t>。</w:t>
      </w:r>
    </w:p>
    <w:p w:rsidR="00A14555" w:rsidRDefault="001F3A30">
      <w:pPr>
        <w:pStyle w:val="BodyText"/>
        <w:rPr>
          <w:lang w:eastAsia="zh-CN"/>
        </w:rPr>
      </w:pPr>
      <w:r>
        <w:rPr>
          <w:lang w:eastAsia="zh-CN"/>
        </w:rPr>
        <w:t xml:space="preserve">1. </w:t>
      </w:r>
      <w:r>
        <w:rPr>
          <w:lang w:eastAsia="zh-CN"/>
        </w:rPr>
        <w:t>增加香港交易所主板最低利润要求</w:t>
      </w:r>
    </w:p>
    <w:p w:rsidR="00A14555" w:rsidRDefault="001F3A30">
      <w:pPr>
        <w:pStyle w:val="BodyText"/>
        <w:rPr>
          <w:lang w:eastAsia="zh-CN"/>
        </w:rPr>
      </w:pPr>
      <w:r>
        <w:rPr>
          <w:lang w:eastAsia="zh-CN"/>
        </w:rPr>
        <w:t>交易所最初建议将利润要求提高</w:t>
      </w:r>
      <w:r>
        <w:rPr>
          <w:lang w:eastAsia="zh-CN"/>
        </w:rPr>
        <w:t>150%</w:t>
      </w:r>
      <w:r>
        <w:rPr>
          <w:lang w:eastAsia="zh-CN"/>
        </w:rPr>
        <w:t>，使总利润要求提高至</w:t>
      </w:r>
      <w:r>
        <w:rPr>
          <w:lang w:eastAsia="zh-CN"/>
        </w:rPr>
        <w:t>1.25</w:t>
      </w:r>
      <w:r>
        <w:rPr>
          <w:lang w:eastAsia="zh-CN"/>
        </w:rPr>
        <w:t>亿港元（方案一）或将利润要求提高</w:t>
      </w:r>
      <w:r>
        <w:rPr>
          <w:lang w:eastAsia="zh-CN"/>
        </w:rPr>
        <w:t>200%</w:t>
      </w:r>
      <w:r>
        <w:rPr>
          <w:lang w:eastAsia="zh-CN"/>
        </w:rPr>
        <w:t>，使总利润要求提高至</w:t>
      </w:r>
      <w:r>
        <w:rPr>
          <w:lang w:eastAsia="zh-CN"/>
        </w:rPr>
        <w:t>1.5</w:t>
      </w:r>
      <w:r>
        <w:rPr>
          <w:lang w:eastAsia="zh-CN"/>
        </w:rPr>
        <w:t>亿港元（方案二）。谘询文件</w:t>
      </w:r>
      <w:r>
        <w:rPr>
          <w:lang w:eastAsia="zh-CN"/>
        </w:rPr>
        <w:t>83%</w:t>
      </w:r>
      <w:r>
        <w:rPr>
          <w:lang w:eastAsia="zh-CN"/>
        </w:rPr>
        <w:t>回应人士反对这项建议。他</w:t>
      </w:r>
      <w:r>
        <w:rPr>
          <w:lang w:eastAsia="zh-CN"/>
        </w:rPr>
        <w:t>们提出多项担忧，包括增加利润要求会妨碍中小企业和传统行业公司在香港交易所主板上市，以及创业板并不能为这些公司提供可行的替代上市平台。回应人士亦认为，鉴于目前的经济状况，提出此建议的时机并不合适，并对建议可能对交易所相对于其他市场的竞争力造成的影响表示担忧。</w:t>
      </w:r>
    </w:p>
    <w:p w:rsidR="00A14555" w:rsidRDefault="001F3A30">
      <w:pPr>
        <w:pStyle w:val="BodyText"/>
        <w:rPr>
          <w:lang w:eastAsia="zh-CN"/>
        </w:rPr>
      </w:pPr>
      <w:r>
        <w:rPr>
          <w:lang w:eastAsia="zh-CN"/>
        </w:rPr>
        <w:t>交易所决定在香港主板利润测试中，将总利润小幅上调</w:t>
      </w:r>
      <w:r>
        <w:rPr>
          <w:lang w:eastAsia="zh-CN"/>
        </w:rPr>
        <w:t>60%</w:t>
      </w:r>
      <w:r>
        <w:rPr>
          <w:lang w:eastAsia="zh-CN"/>
        </w:rPr>
        <w:t>。利润测试是确定香港主板上市资格的三项财务测试之一。</w:t>
      </w:r>
      <w:r>
        <w:rPr>
          <w:lang w:eastAsia="zh-CN"/>
        </w:rPr>
        <w:t>这是自</w:t>
      </w:r>
      <w:r>
        <w:rPr>
          <w:lang w:eastAsia="zh-CN"/>
        </w:rPr>
        <w:t>1994</w:t>
      </w:r>
      <w:r>
        <w:rPr>
          <w:lang w:eastAsia="zh-CN"/>
        </w:rPr>
        <w:t>年引入该制度以来首次提高利润要求。</w:t>
      </w:r>
      <w:r>
        <w:rPr>
          <w:lang w:eastAsia="zh-CN"/>
        </w:rPr>
        <w:t>交易所还将营业纪录期间的利润差从</w:t>
      </w:r>
      <w:r>
        <w:rPr>
          <w:lang w:eastAsia="zh-CN"/>
        </w:rPr>
        <w:t>60%:40%</w:t>
      </w:r>
      <w:r>
        <w:rPr>
          <w:lang w:eastAsia="zh-CN"/>
        </w:rPr>
        <w:t>调整为</w:t>
      </w:r>
      <w:r>
        <w:rPr>
          <w:lang w:eastAsia="zh-CN"/>
        </w:rPr>
        <w:t>56%:44%</w:t>
      </w:r>
      <w:r>
        <w:rPr>
          <w:lang w:eastAsia="zh-CN"/>
        </w:rPr>
        <w:t>。</w:t>
      </w:r>
    </w:p>
    <w:p w:rsidR="00A14555" w:rsidRDefault="001F3A30">
      <w:pPr>
        <w:pStyle w:val="BodyText"/>
        <w:rPr>
          <w:lang w:eastAsia="zh-CN"/>
        </w:rPr>
      </w:pPr>
      <w:r>
        <w:rPr>
          <w:lang w:eastAsia="zh-CN"/>
        </w:rPr>
        <w:t>增加利润要求是为了减少利润</w:t>
      </w:r>
      <w:r>
        <w:rPr>
          <w:lang w:eastAsia="zh-CN"/>
        </w:rPr>
        <w:t>要求与市值要求之间的不一致，这是由于根据利润测试上市的申请人的市值要求在</w:t>
      </w:r>
      <w:r>
        <w:rPr>
          <w:lang w:eastAsia="zh-CN"/>
        </w:rPr>
        <w:t>2018</w:t>
      </w:r>
      <w:r>
        <w:rPr>
          <w:lang w:eastAsia="zh-CN"/>
        </w:rPr>
        <w:t>年由</w:t>
      </w:r>
      <w:r>
        <w:rPr>
          <w:lang w:eastAsia="zh-CN"/>
        </w:rPr>
        <w:t>2</w:t>
      </w:r>
      <w:r>
        <w:rPr>
          <w:lang w:eastAsia="zh-CN"/>
        </w:rPr>
        <w:t>亿港元增至</w:t>
      </w:r>
      <w:r>
        <w:rPr>
          <w:lang w:eastAsia="zh-CN"/>
        </w:rPr>
        <w:t>5</w:t>
      </w:r>
      <w:r>
        <w:rPr>
          <w:lang w:eastAsia="zh-CN"/>
        </w:rPr>
        <w:t>亿港元所致。对于只满足利润和市值要求的上市申请人，这实际上增加了隐含的历史市盈率比（</w:t>
      </w:r>
      <w:r>
        <w:rPr>
          <w:b/>
          <w:lang w:eastAsia="zh-CN"/>
        </w:rPr>
        <w:t>P / E</w:t>
      </w:r>
      <w:r>
        <w:rPr>
          <w:lang w:eastAsia="zh-CN"/>
        </w:rPr>
        <w:t>），由</w:t>
      </w:r>
      <w:r>
        <w:rPr>
          <w:lang w:eastAsia="zh-CN"/>
        </w:rPr>
        <w:t>10</w:t>
      </w:r>
      <w:r>
        <w:rPr>
          <w:lang w:eastAsia="zh-CN"/>
        </w:rPr>
        <w:t>倍增至</w:t>
      </w:r>
      <w:r>
        <w:rPr>
          <w:lang w:eastAsia="zh-CN"/>
        </w:rPr>
        <w:t>25</w:t>
      </w:r>
      <w:r>
        <w:rPr>
          <w:lang w:eastAsia="zh-CN"/>
        </w:rPr>
        <w:t>倍</w:t>
      </w:r>
      <w:hyperlink w:anchor="footnote-8693-4">
        <w:r>
          <w:rPr>
            <w:vertAlign w:val="superscript"/>
            <w:lang w:eastAsia="zh-CN"/>
          </w:rPr>
          <w:t>4</w:t>
        </w:r>
      </w:hyperlink>
      <w:r>
        <w:rPr>
          <w:lang w:eastAsia="zh-CN"/>
        </w:rPr>
        <w:t>，导致申请人的数量激增，相比上市同行，其历史市盈率比非常高。正如谘询总结所述，交易所和证监会认为，现有的估值偏差已导致部分上市申请人估值过高，以及在定价过程中存在不当行为。利润要求增加</w:t>
      </w:r>
      <w:r>
        <w:rPr>
          <w:lang w:eastAsia="zh-CN"/>
        </w:rPr>
        <w:t>60%</w:t>
      </w:r>
      <w:r>
        <w:rPr>
          <w:lang w:eastAsia="zh-CN"/>
        </w:rPr>
        <w:t>将使刚刚达到利润和市值要求的申</w:t>
      </w:r>
      <w:r>
        <w:rPr>
          <w:lang w:eastAsia="zh-CN"/>
        </w:rPr>
        <w:t>请人的隐含历史市盈率降至约</w:t>
      </w:r>
      <w:r>
        <w:rPr>
          <w:lang w:eastAsia="zh-CN"/>
        </w:rPr>
        <w:t>14</w:t>
      </w:r>
      <w:r>
        <w:rPr>
          <w:lang w:eastAsia="zh-CN"/>
        </w:rPr>
        <w:t>倍，这与恒生指数在</w:t>
      </w:r>
      <w:r>
        <w:rPr>
          <w:lang w:eastAsia="zh-CN"/>
        </w:rPr>
        <w:t>1994</w:t>
      </w:r>
      <w:r>
        <w:rPr>
          <w:lang w:eastAsia="zh-CN"/>
        </w:rPr>
        <w:t>年至</w:t>
      </w:r>
      <w:r>
        <w:rPr>
          <w:lang w:eastAsia="zh-CN"/>
        </w:rPr>
        <w:t>2020</w:t>
      </w:r>
      <w:r>
        <w:rPr>
          <w:lang w:eastAsia="zh-CN"/>
        </w:rPr>
        <w:t>年期间的平均市盈率相符。修改后的利润增加与修改后的利润差幅度如下表所示。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457"/>
        <w:gridCol w:w="2263"/>
        <w:gridCol w:w="1146"/>
        <w:gridCol w:w="1705"/>
      </w:tblGrid>
      <w:tr w:rsidR="001F3A30" w:rsidRPr="003A0138" w:rsidTr="001F3A30">
        <w:tc>
          <w:tcPr>
            <w:tcW w:w="1951" w:type="dxa"/>
            <w:shd w:val="clear" w:color="auto" w:fill="auto"/>
            <w:vAlign w:val="center"/>
          </w:tcPr>
          <w:p w:rsidR="001F3A30" w:rsidRDefault="001F3A30" w:rsidP="00DD35C9">
            <w:pPr>
              <w:spacing w:after="0" w:line="260" w:lineRule="auto"/>
              <w:jc w:val="center"/>
            </w:pPr>
          </w:p>
        </w:tc>
        <w:tc>
          <w:tcPr>
            <w:tcW w:w="1457" w:type="dxa"/>
            <w:shd w:val="clear" w:color="auto" w:fill="auto"/>
            <w:vAlign w:val="center"/>
          </w:tcPr>
          <w:p w:rsidR="001F3A30" w:rsidRDefault="001F3A30" w:rsidP="00DD35C9">
            <w:pPr>
              <w:spacing w:after="0" w:line="260" w:lineRule="auto"/>
              <w:jc w:val="center"/>
            </w:pPr>
            <w:r w:rsidRPr="003A0138">
              <w:rPr>
                <w:rFonts w:hint="eastAsia"/>
                <w:b/>
                <w:bCs/>
              </w:rPr>
              <w:t>当前</w:t>
            </w:r>
          </w:p>
        </w:tc>
        <w:tc>
          <w:tcPr>
            <w:tcW w:w="2263" w:type="dxa"/>
            <w:shd w:val="clear" w:color="auto" w:fill="auto"/>
            <w:vAlign w:val="center"/>
          </w:tcPr>
          <w:p w:rsidR="001F3A30" w:rsidRDefault="001F3A30" w:rsidP="00DD35C9">
            <w:pPr>
              <w:spacing w:after="0" w:line="260" w:lineRule="auto"/>
              <w:jc w:val="center"/>
            </w:pPr>
            <w:r w:rsidRPr="003A0138">
              <w:rPr>
                <w:b/>
                <w:bCs/>
              </w:rPr>
              <w:t>修改后的利润增加</w:t>
            </w:r>
          </w:p>
        </w:tc>
        <w:tc>
          <w:tcPr>
            <w:tcW w:w="1146" w:type="dxa"/>
            <w:shd w:val="clear" w:color="auto" w:fill="auto"/>
            <w:vAlign w:val="center"/>
          </w:tcPr>
          <w:p w:rsidR="001F3A30" w:rsidRPr="003A0138" w:rsidRDefault="001F3A30" w:rsidP="00DD35C9">
            <w:pPr>
              <w:spacing w:after="0" w:line="260" w:lineRule="auto"/>
              <w:jc w:val="center"/>
              <w:rPr>
                <w:b/>
                <w:bCs/>
              </w:rPr>
            </w:pPr>
            <w:r w:rsidRPr="003A0138">
              <w:rPr>
                <w:rFonts w:hint="eastAsia"/>
                <w:b/>
                <w:bCs/>
              </w:rPr>
              <w:t>方案1</w:t>
            </w:r>
          </w:p>
        </w:tc>
        <w:tc>
          <w:tcPr>
            <w:tcW w:w="1705" w:type="dxa"/>
            <w:shd w:val="clear" w:color="auto" w:fill="auto"/>
            <w:vAlign w:val="center"/>
          </w:tcPr>
          <w:p w:rsidR="001F3A30" w:rsidRPr="003A0138" w:rsidRDefault="001F3A30" w:rsidP="00DD35C9">
            <w:pPr>
              <w:spacing w:after="0" w:line="260" w:lineRule="auto"/>
              <w:jc w:val="center"/>
              <w:rPr>
                <w:b/>
                <w:bCs/>
              </w:rPr>
            </w:pPr>
            <w:r w:rsidRPr="003A0138">
              <w:rPr>
                <w:rFonts w:hint="eastAsia"/>
                <w:b/>
                <w:bCs/>
              </w:rPr>
              <w:t>方案2</w:t>
            </w:r>
          </w:p>
        </w:tc>
      </w:tr>
      <w:tr w:rsidR="001F3A30" w:rsidTr="001F3A30">
        <w:tc>
          <w:tcPr>
            <w:tcW w:w="1951" w:type="dxa"/>
            <w:shd w:val="clear" w:color="auto" w:fill="auto"/>
            <w:vAlign w:val="center"/>
          </w:tcPr>
          <w:p w:rsidR="001F3A30" w:rsidRDefault="001F3A30" w:rsidP="00DD35C9">
            <w:pPr>
              <w:spacing w:after="0" w:line="260" w:lineRule="auto"/>
              <w:jc w:val="center"/>
            </w:pPr>
            <w:r>
              <w:rPr>
                <w:rFonts w:hint="eastAsia"/>
              </w:rPr>
              <w:t>拟议增加（%）</w:t>
            </w:r>
          </w:p>
        </w:tc>
        <w:tc>
          <w:tcPr>
            <w:tcW w:w="1457" w:type="dxa"/>
            <w:shd w:val="clear" w:color="auto" w:fill="auto"/>
            <w:vAlign w:val="center"/>
          </w:tcPr>
          <w:p w:rsidR="001F3A30" w:rsidRDefault="001F3A30" w:rsidP="00DD35C9">
            <w:pPr>
              <w:spacing w:after="0" w:line="260" w:lineRule="auto"/>
              <w:jc w:val="center"/>
            </w:pPr>
          </w:p>
        </w:tc>
        <w:tc>
          <w:tcPr>
            <w:tcW w:w="2263" w:type="dxa"/>
            <w:shd w:val="clear" w:color="auto" w:fill="auto"/>
            <w:vAlign w:val="center"/>
          </w:tcPr>
          <w:p w:rsidR="001F3A30" w:rsidRDefault="001F3A30" w:rsidP="00DD35C9">
            <w:pPr>
              <w:spacing w:after="0" w:line="260" w:lineRule="auto"/>
              <w:jc w:val="center"/>
            </w:pPr>
            <w:r w:rsidRPr="003A0138">
              <w:rPr>
                <w:rFonts w:ascii="Helvetica" w:eastAsia="Helvetica" w:hAnsi="Helvetica" w:cs="Helvetica"/>
                <w:color w:val="2B2B2B"/>
                <w:sz w:val="21"/>
                <w:szCs w:val="21"/>
                <w:shd w:val="clear" w:color="auto" w:fill="FFFFFF"/>
              </w:rPr>
              <w:t>60%</w:t>
            </w:r>
          </w:p>
        </w:tc>
        <w:tc>
          <w:tcPr>
            <w:tcW w:w="1146" w:type="dxa"/>
            <w:shd w:val="clear" w:color="auto" w:fill="auto"/>
            <w:vAlign w:val="center"/>
          </w:tcPr>
          <w:p w:rsidR="001F3A30" w:rsidRDefault="001F3A30" w:rsidP="00DD35C9">
            <w:pPr>
              <w:spacing w:after="0" w:line="260" w:lineRule="auto"/>
              <w:jc w:val="center"/>
            </w:pPr>
            <w:r w:rsidRPr="003A0138">
              <w:rPr>
                <w:rFonts w:ascii="Helvetica" w:eastAsia="Helvetica" w:hAnsi="Helvetica" w:cs="Helvetica"/>
                <w:color w:val="2B2B2B"/>
                <w:sz w:val="21"/>
                <w:szCs w:val="21"/>
                <w:shd w:val="clear" w:color="auto" w:fill="FFFFFF"/>
              </w:rPr>
              <w:t>150%</w:t>
            </w:r>
          </w:p>
        </w:tc>
        <w:tc>
          <w:tcPr>
            <w:tcW w:w="1705" w:type="dxa"/>
            <w:shd w:val="clear" w:color="auto" w:fill="auto"/>
            <w:vAlign w:val="center"/>
          </w:tcPr>
          <w:p w:rsidR="001F3A30" w:rsidRDefault="001F3A30" w:rsidP="00DD35C9">
            <w:pPr>
              <w:spacing w:after="0" w:line="260" w:lineRule="auto"/>
              <w:jc w:val="center"/>
            </w:pPr>
            <w:r w:rsidRPr="003A0138">
              <w:rPr>
                <w:rFonts w:ascii="Helvetica" w:eastAsia="Helvetica" w:hAnsi="Helvetica" w:cs="Helvetica"/>
                <w:color w:val="2B2B2B"/>
                <w:sz w:val="21"/>
                <w:szCs w:val="21"/>
                <w:shd w:val="clear" w:color="auto" w:fill="FFFFFF"/>
              </w:rPr>
              <w:t>150%</w:t>
            </w:r>
          </w:p>
        </w:tc>
      </w:tr>
      <w:tr w:rsidR="001F3A30" w:rsidRPr="003A0138" w:rsidTr="00DD35C9">
        <w:tc>
          <w:tcPr>
            <w:tcW w:w="8522" w:type="dxa"/>
            <w:gridSpan w:val="5"/>
            <w:shd w:val="clear" w:color="auto" w:fill="auto"/>
            <w:vAlign w:val="center"/>
          </w:tcPr>
          <w:p w:rsidR="001F3A30" w:rsidRPr="003A0138" w:rsidRDefault="001F3A30" w:rsidP="00DD35C9">
            <w:pPr>
              <w:spacing w:after="0" w:line="260" w:lineRule="auto"/>
              <w:jc w:val="center"/>
              <w:rPr>
                <w:rFonts w:ascii="Helvetica" w:hAnsi="Helvetica" w:cs="Helvetica" w:hint="eastAsia"/>
                <w:b/>
                <w:bCs/>
                <w:color w:val="2B2B2B"/>
                <w:sz w:val="21"/>
                <w:szCs w:val="21"/>
                <w:shd w:val="clear" w:color="auto" w:fill="FFFFFF"/>
              </w:rPr>
            </w:pPr>
            <w:r w:rsidRPr="003A0138">
              <w:rPr>
                <w:rFonts w:ascii="Helvetica" w:hAnsi="Helvetica" w:cs="Helvetica" w:hint="eastAsia"/>
                <w:b/>
                <w:bCs/>
                <w:color w:val="2B2B2B"/>
                <w:sz w:val="21"/>
                <w:szCs w:val="21"/>
                <w:shd w:val="clear" w:color="auto" w:fill="FFFFFF"/>
              </w:rPr>
              <w:t>百万港元</w:t>
            </w:r>
          </w:p>
        </w:tc>
      </w:tr>
      <w:tr w:rsidR="001F3A30" w:rsidRPr="003A0138" w:rsidTr="001F3A30">
        <w:tc>
          <w:tcPr>
            <w:tcW w:w="1951" w:type="dxa"/>
            <w:shd w:val="clear" w:color="auto" w:fill="auto"/>
            <w:vAlign w:val="center"/>
          </w:tcPr>
          <w:p w:rsidR="001F3A30" w:rsidRDefault="001F3A30" w:rsidP="00DD35C9">
            <w:pPr>
              <w:spacing w:after="0" w:line="260" w:lineRule="auto"/>
              <w:jc w:val="center"/>
              <w:rPr>
                <w:rFonts w:hint="eastAsia"/>
                <w:lang w:eastAsia="zh-CN"/>
              </w:rPr>
            </w:pPr>
            <w:r>
              <w:rPr>
                <w:rFonts w:hint="eastAsia"/>
                <w:lang w:eastAsia="zh-CN"/>
              </w:rPr>
              <w:t>在头两个财政年度合计</w:t>
            </w:r>
          </w:p>
        </w:tc>
        <w:tc>
          <w:tcPr>
            <w:tcW w:w="1457"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30</w:t>
            </w:r>
          </w:p>
        </w:tc>
        <w:tc>
          <w:tcPr>
            <w:tcW w:w="2263"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45</w:t>
            </w:r>
          </w:p>
        </w:tc>
        <w:tc>
          <w:tcPr>
            <w:tcW w:w="1146"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75</w:t>
            </w:r>
          </w:p>
        </w:tc>
        <w:tc>
          <w:tcPr>
            <w:tcW w:w="1705"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90</w:t>
            </w:r>
          </w:p>
        </w:tc>
      </w:tr>
      <w:tr w:rsidR="001F3A30" w:rsidRPr="003A0138" w:rsidTr="001F3A30">
        <w:tc>
          <w:tcPr>
            <w:tcW w:w="1951" w:type="dxa"/>
            <w:shd w:val="clear" w:color="auto" w:fill="auto"/>
            <w:vAlign w:val="center"/>
          </w:tcPr>
          <w:p w:rsidR="001F3A30" w:rsidRDefault="001F3A30" w:rsidP="00DD35C9">
            <w:pPr>
              <w:spacing w:after="0" w:line="260" w:lineRule="auto"/>
              <w:jc w:val="center"/>
              <w:rPr>
                <w:rFonts w:hint="eastAsia"/>
              </w:rPr>
            </w:pPr>
            <w:r>
              <w:rPr>
                <w:rFonts w:hint="eastAsia"/>
              </w:rPr>
              <w:t>最后一个财政年度</w:t>
            </w:r>
          </w:p>
        </w:tc>
        <w:tc>
          <w:tcPr>
            <w:tcW w:w="1457"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sz w:val="22"/>
              </w:rPr>
            </w:pPr>
            <w:r w:rsidRPr="003A0138">
              <w:rPr>
                <w:rFonts w:ascii="Helvetica" w:eastAsia="Helvetica" w:hAnsi="Helvetica" w:cs="Helvetica"/>
                <w:color w:val="2B2B2B"/>
                <w:sz w:val="21"/>
                <w:szCs w:val="21"/>
              </w:rPr>
              <w:t>20</w:t>
            </w:r>
          </w:p>
        </w:tc>
        <w:tc>
          <w:tcPr>
            <w:tcW w:w="2263"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35</w:t>
            </w:r>
          </w:p>
        </w:tc>
        <w:tc>
          <w:tcPr>
            <w:tcW w:w="1146"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50</w:t>
            </w:r>
          </w:p>
        </w:tc>
        <w:tc>
          <w:tcPr>
            <w:tcW w:w="1705"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shd w:val="clear" w:color="auto" w:fill="FFFFFF"/>
              </w:rPr>
            </w:pPr>
            <w:r w:rsidRPr="003A0138">
              <w:rPr>
                <w:rFonts w:ascii="Helvetica" w:eastAsia="Helvetica" w:hAnsi="Helvetica" w:cs="Helvetica"/>
                <w:color w:val="2B2B2B"/>
                <w:sz w:val="21"/>
                <w:szCs w:val="21"/>
              </w:rPr>
              <w:t>60</w:t>
            </w:r>
          </w:p>
        </w:tc>
      </w:tr>
      <w:tr w:rsidR="001F3A30" w:rsidRPr="003A0138" w:rsidTr="001F3A30">
        <w:tc>
          <w:tcPr>
            <w:tcW w:w="1951" w:type="dxa"/>
            <w:shd w:val="clear" w:color="auto" w:fill="auto"/>
            <w:vAlign w:val="center"/>
          </w:tcPr>
          <w:p w:rsidR="001F3A30" w:rsidRPr="003A0138" w:rsidRDefault="001F3A30" w:rsidP="00DD35C9">
            <w:pPr>
              <w:spacing w:after="0" w:line="260" w:lineRule="auto"/>
              <w:jc w:val="center"/>
              <w:rPr>
                <w:rFonts w:hint="eastAsia"/>
                <w:b/>
                <w:bCs/>
              </w:rPr>
            </w:pPr>
            <w:r w:rsidRPr="003A0138">
              <w:rPr>
                <w:rFonts w:hint="eastAsia"/>
                <w:b/>
                <w:bCs/>
              </w:rPr>
              <w:t>总计</w:t>
            </w:r>
          </w:p>
        </w:tc>
        <w:tc>
          <w:tcPr>
            <w:tcW w:w="1457"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rPr>
            </w:pPr>
            <w:r w:rsidRPr="003A0138">
              <w:rPr>
                <w:rStyle w:val="Strong"/>
                <w:rFonts w:ascii="Helvetica" w:eastAsia="Helvetica" w:hAnsi="Helvetica" w:cs="Helvetica"/>
                <w:bCs/>
                <w:color w:val="2B2B2B"/>
                <w:sz w:val="21"/>
                <w:szCs w:val="21"/>
              </w:rPr>
              <w:t>50</w:t>
            </w:r>
          </w:p>
        </w:tc>
        <w:tc>
          <w:tcPr>
            <w:tcW w:w="2263"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rPr>
            </w:pPr>
            <w:r w:rsidRPr="003A0138">
              <w:rPr>
                <w:rStyle w:val="Strong"/>
                <w:rFonts w:ascii="Helvetica" w:eastAsia="Helvetica" w:hAnsi="Helvetica" w:cs="Helvetica"/>
                <w:bCs/>
                <w:color w:val="2B2B2B"/>
                <w:sz w:val="21"/>
                <w:szCs w:val="21"/>
              </w:rPr>
              <w:t>80</w:t>
            </w:r>
          </w:p>
        </w:tc>
        <w:tc>
          <w:tcPr>
            <w:tcW w:w="1146"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rPr>
            </w:pPr>
            <w:r w:rsidRPr="003A0138">
              <w:rPr>
                <w:rStyle w:val="Strong"/>
                <w:rFonts w:ascii="Helvetica" w:eastAsia="Helvetica" w:hAnsi="Helvetica" w:cs="Helvetica"/>
                <w:bCs/>
                <w:color w:val="2B2B2B"/>
                <w:sz w:val="21"/>
                <w:szCs w:val="21"/>
              </w:rPr>
              <w:t>125</w:t>
            </w:r>
          </w:p>
        </w:tc>
        <w:tc>
          <w:tcPr>
            <w:tcW w:w="1705"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Fonts w:ascii="Helvetica" w:eastAsia="Helvetica" w:hAnsi="Helvetica" w:cs="Helvetica"/>
                <w:color w:val="2B2B2B"/>
                <w:sz w:val="21"/>
                <w:szCs w:val="21"/>
              </w:rPr>
            </w:pPr>
            <w:r w:rsidRPr="003A0138">
              <w:rPr>
                <w:rStyle w:val="Strong"/>
                <w:rFonts w:ascii="Helvetica" w:eastAsia="Helvetica" w:hAnsi="Helvetica" w:cs="Helvetica"/>
                <w:bCs/>
                <w:color w:val="2B2B2B"/>
                <w:sz w:val="21"/>
                <w:szCs w:val="21"/>
              </w:rPr>
              <w:t>150</w:t>
            </w:r>
          </w:p>
        </w:tc>
      </w:tr>
      <w:tr w:rsidR="001F3A30" w:rsidRPr="003A0138" w:rsidTr="001F3A30">
        <w:tc>
          <w:tcPr>
            <w:tcW w:w="1951" w:type="dxa"/>
            <w:shd w:val="clear" w:color="auto" w:fill="auto"/>
            <w:vAlign w:val="center"/>
          </w:tcPr>
          <w:p w:rsidR="001F3A30" w:rsidRDefault="001F3A30" w:rsidP="00DD35C9">
            <w:pPr>
              <w:spacing w:after="0" w:line="260" w:lineRule="auto"/>
              <w:jc w:val="center"/>
              <w:rPr>
                <w:rFonts w:hint="eastAsia"/>
              </w:rPr>
            </w:pPr>
            <w:r>
              <w:rPr>
                <w:rFonts w:hint="eastAsia"/>
              </w:rPr>
              <w:t>利润差</w:t>
            </w:r>
          </w:p>
        </w:tc>
        <w:tc>
          <w:tcPr>
            <w:tcW w:w="1457"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60%:40%</w:t>
            </w:r>
          </w:p>
        </w:tc>
        <w:tc>
          <w:tcPr>
            <w:tcW w:w="2263"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56%:44%</w:t>
            </w:r>
          </w:p>
        </w:tc>
        <w:tc>
          <w:tcPr>
            <w:tcW w:w="1146"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60%:40%</w:t>
            </w:r>
          </w:p>
        </w:tc>
        <w:tc>
          <w:tcPr>
            <w:tcW w:w="1705"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60%:40%</w:t>
            </w:r>
          </w:p>
        </w:tc>
      </w:tr>
      <w:tr w:rsidR="001F3A30" w:rsidRPr="003A0138" w:rsidTr="001F3A30">
        <w:tc>
          <w:tcPr>
            <w:tcW w:w="1951" w:type="dxa"/>
            <w:shd w:val="clear" w:color="auto" w:fill="auto"/>
            <w:vAlign w:val="center"/>
          </w:tcPr>
          <w:p w:rsidR="001F3A30" w:rsidRDefault="001F3A30" w:rsidP="00DD35C9">
            <w:pPr>
              <w:spacing w:after="0" w:line="260" w:lineRule="auto"/>
              <w:jc w:val="center"/>
              <w:rPr>
                <w:rFonts w:hint="eastAsia"/>
              </w:rPr>
            </w:pPr>
            <w:r>
              <w:rPr>
                <w:rFonts w:hint="eastAsia"/>
              </w:rPr>
              <w:t>隐含历史市盈率</w:t>
            </w:r>
          </w:p>
        </w:tc>
        <w:tc>
          <w:tcPr>
            <w:tcW w:w="1457"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hAnsi="Helvetica" w:cs="Helvetica" w:hint="eastAsia"/>
                <w:bCs/>
                <w:color w:val="2B2B2B"/>
                <w:sz w:val="21"/>
                <w:szCs w:val="21"/>
              </w:rPr>
            </w:pPr>
            <w:r w:rsidRPr="003A0138">
              <w:rPr>
                <w:rFonts w:ascii="Helvetica" w:eastAsia="Helvetica" w:hAnsi="Helvetica" w:cs="Helvetica"/>
                <w:color w:val="2B2B2B"/>
                <w:sz w:val="21"/>
                <w:szCs w:val="21"/>
              </w:rPr>
              <w:t>25</w:t>
            </w:r>
            <w:r w:rsidRPr="003A0138">
              <w:rPr>
                <w:rFonts w:ascii="Helvetica" w:hAnsi="Helvetica" w:cs="Helvetica" w:hint="eastAsia"/>
                <w:color w:val="2B2B2B"/>
                <w:sz w:val="21"/>
                <w:szCs w:val="21"/>
              </w:rPr>
              <w:t>倍</w:t>
            </w:r>
          </w:p>
        </w:tc>
        <w:tc>
          <w:tcPr>
            <w:tcW w:w="2263"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14</w:t>
            </w:r>
            <w:r w:rsidRPr="003A0138">
              <w:rPr>
                <w:rFonts w:ascii="Helvetica" w:hAnsi="Helvetica" w:cs="Helvetica" w:hint="eastAsia"/>
                <w:color w:val="2B2B2B"/>
                <w:sz w:val="21"/>
                <w:szCs w:val="21"/>
              </w:rPr>
              <w:t>倍</w:t>
            </w:r>
          </w:p>
        </w:tc>
        <w:tc>
          <w:tcPr>
            <w:tcW w:w="1146"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10</w:t>
            </w:r>
            <w:r w:rsidRPr="003A0138">
              <w:rPr>
                <w:rFonts w:ascii="Helvetica" w:hAnsi="Helvetica" w:cs="Helvetica" w:hint="eastAsia"/>
                <w:color w:val="2B2B2B"/>
                <w:sz w:val="21"/>
                <w:szCs w:val="21"/>
              </w:rPr>
              <w:t>倍</w:t>
            </w:r>
          </w:p>
        </w:tc>
        <w:tc>
          <w:tcPr>
            <w:tcW w:w="1705" w:type="dxa"/>
            <w:shd w:val="clear" w:color="auto" w:fill="auto"/>
            <w:vAlign w:val="center"/>
          </w:tcPr>
          <w:p w:rsidR="001F3A30" w:rsidRPr="003A0138" w:rsidRDefault="001F3A30" w:rsidP="00DD35C9">
            <w:pPr>
              <w:pStyle w:val="NormalWeb"/>
              <w:spacing w:before="0" w:beforeAutospacing="0" w:after="0" w:afterAutospacing="0" w:line="300" w:lineRule="atLeast"/>
              <w:jc w:val="center"/>
              <w:textAlignment w:val="baseline"/>
              <w:rPr>
                <w:rStyle w:val="Strong"/>
                <w:rFonts w:ascii="Helvetica" w:eastAsia="Helvetica" w:hAnsi="Helvetica" w:cs="Helvetica"/>
                <w:bCs/>
                <w:color w:val="2B2B2B"/>
                <w:sz w:val="21"/>
                <w:szCs w:val="21"/>
              </w:rPr>
            </w:pPr>
            <w:r w:rsidRPr="003A0138">
              <w:rPr>
                <w:rFonts w:ascii="Helvetica" w:eastAsia="Helvetica" w:hAnsi="Helvetica" w:cs="Helvetica"/>
                <w:color w:val="2B2B2B"/>
                <w:sz w:val="21"/>
                <w:szCs w:val="21"/>
              </w:rPr>
              <w:t>8</w:t>
            </w:r>
            <w:r w:rsidRPr="003A0138">
              <w:rPr>
                <w:rFonts w:ascii="Helvetica" w:hAnsi="Helvetica" w:cs="Helvetica" w:hint="eastAsia"/>
                <w:color w:val="2B2B2B"/>
                <w:sz w:val="21"/>
                <w:szCs w:val="21"/>
              </w:rPr>
              <w:t>倍</w:t>
            </w:r>
          </w:p>
        </w:tc>
      </w:tr>
    </w:tbl>
    <w:p w:rsidR="00A14555" w:rsidRDefault="001F3A30">
      <w:pPr>
        <w:pStyle w:val="BodyText"/>
        <w:rPr>
          <w:lang w:eastAsia="zh-CN"/>
        </w:rPr>
      </w:pPr>
      <w:r>
        <w:rPr>
          <w:lang w:eastAsia="zh-CN"/>
        </w:rPr>
        <w:t>修改后的建议基于以下因素获采纳：</w:t>
      </w:r>
      <w:bookmarkStart w:id="0" w:name="_GoBack"/>
      <w:bookmarkEnd w:id="0"/>
    </w:p>
    <w:p w:rsidR="00A14555" w:rsidRDefault="001F3A30">
      <w:pPr>
        <w:pStyle w:val="Compact"/>
        <w:numPr>
          <w:ilvl w:val="0"/>
          <w:numId w:val="3"/>
        </w:numPr>
        <w:rPr>
          <w:lang w:eastAsia="zh-CN"/>
        </w:rPr>
      </w:pPr>
      <w:r>
        <w:rPr>
          <w:lang w:eastAsia="zh-CN"/>
        </w:rPr>
        <w:lastRenderedPageBreak/>
        <w:t>拟议的上调与</w:t>
      </w:r>
      <w:r>
        <w:rPr>
          <w:lang w:eastAsia="zh-CN"/>
        </w:rPr>
        <w:t>1994</w:t>
      </w:r>
      <w:r>
        <w:rPr>
          <w:lang w:eastAsia="zh-CN"/>
        </w:rPr>
        <w:t>年</w:t>
      </w:r>
      <w:r>
        <w:rPr>
          <w:lang w:eastAsia="zh-CN"/>
        </w:rPr>
        <w:t>9</w:t>
      </w:r>
      <w:r>
        <w:rPr>
          <w:lang w:eastAsia="zh-CN"/>
        </w:rPr>
        <w:t>月（</w:t>
      </w:r>
      <w:r>
        <w:rPr>
          <w:lang w:eastAsia="zh-CN"/>
        </w:rPr>
        <w:t>68.6</w:t>
      </w:r>
      <w:r>
        <w:rPr>
          <w:lang w:eastAsia="zh-CN"/>
        </w:rPr>
        <w:t>）至</w:t>
      </w:r>
      <w:r>
        <w:rPr>
          <w:lang w:eastAsia="zh-CN"/>
        </w:rPr>
        <w:t>2020</w:t>
      </w:r>
      <w:r>
        <w:rPr>
          <w:lang w:eastAsia="zh-CN"/>
        </w:rPr>
        <w:t>年</w:t>
      </w:r>
      <w:r>
        <w:rPr>
          <w:lang w:eastAsia="zh-CN"/>
        </w:rPr>
        <w:t>12</w:t>
      </w:r>
      <w:r>
        <w:rPr>
          <w:lang w:eastAsia="zh-CN"/>
        </w:rPr>
        <w:t>月</w:t>
      </w:r>
      <w:r>
        <w:rPr>
          <w:lang w:eastAsia="zh-CN"/>
        </w:rPr>
        <w:t>(110.7)</w:t>
      </w:r>
      <w:r>
        <w:rPr>
          <w:lang w:eastAsia="zh-CN"/>
        </w:rPr>
        <w:t>月度综合消费者价格指数</w:t>
      </w:r>
      <w:r>
        <w:rPr>
          <w:lang w:eastAsia="zh-CN"/>
        </w:rPr>
        <w:t>61%</w:t>
      </w:r>
      <w:r>
        <w:rPr>
          <w:lang w:eastAsia="zh-CN"/>
        </w:rPr>
        <w:t>的上调（</w:t>
      </w:r>
      <w:r>
        <w:rPr>
          <w:lang w:eastAsia="zh-CN"/>
        </w:rPr>
        <w:t>2019</w:t>
      </w:r>
      <w:r>
        <w:rPr>
          <w:lang w:eastAsia="zh-CN"/>
        </w:rPr>
        <w:t>年：</w:t>
      </w:r>
      <w:r>
        <w:rPr>
          <w:lang w:eastAsia="zh-CN"/>
        </w:rPr>
        <w:t>60%</w:t>
      </w:r>
      <w:r>
        <w:rPr>
          <w:lang w:eastAsia="zh-CN"/>
        </w:rPr>
        <w:t>）一致；</w:t>
      </w:r>
    </w:p>
    <w:p w:rsidR="00A14555" w:rsidRDefault="001F3A30">
      <w:pPr>
        <w:pStyle w:val="Compact"/>
        <w:numPr>
          <w:ilvl w:val="0"/>
          <w:numId w:val="3"/>
        </w:numPr>
        <w:rPr>
          <w:lang w:eastAsia="zh-CN"/>
        </w:rPr>
      </w:pPr>
      <w:r>
        <w:rPr>
          <w:lang w:eastAsia="zh-CN"/>
        </w:rPr>
        <w:t>修订后的利润增幅会导致有较低的利润的上市申请人没有资格上市，这是回应人士最常提到的担忧。在</w:t>
      </w:r>
      <w:r>
        <w:rPr>
          <w:lang w:eastAsia="zh-CN"/>
        </w:rPr>
        <w:t>2016</w:t>
      </w:r>
      <w:r>
        <w:rPr>
          <w:lang w:eastAsia="zh-CN"/>
        </w:rPr>
        <w:t>年至</w:t>
      </w:r>
      <w:r>
        <w:rPr>
          <w:lang w:eastAsia="zh-CN"/>
        </w:rPr>
        <w:t>2019</w:t>
      </w:r>
      <w:r>
        <w:rPr>
          <w:lang w:eastAsia="zh-CN"/>
        </w:rPr>
        <w:t>年期间根据利润测试申请主板上市的</w:t>
      </w:r>
      <w:r>
        <w:rPr>
          <w:lang w:eastAsia="zh-CN"/>
        </w:rPr>
        <w:t>745</w:t>
      </w:r>
      <w:r>
        <w:rPr>
          <w:lang w:eastAsia="zh-CN"/>
        </w:rPr>
        <w:t>名上市申请人中，有</w:t>
      </w:r>
      <w:r>
        <w:rPr>
          <w:lang w:eastAsia="zh-CN"/>
        </w:rPr>
        <w:t>259</w:t>
      </w:r>
      <w:r>
        <w:rPr>
          <w:lang w:eastAsia="zh-CN"/>
        </w:rPr>
        <w:t>人（</w:t>
      </w:r>
      <w:r>
        <w:rPr>
          <w:lang w:eastAsia="zh-CN"/>
        </w:rPr>
        <w:t>35%</w:t>
      </w:r>
      <w:r>
        <w:rPr>
          <w:lang w:eastAsia="zh-CN"/>
        </w:rPr>
        <w:t>）在调整后的利润增幅下不符合上市资格，而在交易所建议的</w:t>
      </w:r>
      <w:r>
        <w:rPr>
          <w:lang w:eastAsia="zh-CN"/>
        </w:rPr>
        <w:t>150%</w:t>
      </w:r>
      <w:r>
        <w:rPr>
          <w:lang w:eastAsia="zh-CN"/>
        </w:rPr>
        <w:t>增幅（方案</w:t>
      </w:r>
      <w:r>
        <w:rPr>
          <w:lang w:eastAsia="zh-CN"/>
        </w:rPr>
        <w:t>1</w:t>
      </w:r>
      <w:r>
        <w:rPr>
          <w:lang w:eastAsia="zh-CN"/>
        </w:rPr>
        <w:t>）下则有</w:t>
      </w:r>
      <w:r>
        <w:rPr>
          <w:lang w:eastAsia="zh-CN"/>
        </w:rPr>
        <w:t>437</w:t>
      </w:r>
      <w:r>
        <w:rPr>
          <w:lang w:eastAsia="zh-CN"/>
        </w:rPr>
        <w:t>人（</w:t>
      </w:r>
      <w:r>
        <w:rPr>
          <w:lang w:eastAsia="zh-CN"/>
        </w:rPr>
        <w:t>59%</w:t>
      </w:r>
      <w:r>
        <w:rPr>
          <w:lang w:eastAsia="zh-CN"/>
        </w:rPr>
        <w:t>）或交易所建议的</w:t>
      </w:r>
      <w:r>
        <w:rPr>
          <w:lang w:eastAsia="zh-CN"/>
        </w:rPr>
        <w:t>200%</w:t>
      </w:r>
      <w:r>
        <w:rPr>
          <w:lang w:eastAsia="zh-CN"/>
        </w:rPr>
        <w:t>增幅（方案</w:t>
      </w:r>
      <w:r>
        <w:rPr>
          <w:lang w:eastAsia="zh-CN"/>
        </w:rPr>
        <w:t>2</w:t>
      </w:r>
      <w:r>
        <w:rPr>
          <w:lang w:eastAsia="zh-CN"/>
        </w:rPr>
        <w:t>）下则有</w:t>
      </w:r>
      <w:r>
        <w:rPr>
          <w:lang w:eastAsia="zh-CN"/>
        </w:rPr>
        <w:t>486</w:t>
      </w:r>
      <w:r>
        <w:rPr>
          <w:lang w:eastAsia="zh-CN"/>
        </w:rPr>
        <w:t>人（</w:t>
      </w:r>
      <w:r>
        <w:rPr>
          <w:lang w:eastAsia="zh-CN"/>
        </w:rPr>
        <w:t>65%</w:t>
      </w:r>
      <w:r>
        <w:rPr>
          <w:lang w:eastAsia="zh-CN"/>
        </w:rPr>
        <w:t>）；及</w:t>
      </w:r>
    </w:p>
    <w:p w:rsidR="00A14555" w:rsidRDefault="001F3A30">
      <w:pPr>
        <w:pStyle w:val="Compact"/>
        <w:numPr>
          <w:ilvl w:val="0"/>
          <w:numId w:val="3"/>
        </w:numPr>
        <w:rPr>
          <w:lang w:eastAsia="zh-CN"/>
        </w:rPr>
      </w:pPr>
      <w:r>
        <w:rPr>
          <w:lang w:eastAsia="zh-CN"/>
        </w:rPr>
        <w:t>8,000</w:t>
      </w:r>
      <w:r>
        <w:rPr>
          <w:lang w:eastAsia="zh-CN"/>
        </w:rPr>
        <w:t>万港元的总利润要求，</w:t>
      </w:r>
      <w:r>
        <w:rPr>
          <w:lang w:eastAsia="zh-CN"/>
        </w:rPr>
        <w:t>在</w:t>
      </w:r>
      <w:r>
        <w:rPr>
          <w:lang w:eastAsia="zh-CN"/>
        </w:rPr>
        <w:t>27</w:t>
      </w:r>
      <w:r>
        <w:rPr>
          <w:lang w:eastAsia="zh-CN"/>
        </w:rPr>
        <w:t>名建议调低利润要求的回应人士提出的其他选择（</w:t>
      </w:r>
      <w:r>
        <w:rPr>
          <w:lang w:eastAsia="zh-CN"/>
        </w:rPr>
        <w:t>6,000</w:t>
      </w:r>
      <w:r>
        <w:rPr>
          <w:lang w:eastAsia="zh-CN"/>
        </w:rPr>
        <w:t>万港元至</w:t>
      </w:r>
      <w:r>
        <w:rPr>
          <w:lang w:eastAsia="zh-CN"/>
        </w:rPr>
        <w:t>1</w:t>
      </w:r>
      <w:r>
        <w:rPr>
          <w:lang w:eastAsia="zh-CN"/>
        </w:rPr>
        <w:t>亿港元）范围内。</w:t>
      </w:r>
    </w:p>
    <w:p w:rsidR="00A14555" w:rsidRDefault="001F3A30">
      <w:pPr>
        <w:pStyle w:val="FirstParagraph"/>
        <w:rPr>
          <w:lang w:eastAsia="zh-CN"/>
        </w:rPr>
      </w:pPr>
      <w:r>
        <w:rPr>
          <w:lang w:eastAsia="zh-CN"/>
        </w:rPr>
        <w:t xml:space="preserve">2. </w:t>
      </w:r>
      <w:r>
        <w:rPr>
          <w:lang w:eastAsia="zh-CN"/>
        </w:rPr>
        <w:t>更灵活地宽免港交所的利润差要求</w:t>
      </w:r>
    </w:p>
    <w:p w:rsidR="00A14555" w:rsidRDefault="001F3A30">
      <w:pPr>
        <w:pStyle w:val="BodyText"/>
        <w:rPr>
          <w:lang w:eastAsia="zh-CN"/>
        </w:rPr>
      </w:pPr>
      <w:r>
        <w:rPr>
          <w:lang w:eastAsia="zh-CN"/>
        </w:rPr>
        <w:t>交易所亦已修订有关减免利润差规定的建议。最初的建议是，交易所会在符合一套固定条件的条件下，对符合营业纪录期内总利润要求的上市申请人给予宽减。条件包括上市申请人须：</w:t>
      </w:r>
      <w:r>
        <w:rPr>
          <w:lang w:eastAsia="zh-CN"/>
        </w:rPr>
        <w:t>(i)</w:t>
      </w:r>
      <w:r>
        <w:rPr>
          <w:lang w:eastAsia="zh-CN"/>
        </w:rPr>
        <w:t>在最后财政年度有正的现金流</w:t>
      </w:r>
      <w:r>
        <w:rPr>
          <w:lang w:eastAsia="zh-CN"/>
        </w:rPr>
        <w:t>; (ii)</w:t>
      </w:r>
      <w:r>
        <w:rPr>
          <w:lang w:eastAsia="zh-CN"/>
        </w:rPr>
        <w:t>能够证明导致其不能满足利润差要求的条件和情况是暂时的；以及</w:t>
      </w:r>
      <w:r>
        <w:rPr>
          <w:lang w:eastAsia="zh-CN"/>
        </w:rPr>
        <w:t>(iii)</w:t>
      </w:r>
      <w:r>
        <w:rPr>
          <w:lang w:eastAsia="zh-CN"/>
        </w:rPr>
        <w:t>在上市文件内载列至下一个财政年度终了日止的期间的盈利预测。</w:t>
      </w:r>
      <w:r>
        <w:rPr>
          <w:lang w:eastAsia="zh-CN"/>
        </w:rPr>
        <w:t>62</w:t>
      </w:r>
      <w:r>
        <w:rPr>
          <w:lang w:eastAsia="zh-CN"/>
        </w:rPr>
        <w:t>个回应人士支持提供宽免的建议，</w:t>
      </w:r>
      <w:r>
        <w:rPr>
          <w:lang w:eastAsia="zh-CN"/>
        </w:rPr>
        <w:t>27</w:t>
      </w:r>
      <w:r>
        <w:rPr>
          <w:lang w:eastAsia="zh-CN"/>
        </w:rPr>
        <w:t>个回应人士支持拟</w:t>
      </w:r>
      <w:r>
        <w:rPr>
          <w:lang w:eastAsia="zh-CN"/>
        </w:rPr>
        <w:t>议的条件。</w:t>
      </w:r>
    </w:p>
    <w:p w:rsidR="00A14555" w:rsidRDefault="001F3A30">
      <w:pPr>
        <w:pStyle w:val="BodyText"/>
      </w:pPr>
      <w:r>
        <w:rPr>
          <w:lang w:eastAsia="zh-CN"/>
        </w:rPr>
        <w:t>交易所已决定宽减利润差的规定，以宽减那些能满足</w:t>
      </w:r>
      <w:r>
        <w:rPr>
          <w:lang w:eastAsia="zh-CN"/>
        </w:rPr>
        <w:t>8,000</w:t>
      </w:r>
      <w:r>
        <w:rPr>
          <w:lang w:eastAsia="zh-CN"/>
        </w:rPr>
        <w:t>万港元增加的总利润要求的公司。但是，将根据具体情况给予宽免，而不是根据满足一套固定的条件。</w:t>
      </w:r>
      <w:r>
        <w:t>在考虑是否宽免利润差规定时，交易所将：</w:t>
      </w:r>
    </w:p>
    <w:p w:rsidR="00A14555" w:rsidRDefault="001F3A30">
      <w:pPr>
        <w:pStyle w:val="Compact"/>
        <w:numPr>
          <w:ilvl w:val="0"/>
          <w:numId w:val="4"/>
        </w:numPr>
        <w:rPr>
          <w:lang w:eastAsia="zh-CN"/>
        </w:rPr>
      </w:pPr>
      <w:r>
        <w:rPr>
          <w:lang w:eastAsia="zh-CN"/>
        </w:rPr>
        <w:t>考虑上市申请人的业务性质及其无法满足利润差的根本原因（如成长期公司和业务受到新冠肺炎大流行和当前经济低迷严重影响的公司）；及</w:t>
      </w:r>
    </w:p>
    <w:p w:rsidR="00A14555" w:rsidRDefault="001F3A30">
      <w:pPr>
        <w:pStyle w:val="Compact"/>
        <w:numPr>
          <w:ilvl w:val="0"/>
          <w:numId w:val="4"/>
        </w:numPr>
        <w:rPr>
          <w:lang w:eastAsia="zh-CN"/>
        </w:rPr>
      </w:pPr>
      <w:r>
        <w:rPr>
          <w:lang w:eastAsia="zh-CN"/>
        </w:rPr>
        <w:t>评估申请人的盈利预测备忘录及其市盈率的合理性。</w:t>
      </w:r>
    </w:p>
    <w:p w:rsidR="00A14555" w:rsidRDefault="001F3A30">
      <w:pPr>
        <w:pStyle w:val="FirstParagraph"/>
        <w:rPr>
          <w:lang w:eastAsia="zh-CN"/>
        </w:rPr>
      </w:pPr>
      <w:r>
        <w:rPr>
          <w:lang w:eastAsia="zh-CN"/>
        </w:rPr>
        <w:t>如香港交易所认为有需要，可要求上市申请人在上市文件中披露其盈利预测，以便投资者对该公司的情况和前景作出知情决定。它还可能询问，</w:t>
      </w:r>
      <w:r>
        <w:rPr>
          <w:lang w:eastAsia="zh-CN"/>
        </w:rPr>
        <w:t>IPO</w:t>
      </w:r>
      <w:r>
        <w:rPr>
          <w:lang w:eastAsia="zh-CN"/>
        </w:rPr>
        <w:t>价格是如</w:t>
      </w:r>
      <w:r>
        <w:rPr>
          <w:lang w:eastAsia="zh-CN"/>
        </w:rPr>
        <w:t>何参照询价过程确定的。</w:t>
      </w:r>
    </w:p>
    <w:p w:rsidR="00A14555" w:rsidRDefault="001F3A30">
      <w:pPr>
        <w:pStyle w:val="BodyText"/>
        <w:rPr>
          <w:lang w:eastAsia="zh-CN"/>
        </w:rPr>
      </w:pPr>
      <w:r>
        <w:rPr>
          <w:lang w:eastAsia="zh-CN"/>
        </w:rPr>
        <w:t xml:space="preserve">3. </w:t>
      </w:r>
      <w:r>
        <w:rPr>
          <w:lang w:eastAsia="zh-CN"/>
        </w:rPr>
        <w:t>香港交易所与香港证监会在应对监管问题上的合作</w:t>
      </w:r>
    </w:p>
    <w:p w:rsidR="00A14555" w:rsidRDefault="001F3A30">
      <w:pPr>
        <w:pStyle w:val="BodyText"/>
        <w:rPr>
          <w:lang w:eastAsia="zh-CN"/>
        </w:rPr>
      </w:pPr>
      <w:r>
        <w:rPr>
          <w:lang w:eastAsia="zh-CN"/>
        </w:rPr>
        <w:t>交易所将继续与证监会紧密合作，处理谘询文件及谘询总结所讨论的各项监管事宜。</w:t>
      </w:r>
    </w:p>
    <w:p w:rsidR="00A14555" w:rsidRDefault="001F3A30">
      <w:pPr>
        <w:pStyle w:val="BodyText"/>
        <w:rPr>
          <w:lang w:eastAsia="zh-CN"/>
        </w:rPr>
      </w:pPr>
      <w:r>
        <w:rPr>
          <w:lang w:eastAsia="zh-CN"/>
        </w:rPr>
        <w:t>检讨香港交易所上市申请人的估值</w:t>
      </w:r>
    </w:p>
    <w:p w:rsidR="00A14555" w:rsidRDefault="001F3A30">
      <w:pPr>
        <w:pStyle w:val="BodyText"/>
        <w:rPr>
          <w:lang w:eastAsia="zh-CN"/>
        </w:rPr>
      </w:pPr>
      <w:r>
        <w:rPr>
          <w:lang w:eastAsia="zh-CN"/>
        </w:rPr>
        <w:t>交易所指出，在</w:t>
      </w:r>
      <w:r>
        <w:rPr>
          <w:lang w:eastAsia="zh-CN"/>
        </w:rPr>
        <w:t>2018</w:t>
      </w:r>
      <w:r>
        <w:rPr>
          <w:lang w:eastAsia="zh-CN"/>
        </w:rPr>
        <w:t>年提高上市申请人的市值要求之后，刚刚达到盈利要求的上市申请人数量激增，仅以非常高的历史市盈率（与其上市同行相比）实现了市值要求。</w:t>
      </w:r>
    </w:p>
    <w:p w:rsidR="00A14555" w:rsidRDefault="001F3A30">
      <w:pPr>
        <w:pStyle w:val="BodyText"/>
        <w:rPr>
          <w:lang w:eastAsia="zh-CN"/>
        </w:rPr>
      </w:pPr>
      <w:r>
        <w:rPr>
          <w:lang w:eastAsia="zh-CN"/>
        </w:rPr>
        <w:t>这些上市申请人通常以盈利预测支持的潜在增长来证明其高估值的合理性，但其中许多公司未能达到盈利预测，或在上市后股价和市值下跌。因此，交易所担心，申请人的估值被人为抬高，以满足市值要求。</w:t>
      </w:r>
    </w:p>
    <w:p w:rsidR="00A14555" w:rsidRDefault="001F3A30">
      <w:pPr>
        <w:pStyle w:val="BodyText"/>
        <w:rPr>
          <w:lang w:eastAsia="zh-CN"/>
        </w:rPr>
      </w:pPr>
      <w:r>
        <w:rPr>
          <w:lang w:eastAsia="zh-CN"/>
        </w:rPr>
        <w:t>根据谘询总结，交易所和香港证监会将继续审慎评估上市申请人的估值，特别是那些历史市盈率相对于上市同行较高的申请人。特别是，交易所将审慎评估上市申请人的盈利预测备忘录，以评估其估值的合理性，并在适当情况下，要求申请人在上市文件中披露其盈利预测。对于从创业板转股的申请，交易所将考虑申请人在营业记录期内股价的任何异常上涨。如上市申请人</w:t>
      </w:r>
      <w:r>
        <w:rPr>
          <w:lang w:eastAsia="zh-CN"/>
        </w:rPr>
        <w:t>及其保荐人未能就增股作出满意解释，交易所可拒绝其转至主板的申请。</w:t>
      </w:r>
    </w:p>
    <w:p w:rsidR="00A14555" w:rsidRDefault="001F3A30">
      <w:pPr>
        <w:pStyle w:val="BodyText"/>
        <w:rPr>
          <w:lang w:eastAsia="zh-CN"/>
        </w:rPr>
      </w:pPr>
      <w:r>
        <w:rPr>
          <w:lang w:eastAsia="zh-CN"/>
        </w:rPr>
        <w:t>证监会与交易所就</w:t>
      </w:r>
      <w:r>
        <w:rPr>
          <w:lang w:eastAsia="zh-CN"/>
        </w:rPr>
        <w:t>ipo</w:t>
      </w:r>
      <w:r>
        <w:rPr>
          <w:lang w:eastAsia="zh-CN"/>
        </w:rPr>
        <w:t>相关不当行为发表联合声明</w:t>
      </w:r>
    </w:p>
    <w:p w:rsidR="00A14555" w:rsidRDefault="001F3A30">
      <w:pPr>
        <w:pStyle w:val="BodyText"/>
        <w:rPr>
          <w:lang w:eastAsia="zh-CN"/>
        </w:rPr>
      </w:pPr>
      <w:r>
        <w:rPr>
          <w:lang w:eastAsia="zh-CN"/>
        </w:rPr>
        <w:t>香港证监会</w:t>
      </w:r>
      <w:r>
        <w:rPr>
          <w:lang w:eastAsia="zh-CN"/>
        </w:rPr>
        <w:t>/</w:t>
      </w:r>
      <w:r>
        <w:rPr>
          <w:lang w:eastAsia="zh-CN"/>
        </w:rPr>
        <w:t>交易所监管的担忧</w:t>
      </w:r>
    </w:p>
    <w:p w:rsidR="00A14555" w:rsidRDefault="001F3A30">
      <w:pPr>
        <w:pStyle w:val="BodyText"/>
        <w:rPr>
          <w:lang w:eastAsia="zh-CN"/>
        </w:rPr>
      </w:pPr>
      <w:r>
        <w:rPr>
          <w:lang w:eastAsia="zh-CN"/>
        </w:rPr>
        <w:t>香港交易所和香港证监会还于</w:t>
      </w:r>
      <w:r>
        <w:rPr>
          <w:lang w:eastAsia="zh-CN"/>
        </w:rPr>
        <w:t>2021</w:t>
      </w:r>
      <w:r>
        <w:rPr>
          <w:lang w:eastAsia="zh-CN"/>
        </w:rPr>
        <w:t>年</w:t>
      </w:r>
      <w:r>
        <w:rPr>
          <w:lang w:eastAsia="zh-CN"/>
        </w:rPr>
        <w:t>5</w:t>
      </w:r>
      <w:r>
        <w:rPr>
          <w:lang w:eastAsia="zh-CN"/>
        </w:rPr>
        <w:t>月</w:t>
      </w:r>
      <w:r>
        <w:rPr>
          <w:lang w:eastAsia="zh-CN"/>
        </w:rPr>
        <w:t>20</w:t>
      </w:r>
      <w:r>
        <w:rPr>
          <w:lang w:eastAsia="zh-CN"/>
        </w:rPr>
        <w:t>日发表了一份关于《</w:t>
      </w:r>
      <w:r>
        <w:rPr>
          <w:lang w:eastAsia="zh-CN"/>
        </w:rPr>
        <w:t>ipo</w:t>
      </w:r>
      <w:r>
        <w:rPr>
          <w:lang w:eastAsia="zh-CN"/>
        </w:rPr>
        <w:t>相关不当行为的联合声明》</w:t>
      </w:r>
      <w:hyperlink w:anchor="footnote-8693-5">
        <w:r>
          <w:rPr>
            <w:vertAlign w:val="superscript"/>
            <w:lang w:eastAsia="zh-CN"/>
          </w:rPr>
          <w:t>5</w:t>
        </w:r>
      </w:hyperlink>
      <w:r>
        <w:rPr>
          <w:lang w:eastAsia="zh-CN"/>
        </w:rPr>
        <w:t>，该声明更详细地描述了谘询文件中提到的监管担忧，以及监管机构将如何在适当情况下使用其</w:t>
      </w:r>
      <w:r>
        <w:rPr>
          <w:lang w:eastAsia="zh-CN"/>
        </w:rPr>
        <w:lastRenderedPageBreak/>
        <w:t>权力拒绝或反对上市申请。《联合声明》提高了人们对</w:t>
      </w:r>
      <w:r>
        <w:rPr>
          <w:lang w:eastAsia="zh-CN"/>
        </w:rPr>
        <w:t>“</w:t>
      </w:r>
      <w:r>
        <w:rPr>
          <w:lang w:eastAsia="zh-CN"/>
        </w:rPr>
        <w:t>唱高散货</w:t>
      </w:r>
      <w:r>
        <w:rPr>
          <w:lang w:eastAsia="zh-CN"/>
        </w:rPr>
        <w:t>”</w:t>
      </w:r>
      <w:r>
        <w:rPr>
          <w:lang w:eastAsia="zh-CN"/>
        </w:rPr>
        <w:t>计划的认识，这种计划通常涉及新上市股票，发行人在</w:t>
      </w:r>
      <w:r>
        <w:rPr>
          <w:lang w:eastAsia="zh-CN"/>
        </w:rPr>
        <w:t>IPO</w:t>
      </w:r>
      <w:r>
        <w:rPr>
          <w:lang w:eastAsia="zh-CN"/>
        </w:rPr>
        <w:t>时勉强达到市值要求，但历史市盈率非常高。报告显示，在某些情况下，作案者可能利用配售部分将股份分配到受控账户，目的是：</w:t>
      </w:r>
      <w:r>
        <w:rPr>
          <w:lang w:eastAsia="zh-CN"/>
        </w:rPr>
        <w:t>(a)</w:t>
      </w:r>
      <w:r>
        <w:rPr>
          <w:lang w:eastAsia="zh-CN"/>
        </w:rPr>
        <w:t>人为地满足交易所《上市规则》的初始上市要求，制造虚假的股票市场；或者</w:t>
      </w:r>
      <w:r>
        <w:rPr>
          <w:lang w:eastAsia="zh-CN"/>
        </w:rPr>
        <w:t>(b)</w:t>
      </w:r>
      <w:r>
        <w:rPr>
          <w:lang w:eastAsia="zh-CN"/>
        </w:rPr>
        <w:t>垄断股票，以便在股票上市后操纵市场。有资料表明，这些账户的资金部分来自于异常高的承销佣金和支付的其他上市费用。监管机构担心，这些做法人为抬高</w:t>
      </w:r>
      <w:r>
        <w:rPr>
          <w:lang w:eastAsia="zh-CN"/>
        </w:rPr>
        <w:t>IPO</w:t>
      </w:r>
      <w:r>
        <w:rPr>
          <w:lang w:eastAsia="zh-CN"/>
        </w:rPr>
        <w:t>价格和估值，导致首日股价大幅下跌，跌至更能反映公司真实市值的水平，令投资者蒙受重大损失。</w:t>
      </w:r>
    </w:p>
    <w:p w:rsidR="00A14555" w:rsidRDefault="001F3A30">
      <w:pPr>
        <w:pStyle w:val="BodyText"/>
        <w:rPr>
          <w:lang w:eastAsia="zh-CN"/>
        </w:rPr>
      </w:pPr>
      <w:r>
        <w:rPr>
          <w:lang w:eastAsia="zh-CN"/>
        </w:rPr>
        <w:t>加强香港交易所上市申请的监管审查</w:t>
      </w:r>
    </w:p>
    <w:p w:rsidR="00A14555" w:rsidRDefault="001F3A30">
      <w:pPr>
        <w:pStyle w:val="BodyText"/>
        <w:rPr>
          <w:lang w:eastAsia="zh-CN"/>
        </w:rPr>
      </w:pPr>
      <w:r>
        <w:rPr>
          <w:lang w:eastAsia="zh-CN"/>
        </w:rPr>
        <w:t>正如《关于</w:t>
      </w:r>
      <w:r>
        <w:rPr>
          <w:lang w:eastAsia="zh-CN"/>
        </w:rPr>
        <w:t>ipo</w:t>
      </w:r>
      <w:r>
        <w:rPr>
          <w:lang w:eastAsia="zh-CN"/>
        </w:rPr>
        <w:t>相关不当行为的联合声明》所述，</w:t>
      </w:r>
      <w:r>
        <w:rPr>
          <w:lang w:eastAsia="zh-CN"/>
        </w:rPr>
        <w:t>交易所和证监会将加强对具有下列一项或多项特征的上市申请的审查：</w:t>
      </w:r>
    </w:p>
    <w:p w:rsidR="00A14555" w:rsidRDefault="001F3A30">
      <w:pPr>
        <w:pStyle w:val="Compact"/>
        <w:numPr>
          <w:ilvl w:val="0"/>
          <w:numId w:val="5"/>
        </w:numPr>
        <w:rPr>
          <w:lang w:eastAsia="zh-CN"/>
        </w:rPr>
      </w:pPr>
      <w:r>
        <w:rPr>
          <w:lang w:eastAsia="zh-CN"/>
        </w:rPr>
        <w:t>上市申请人的市值刚好符合香港交易所《上市规则》的最低要求</w:t>
      </w:r>
      <w:r>
        <w:rPr>
          <w:lang w:eastAsia="zh-CN"/>
        </w:rPr>
        <w:t>5</w:t>
      </w:r>
      <w:r>
        <w:rPr>
          <w:lang w:eastAsia="zh-CN"/>
        </w:rPr>
        <w:t>亿港元；</w:t>
      </w:r>
    </w:p>
    <w:p w:rsidR="00A14555" w:rsidRDefault="001F3A30">
      <w:pPr>
        <w:pStyle w:val="Compact"/>
        <w:numPr>
          <w:ilvl w:val="0"/>
          <w:numId w:val="5"/>
        </w:numPr>
        <w:rPr>
          <w:lang w:eastAsia="zh-CN"/>
        </w:rPr>
      </w:pPr>
      <w:r>
        <w:rPr>
          <w:lang w:eastAsia="zh-CN"/>
        </w:rPr>
        <w:t>考虑到上市申请人的基本情况（包括盈利预测）和同行的估值，市盈率非常高；</w:t>
      </w:r>
    </w:p>
    <w:p w:rsidR="00A14555" w:rsidRDefault="001F3A30">
      <w:pPr>
        <w:pStyle w:val="Compact"/>
        <w:numPr>
          <w:ilvl w:val="0"/>
          <w:numId w:val="5"/>
        </w:numPr>
        <w:rPr>
          <w:lang w:eastAsia="zh-CN"/>
        </w:rPr>
      </w:pPr>
      <w:r>
        <w:rPr>
          <w:lang w:eastAsia="zh-CN"/>
        </w:rPr>
        <w:t>异常高的承销或配售佣金或其他上市费用；或</w:t>
      </w:r>
    </w:p>
    <w:p w:rsidR="00A14555" w:rsidRDefault="001F3A30">
      <w:pPr>
        <w:pStyle w:val="Compact"/>
        <w:numPr>
          <w:ilvl w:val="0"/>
          <w:numId w:val="5"/>
        </w:numPr>
        <w:rPr>
          <w:lang w:eastAsia="zh-CN"/>
        </w:rPr>
      </w:pPr>
      <w:r>
        <w:rPr>
          <w:lang w:eastAsia="zh-CN"/>
        </w:rPr>
        <w:t>股权高度集中于有限数量的股东，特别是在公开发行的股票价值较小，股东的分散刚好满足《上市规则》对至少</w:t>
      </w:r>
      <w:r>
        <w:rPr>
          <w:lang w:eastAsia="zh-CN"/>
        </w:rPr>
        <w:t>300</w:t>
      </w:r>
      <w:r>
        <w:rPr>
          <w:lang w:eastAsia="zh-CN"/>
        </w:rPr>
        <w:t>名股东（创业板为</w:t>
      </w:r>
      <w:r>
        <w:rPr>
          <w:lang w:eastAsia="zh-CN"/>
        </w:rPr>
        <w:t>100</w:t>
      </w:r>
      <w:r>
        <w:rPr>
          <w:lang w:eastAsia="zh-CN"/>
        </w:rPr>
        <w:t>名）的最低要求。</w:t>
      </w:r>
    </w:p>
    <w:p w:rsidR="00A14555" w:rsidRDefault="001F3A30">
      <w:pPr>
        <w:pStyle w:val="FirstParagraph"/>
        <w:rPr>
          <w:lang w:eastAsia="zh-CN"/>
        </w:rPr>
      </w:pPr>
      <w:r>
        <w:rPr>
          <w:lang w:eastAsia="zh-CN"/>
        </w:rPr>
        <w:t>在这些情况下，监管机构会进行进一步调查，以确定上市申请人及其股份是否有足够的真正投资者权益，以及股东是否足够分散，以确保上</w:t>
      </w:r>
      <w:r>
        <w:rPr>
          <w:lang w:eastAsia="zh-CN"/>
        </w:rPr>
        <w:t>市后市场公开、公平和有序。</w:t>
      </w:r>
    </w:p>
    <w:p w:rsidR="00A14555" w:rsidRDefault="001F3A30">
      <w:pPr>
        <w:pStyle w:val="BodyText"/>
        <w:rPr>
          <w:lang w:eastAsia="zh-CN"/>
        </w:rPr>
      </w:pPr>
      <w:r>
        <w:rPr>
          <w:lang w:eastAsia="zh-CN"/>
        </w:rPr>
        <w:t>证监会对询价及配售活动的规管架构</w:t>
      </w:r>
    </w:p>
    <w:p w:rsidR="00A14555" w:rsidRDefault="001F3A30">
      <w:pPr>
        <w:pStyle w:val="BodyText"/>
        <w:rPr>
          <w:lang w:eastAsia="zh-CN"/>
        </w:rPr>
      </w:pPr>
      <w:r>
        <w:rPr>
          <w:lang w:eastAsia="zh-CN"/>
        </w:rPr>
        <w:t>证监会建议加强对参与</w:t>
      </w:r>
      <w:r>
        <w:rPr>
          <w:lang w:eastAsia="zh-CN"/>
        </w:rPr>
        <w:t>ipo</w:t>
      </w:r>
      <w:r>
        <w:rPr>
          <w:lang w:eastAsia="zh-CN"/>
        </w:rPr>
        <w:t>询价和配售活动的中介机构的监管，以发现不当行为。具有上述联合声明中确定的任何特征（如上所述）的</w:t>
      </w:r>
      <w:r>
        <w:rPr>
          <w:lang w:eastAsia="zh-CN"/>
        </w:rPr>
        <w:t>ipo</w:t>
      </w:r>
      <w:r>
        <w:rPr>
          <w:lang w:eastAsia="zh-CN"/>
        </w:rPr>
        <w:t>中介机构可能会受到更深入的检查，以评估其是否符合适用的法律和监管要求。</w:t>
      </w:r>
    </w:p>
    <w:p w:rsidR="00A14555" w:rsidRDefault="001F3A30">
      <w:pPr>
        <w:pStyle w:val="BodyText"/>
        <w:rPr>
          <w:lang w:eastAsia="zh-CN"/>
        </w:rPr>
      </w:pPr>
      <w:r>
        <w:rPr>
          <w:lang w:eastAsia="zh-CN"/>
        </w:rPr>
        <w:t>加强香港交易所的纪律处分权力及制裁措施</w:t>
      </w:r>
    </w:p>
    <w:p w:rsidR="00A14555" w:rsidRDefault="001F3A30">
      <w:pPr>
        <w:pStyle w:val="BodyText"/>
        <w:rPr>
          <w:lang w:eastAsia="zh-CN"/>
        </w:rPr>
      </w:pPr>
      <w:r>
        <w:rPr>
          <w:lang w:eastAsia="zh-CN"/>
        </w:rPr>
        <w:t>交易所于</w:t>
      </w:r>
      <w:r>
        <w:rPr>
          <w:lang w:eastAsia="zh-CN"/>
        </w:rPr>
        <w:t>2021</w:t>
      </w:r>
      <w:r>
        <w:rPr>
          <w:lang w:eastAsia="zh-CN"/>
        </w:rPr>
        <w:t>年</w:t>
      </w:r>
      <w:r>
        <w:rPr>
          <w:lang w:eastAsia="zh-CN"/>
        </w:rPr>
        <w:t>5</w:t>
      </w:r>
      <w:r>
        <w:rPr>
          <w:lang w:eastAsia="zh-CN"/>
        </w:rPr>
        <w:t>月</w:t>
      </w:r>
      <w:r>
        <w:rPr>
          <w:lang w:eastAsia="zh-CN"/>
        </w:rPr>
        <w:t>20</w:t>
      </w:r>
      <w:r>
        <w:rPr>
          <w:lang w:eastAsia="zh-CN"/>
        </w:rPr>
        <w:t>日公布《谘询总结：有关纪律处分权力及制裁的上市规则检讨》</w:t>
      </w:r>
      <w:hyperlink w:anchor="footnote-8693-6">
        <w:r>
          <w:rPr>
            <w:vertAlign w:val="superscript"/>
            <w:lang w:eastAsia="zh-CN"/>
          </w:rPr>
          <w:t>6</w:t>
        </w:r>
      </w:hyperlink>
      <w:r>
        <w:rPr>
          <w:lang w:eastAsia="zh-CN"/>
        </w:rPr>
        <w:t>，列明纪律处分制度的更改将于</w:t>
      </w:r>
      <w:r>
        <w:rPr>
          <w:lang w:eastAsia="zh-CN"/>
        </w:rPr>
        <w:t>2021</w:t>
      </w:r>
      <w:r>
        <w:rPr>
          <w:lang w:eastAsia="zh-CN"/>
        </w:rPr>
        <w:t>年</w:t>
      </w:r>
      <w:r>
        <w:rPr>
          <w:lang w:eastAsia="zh-CN"/>
        </w:rPr>
        <w:t>7</w:t>
      </w:r>
      <w:r>
        <w:rPr>
          <w:lang w:eastAsia="zh-CN"/>
        </w:rPr>
        <w:t>月</w:t>
      </w:r>
      <w:r>
        <w:rPr>
          <w:lang w:eastAsia="zh-CN"/>
        </w:rPr>
        <w:t>3</w:t>
      </w:r>
      <w:r>
        <w:rPr>
          <w:lang w:eastAsia="zh-CN"/>
        </w:rPr>
        <w:t>日起生效</w:t>
      </w:r>
      <w:r>
        <w:rPr>
          <w:lang w:eastAsia="zh-CN"/>
        </w:rPr>
        <w:t>。《上市规则》的修改，将扩大港交所可实施的声誉制裁范围，并使更广泛的个人（包括高级管理层人员），在造成或故意参与违反《上市规则》的情况下，受到纪律处分。交易所建议加大对违反交易所《上市规则》的个人追究责任的力度。</w:t>
      </w:r>
    </w:p>
    <w:p w:rsidR="00A14555" w:rsidRDefault="001F3A30">
      <w:pPr>
        <w:pStyle w:val="BodyText"/>
        <w:rPr>
          <w:lang w:eastAsia="zh-CN"/>
        </w:rPr>
      </w:pPr>
      <w:r>
        <w:rPr>
          <w:lang w:eastAsia="zh-CN"/>
        </w:rPr>
        <w:t xml:space="preserve">4. </w:t>
      </w:r>
      <w:r>
        <w:rPr>
          <w:lang w:eastAsia="zh-CN"/>
        </w:rPr>
        <w:t>交易所将进行创业板检讨</w:t>
      </w:r>
    </w:p>
    <w:p w:rsidR="00A14555" w:rsidRDefault="001F3A30">
      <w:pPr>
        <w:pStyle w:val="BodyText"/>
        <w:rPr>
          <w:lang w:eastAsia="zh-CN"/>
        </w:rPr>
      </w:pPr>
      <w:r>
        <w:rPr>
          <w:lang w:eastAsia="zh-CN"/>
        </w:rPr>
        <w:t>在谘询中，许多回应人士不认为创业板是一个可行的替代上市地点，以供未能满足拟议增加利润要求的公司选择。交易所建议检讨创业板市场，并考虑回应人士的反馈意见，特别是有关创业板市场的定位和市场看法。如果交易所认为需要修改创业板《上市规则》，它将就拟议的改革发布一份咨询文件。</w:t>
      </w:r>
    </w:p>
    <w:p w:rsidR="00A14555" w:rsidRDefault="001F3A30">
      <w:pPr>
        <w:pStyle w:val="BodyText"/>
        <w:rPr>
          <w:lang w:eastAsia="zh-CN"/>
        </w:rPr>
      </w:pPr>
      <w:r>
        <w:rPr>
          <w:lang w:eastAsia="zh-CN"/>
        </w:rPr>
        <w:t xml:space="preserve">5. </w:t>
      </w:r>
      <w:r>
        <w:rPr>
          <w:lang w:eastAsia="zh-CN"/>
        </w:rPr>
        <w:t>实施经修订的香港交易所《上市规则》</w:t>
      </w:r>
    </w:p>
    <w:p w:rsidR="00A14555" w:rsidRDefault="001F3A30">
      <w:pPr>
        <w:pStyle w:val="BodyText"/>
        <w:rPr>
          <w:lang w:eastAsia="zh-CN"/>
        </w:rPr>
      </w:pPr>
      <w:r>
        <w:rPr>
          <w:lang w:eastAsia="zh-CN"/>
        </w:rPr>
        <w:t>《主板上市规则》修正案将于</w:t>
      </w:r>
      <w:r>
        <w:rPr>
          <w:lang w:eastAsia="zh-CN"/>
        </w:rPr>
        <w:t>2022</w:t>
      </w:r>
      <w:r>
        <w:rPr>
          <w:lang w:eastAsia="zh-CN"/>
        </w:rPr>
        <w:t>年</w:t>
      </w:r>
      <w:r>
        <w:rPr>
          <w:lang w:eastAsia="zh-CN"/>
        </w:rPr>
        <w:t>1</w:t>
      </w:r>
      <w:r>
        <w:rPr>
          <w:lang w:eastAsia="zh-CN"/>
        </w:rPr>
        <w:t>月</w:t>
      </w:r>
      <w:r>
        <w:rPr>
          <w:lang w:eastAsia="zh-CN"/>
        </w:rPr>
        <w:t>1</w:t>
      </w:r>
      <w:r>
        <w:rPr>
          <w:lang w:eastAsia="zh-CN"/>
        </w:rPr>
        <w:t>日生效。</w:t>
      </w:r>
      <w:r>
        <w:rPr>
          <w:lang w:eastAsia="zh-CN"/>
        </w:rPr>
        <w:t xml:space="preserve"> </w:t>
      </w:r>
      <w:r>
        <w:rPr>
          <w:lang w:eastAsia="zh-CN"/>
        </w:rPr>
        <w:t>修订后的利润要求将适用于所有主板上市申请，包括之前提交的申请的续期，以及在</w:t>
      </w:r>
      <w:r>
        <w:rPr>
          <w:lang w:eastAsia="zh-CN"/>
        </w:rPr>
        <w:t>2022</w:t>
      </w:r>
      <w:r>
        <w:rPr>
          <w:lang w:eastAsia="zh-CN"/>
        </w:rPr>
        <w:t>年</w:t>
      </w:r>
      <w:r>
        <w:rPr>
          <w:lang w:eastAsia="zh-CN"/>
        </w:rPr>
        <w:t>1</w:t>
      </w:r>
      <w:r>
        <w:rPr>
          <w:lang w:eastAsia="zh-CN"/>
        </w:rPr>
        <w:t>月</w:t>
      </w:r>
      <w:r>
        <w:rPr>
          <w:lang w:eastAsia="zh-CN"/>
        </w:rPr>
        <w:t>1</w:t>
      </w:r>
      <w:r>
        <w:rPr>
          <w:lang w:eastAsia="zh-CN"/>
        </w:rPr>
        <w:t>日或之后提交的从创业板转股的申请。上市申请人被禁止在上市申请失效前撤回其上市申请，并在</w:t>
      </w:r>
      <w:r>
        <w:rPr>
          <w:lang w:eastAsia="zh-CN"/>
        </w:rPr>
        <w:t>2022</w:t>
      </w:r>
      <w:r>
        <w:rPr>
          <w:lang w:eastAsia="zh-CN"/>
        </w:rPr>
        <w:t>年</w:t>
      </w:r>
      <w:r>
        <w:rPr>
          <w:lang w:eastAsia="zh-CN"/>
        </w:rPr>
        <w:t>1</w:t>
      </w:r>
      <w:r>
        <w:rPr>
          <w:lang w:eastAsia="zh-CN"/>
        </w:rPr>
        <w:t>月</w:t>
      </w:r>
      <w:r>
        <w:rPr>
          <w:lang w:eastAsia="zh-CN"/>
        </w:rPr>
        <w:t>1</w:t>
      </w:r>
      <w:r>
        <w:rPr>
          <w:lang w:eastAsia="zh-CN"/>
        </w:rPr>
        <w:t>日之前重新提交上市申请，以便根据当前的利润要求对申请进行评估。</w:t>
      </w:r>
    </w:p>
    <w:p w:rsidR="00A14555" w:rsidRDefault="001F3A30">
      <w:pPr>
        <w:pStyle w:val="BodyText"/>
        <w:rPr>
          <w:lang w:eastAsia="zh-CN"/>
        </w:rPr>
      </w:pPr>
      <w:hyperlink w:anchor="footnote-8693-1-backlink">
        <w:r>
          <w:rPr>
            <w:lang w:eastAsia="zh-CN"/>
          </w:rPr>
          <w:t>1</w:t>
        </w:r>
      </w:hyperlink>
      <w:r>
        <w:rPr>
          <w:lang w:eastAsia="zh-CN"/>
        </w:rPr>
        <w:t xml:space="preserve"> </w:t>
      </w:r>
      <w:r>
        <w:rPr>
          <w:lang w:eastAsia="zh-CN"/>
        </w:rPr>
        <w:t>香港交易所于</w:t>
      </w:r>
      <w:r>
        <w:rPr>
          <w:lang w:eastAsia="zh-CN"/>
        </w:rPr>
        <w:t>2021</w:t>
      </w:r>
      <w:r>
        <w:rPr>
          <w:lang w:eastAsia="zh-CN"/>
        </w:rPr>
        <w:t>年</w:t>
      </w:r>
      <w:r>
        <w:rPr>
          <w:lang w:eastAsia="zh-CN"/>
        </w:rPr>
        <w:t>5</w:t>
      </w:r>
      <w:r>
        <w:rPr>
          <w:lang w:eastAsia="zh-CN"/>
        </w:rPr>
        <w:t>月发布的</w:t>
      </w:r>
      <w:r>
        <w:rPr>
          <w:lang w:eastAsia="zh-CN"/>
        </w:rPr>
        <w:t>“</w:t>
      </w:r>
      <w:r>
        <w:rPr>
          <w:lang w:eastAsia="zh-CN"/>
        </w:rPr>
        <w:t>谘询总结</w:t>
      </w:r>
      <w:r>
        <w:rPr>
          <w:lang w:eastAsia="zh-CN"/>
        </w:rPr>
        <w:t>”</w:t>
      </w:r>
      <w:r>
        <w:rPr>
          <w:lang w:eastAsia="zh-CN"/>
        </w:rPr>
        <w:t>：主板利润要求，请访问：</w:t>
      </w:r>
      <w:r>
        <w:rPr>
          <w:lang w:eastAsia="zh-CN"/>
        </w:rPr>
        <w:t xml:space="preserve"> </w:t>
      </w:r>
      <w:hyperlink r:id="rId8">
        <w:r>
          <w:rPr>
            <w:lang w:eastAsia="zh-CN"/>
          </w:rPr>
          <w:t>https://www.hkex.com.hk/-/media/HKEX-Ma</w:t>
        </w:r>
        <w:r>
          <w:rPr>
            <w:lang w:eastAsia="zh-CN"/>
          </w:rPr>
          <w:t>rket/News/Market-Consultations/2016-</w:t>
        </w:r>
        <w:r>
          <w:rPr>
            <w:lang w:eastAsia="zh-CN"/>
          </w:rPr>
          <w:lastRenderedPageBreak/>
          <w:t>Present/November-2020-MB-Profit-Requirement/Conclusions-(May-2021)/cp202011cc.pdf?la=en</w:t>
        </w:r>
      </w:hyperlink>
    </w:p>
    <w:p w:rsidR="00A14555" w:rsidRDefault="001F3A30">
      <w:pPr>
        <w:pStyle w:val="BodyText"/>
        <w:rPr>
          <w:lang w:eastAsia="zh-CN"/>
        </w:rPr>
      </w:pPr>
      <w:hyperlink w:anchor="footnote-8693-2-backlink">
        <w:r>
          <w:rPr>
            <w:lang w:eastAsia="zh-CN"/>
          </w:rPr>
          <w:t>2</w:t>
        </w:r>
      </w:hyperlink>
      <w:r>
        <w:rPr>
          <w:lang w:eastAsia="zh-CN"/>
        </w:rPr>
        <w:t xml:space="preserve"> </w:t>
      </w:r>
      <w:r>
        <w:rPr>
          <w:lang w:eastAsia="zh-CN"/>
        </w:rPr>
        <w:t>香港交易所于</w:t>
      </w:r>
      <w:r>
        <w:rPr>
          <w:lang w:eastAsia="zh-CN"/>
        </w:rPr>
        <w:t>2020</w:t>
      </w:r>
      <w:r>
        <w:rPr>
          <w:lang w:eastAsia="zh-CN"/>
        </w:rPr>
        <w:t>年</w:t>
      </w:r>
      <w:r>
        <w:rPr>
          <w:lang w:eastAsia="zh-CN"/>
        </w:rPr>
        <w:t>11</w:t>
      </w:r>
      <w:r>
        <w:rPr>
          <w:lang w:eastAsia="zh-CN"/>
        </w:rPr>
        <w:t>月发布的</w:t>
      </w:r>
      <w:r>
        <w:rPr>
          <w:lang w:eastAsia="zh-CN"/>
        </w:rPr>
        <w:t>“</w:t>
      </w:r>
      <w:r>
        <w:rPr>
          <w:lang w:eastAsia="zh-CN"/>
        </w:rPr>
        <w:t>谘询文件</w:t>
      </w:r>
      <w:r>
        <w:rPr>
          <w:lang w:eastAsia="zh-CN"/>
        </w:rPr>
        <w:t>”</w:t>
      </w:r>
      <w:r>
        <w:rPr>
          <w:lang w:eastAsia="zh-CN"/>
        </w:rPr>
        <w:t>：主板利润要求，请访问：</w:t>
      </w:r>
      <w:r>
        <w:rPr>
          <w:lang w:eastAsia="zh-CN"/>
        </w:rPr>
        <w:t xml:space="preserve"> </w:t>
      </w:r>
      <w:hyperlink r:id="rId9">
        <w:r>
          <w:rPr>
            <w:lang w:eastAsia="zh-CN"/>
          </w:rPr>
          <w:t>https://www.hkex.com.hk/-/media/HKEX-Market/News/Market-Consultations/2016-Present/November-2020-MB-Profit-Requirement/Consultation-P</w:t>
        </w:r>
        <w:r>
          <w:rPr>
            <w:lang w:eastAsia="zh-CN"/>
          </w:rPr>
          <w:t>aper/cp202011.pdf</w:t>
        </w:r>
      </w:hyperlink>
    </w:p>
    <w:p w:rsidR="00A14555" w:rsidRDefault="001F3A30">
      <w:pPr>
        <w:pStyle w:val="BodyText"/>
      </w:pPr>
      <w:hyperlink w:anchor="footnote-8693-3-backlink">
        <w:r>
          <w:t>3</w:t>
        </w:r>
      </w:hyperlink>
      <w:r>
        <w:t xml:space="preserve"> </w:t>
      </w:r>
      <w:hyperlink r:id="rId10">
        <w:r>
          <w:t>https://www.charltonslaw.com/hkex-consults-on-proposal-to-increase-t</w:t>
        </w:r>
        <w:r>
          <w:t>he-main-board-profit-requirement/</w:t>
        </w:r>
      </w:hyperlink>
    </w:p>
    <w:p w:rsidR="00A14555" w:rsidRDefault="001F3A30">
      <w:pPr>
        <w:pStyle w:val="BodyText"/>
        <w:rPr>
          <w:lang w:eastAsia="zh-CN"/>
        </w:rPr>
      </w:pPr>
      <w:hyperlink w:anchor="footnote-8693-4-backlink">
        <w:r>
          <w:rPr>
            <w:lang w:eastAsia="zh-CN"/>
          </w:rPr>
          <w:t>4</w:t>
        </w:r>
      </w:hyperlink>
      <w:r>
        <w:rPr>
          <w:lang w:eastAsia="zh-CN"/>
        </w:rPr>
        <w:t xml:space="preserve"> </w:t>
      </w:r>
      <w:r>
        <w:rPr>
          <w:lang w:eastAsia="zh-CN"/>
        </w:rPr>
        <w:t>谘询文件第</w:t>
      </w:r>
      <w:r>
        <w:rPr>
          <w:lang w:eastAsia="zh-CN"/>
        </w:rPr>
        <w:t>3</w:t>
      </w:r>
      <w:r>
        <w:rPr>
          <w:lang w:eastAsia="zh-CN"/>
        </w:rPr>
        <w:t>段</w:t>
      </w:r>
    </w:p>
    <w:p w:rsidR="00A14555" w:rsidRDefault="001F3A30">
      <w:pPr>
        <w:pStyle w:val="BodyText"/>
        <w:rPr>
          <w:lang w:eastAsia="zh-CN"/>
        </w:rPr>
      </w:pPr>
      <w:hyperlink w:anchor="footnote-8693-5-backlink">
        <w:r>
          <w:rPr>
            <w:lang w:eastAsia="zh-CN"/>
          </w:rPr>
          <w:t>5</w:t>
        </w:r>
      </w:hyperlink>
      <w:r>
        <w:rPr>
          <w:lang w:eastAsia="zh-CN"/>
        </w:rPr>
        <w:t xml:space="preserve"> </w:t>
      </w:r>
      <w:r>
        <w:rPr>
          <w:lang w:eastAsia="zh-CN"/>
        </w:rPr>
        <w:t>香港交易所和香港证监会于</w:t>
      </w:r>
      <w:r>
        <w:rPr>
          <w:lang w:eastAsia="zh-CN"/>
        </w:rPr>
        <w:t>2021</w:t>
      </w:r>
      <w:r>
        <w:rPr>
          <w:lang w:eastAsia="zh-CN"/>
        </w:rPr>
        <w:t>年</w:t>
      </w:r>
      <w:r>
        <w:rPr>
          <w:lang w:eastAsia="zh-CN"/>
        </w:rPr>
        <w:t>5</w:t>
      </w:r>
      <w:r>
        <w:rPr>
          <w:lang w:eastAsia="zh-CN"/>
        </w:rPr>
        <w:t>月发布《关于</w:t>
      </w:r>
      <w:r>
        <w:rPr>
          <w:lang w:eastAsia="zh-CN"/>
        </w:rPr>
        <w:t>ipo</w:t>
      </w:r>
      <w:r>
        <w:rPr>
          <w:lang w:eastAsia="zh-CN"/>
        </w:rPr>
        <w:t>相关不当行为的联合声明》。请访问：</w:t>
      </w:r>
      <w:hyperlink r:id="rId11">
        <w:r>
          <w:rPr>
            <w:lang w:eastAsia="zh-CN"/>
          </w:rPr>
          <w:t>https://www.hkex.com.hk/-/media/HKEX-Market/News/News-Release/2021/210520news/IPOJointStatement_e.pdf?la=en</w:t>
        </w:r>
      </w:hyperlink>
    </w:p>
    <w:p w:rsidR="00A14555" w:rsidRDefault="001F3A30">
      <w:pPr>
        <w:pStyle w:val="BodyText"/>
      </w:pPr>
      <w:hyperlink w:anchor="footnote-8693-6-backlink">
        <w:r>
          <w:t>6</w:t>
        </w:r>
      </w:hyperlink>
      <w:r>
        <w:t xml:space="preserve"> </w:t>
      </w:r>
      <w:r>
        <w:t>香港交易所于</w:t>
      </w:r>
      <w:r>
        <w:t>2021</w:t>
      </w:r>
      <w:r>
        <w:t>年</w:t>
      </w:r>
      <w:r>
        <w:t>5</w:t>
      </w:r>
      <w:r>
        <w:t>月</w:t>
      </w:r>
      <w:r>
        <w:t>20</w:t>
      </w:r>
      <w:r>
        <w:t>日公布《谘询总结：有关纪律处分权力及制裁的上市规则检讨》</w:t>
      </w:r>
      <w:hyperlink r:id="rId12">
        <w:r>
          <w:t>https://www.hkex.com.hk/-/media/HKEX-Market/News/Market-Consultations/2016-Present/</w:t>
        </w:r>
        <w:r>
          <w:t>August-2020-Disciplinary-Powers/Conclusions-(May-2021)/cp202008cc.pdf</w:t>
        </w:r>
      </w:hyperlink>
    </w:p>
    <w:p w:rsidR="00A14555" w:rsidRDefault="001F3A30">
      <w:pPr>
        <w:pStyle w:val="DisclaimerBold"/>
        <w:rPr>
          <w:lang w:eastAsia="zh-CN"/>
        </w:rPr>
      </w:pPr>
      <w:r>
        <w:rPr>
          <w:lang w:eastAsia="zh-CN"/>
        </w:rPr>
        <w:t>此法讯仅为提供相关资料信息之用，其内容并</w:t>
      </w:r>
    </w:p>
    <w:p w:rsidR="00A14555" w:rsidRDefault="001F3A30">
      <w:pPr>
        <w:pStyle w:val="Disclaimer"/>
        <w:rPr>
          <w:lang w:eastAsia="zh-CN"/>
        </w:rPr>
      </w:pPr>
      <w:r>
        <w:rPr>
          <w:lang w:eastAsia="zh-CN"/>
        </w:rPr>
        <w:t>不构成法律建议及个案的法律分析。</w:t>
      </w:r>
    </w:p>
    <w:p w:rsidR="00A14555" w:rsidRDefault="001F3A30">
      <w:pPr>
        <w:pStyle w:val="Disclaimer"/>
        <w:rPr>
          <w:lang w:eastAsia="zh-CN"/>
        </w:rPr>
      </w:pPr>
      <w:r>
        <w:rPr>
          <w:lang w:eastAsia="zh-CN"/>
        </w:rPr>
        <w:t>此法讯的发送并不是为了在易周律师行与用户或浏览者之间建立一种律师与客户之关系。</w:t>
      </w:r>
    </w:p>
    <w:p w:rsidR="00A14555" w:rsidRDefault="001F3A30">
      <w:pPr>
        <w:pStyle w:val="Disclaimer"/>
        <w:rPr>
          <w:lang w:eastAsia="zh-CN"/>
        </w:rPr>
      </w:pPr>
      <w:r>
        <w:rPr>
          <w:lang w:eastAsia="zh-CN"/>
        </w:rPr>
        <w:t>易周律师行并不对可从互联网获得的任何第三方内容负责。</w:t>
      </w:r>
    </w:p>
    <w:p w:rsidR="00A14555" w:rsidRDefault="001F3A30">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unsubscribe@charltonslaw.com</w:t>
        </w:r>
      </w:hyperlink>
    </w:p>
    <w:p w:rsidR="00A14555" w:rsidRDefault="001F3A30">
      <w:pPr>
        <w:pStyle w:val="BlackStrips"/>
      </w:pPr>
      <w:r>
        <w:t xml:space="preserve">Charltons - </w:t>
      </w:r>
      <w:r>
        <w:t>香港法律</w:t>
      </w:r>
      <w:r>
        <w:t xml:space="preserve"> - 2021</w:t>
      </w:r>
      <w:r>
        <w:t>年</w:t>
      </w:r>
      <w:r>
        <w:t>11</w:t>
      </w:r>
      <w:r>
        <w:t>月</w:t>
      </w:r>
      <w:r>
        <w:t>10</w:t>
      </w:r>
      <w:r>
        <w:t>日</w:t>
      </w:r>
    </w:p>
    <w:sectPr w:rsidR="00A14555">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3A30">
      <w:pPr>
        <w:spacing w:after="0"/>
      </w:pPr>
      <w:r>
        <w:separator/>
      </w:r>
    </w:p>
  </w:endnote>
  <w:endnote w:type="continuationSeparator" w:id="0">
    <w:p w:rsidR="00000000" w:rsidRDefault="001F3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555" w:rsidRDefault="001F3A30">
      <w:r>
        <w:separator/>
      </w:r>
    </w:p>
  </w:footnote>
  <w:footnote w:type="continuationSeparator" w:id="0">
    <w:p w:rsidR="00A14555" w:rsidRDefault="001F3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2C4A22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247284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20EE6C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F3A30"/>
    <w:rsid w:val="004E29B3"/>
    <w:rsid w:val="00590D07"/>
    <w:rsid w:val="00784D58"/>
    <w:rsid w:val="008D6863"/>
    <w:rsid w:val="00A14555"/>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15A0"/>
  <w15:docId w15:val="{8C9EE752-C4F4-4AEB-B172-EEC2619B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qFormat/>
    <w:rsid w:val="001F3A30"/>
    <w:rPr>
      <w:b/>
    </w:rPr>
  </w:style>
  <w:style w:type="paragraph" w:styleId="NormalWeb">
    <w:name w:val="Normal (Web)"/>
    <w:basedOn w:val="Normal"/>
    <w:rsid w:val="001F3A30"/>
    <w:pPr>
      <w:spacing w:before="100" w:beforeAutospacing="1" w:after="100" w:afterAutospacing="1" w:line="259" w:lineRule="auto"/>
    </w:pPr>
    <w:rPr>
      <w:rFonts w:ascii="Calibri" w:eastAsia="SimSun" w:hAnsi="Calibri" w:cs="Times New Roman"/>
      <w:color w:val="auto"/>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November-2020-MB-Profit-Requirement/Conclusions-(May-2021)/cp202011cc.pdf?la=en"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jiao-yi-suo-jiang-yu-2022-nian-1-yue-1-ri-qi-ti-gao-zhu-ban-li-run-yao-qiu" TargetMode="External"/><Relationship Id="rId12" Type="http://schemas.openxmlformats.org/officeDocument/2006/relationships/hyperlink" Target="https://www.hkex.com.hk/-/media/HKEX-Market/News/Market-Consultations/2016-Present/August-2020-Disciplinary-Powers/Conclusions-(May-2021)/cp202008cc_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kex.com.hk/-/media/HKEX-Market/News/News-Release/2021/210520news/IPOJointStatement_e.pdf?la=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harltonslaw.com/hkex-consults-on-proposal-to-increase-the-main-board-profit-requirement/" TargetMode="Externa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November-2020-MB-Profit-Requirement/Consultation-Paper/cp2020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950</Words>
  <Characters>5419</Characters>
  <Application>Microsoft Office Word</Application>
  <DocSecurity>0</DocSecurity>
  <Lines>45</Lines>
  <Paragraphs>12</Paragraphs>
  <ScaleCrop>false</ScaleCrop>
  <Company>Charltons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2021-11-10T09:39:00Z</dcterms:created>
  <dcterms:modified xsi:type="dcterms:W3CDTF">2021-11-10T09:40:00Z</dcterms:modified>
</cp:coreProperties>
</file>