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6C" w:rsidRDefault="0023077D">
      <w:pPr>
        <w:pStyle w:val="BlackStrips"/>
      </w:pPr>
      <w:r>
        <w:t xml:space="preserve">Charltons - </w:t>
      </w:r>
      <w:r>
        <w:t>香港法律</w:t>
      </w:r>
      <w:r>
        <w:t xml:space="preserve"> - 2021</w:t>
      </w:r>
      <w:r>
        <w:t>年</w:t>
      </w:r>
      <w:r>
        <w:t>11</w:t>
      </w:r>
      <w:r>
        <w:t>月</w:t>
      </w:r>
      <w:r>
        <w:t>16</w:t>
      </w:r>
      <w:r>
        <w:t>日</w:t>
      </w:r>
    </w:p>
    <w:p w:rsidR="00291F6C" w:rsidRDefault="0023077D">
      <w:pPr>
        <w:pStyle w:val="ReadOnline"/>
        <w:rPr>
          <w:lang w:eastAsia="zh-CN"/>
        </w:rPr>
      </w:pPr>
      <w:hyperlink r:id="rId7">
        <w:r>
          <w:rPr>
            <w:lang w:eastAsia="zh-CN"/>
          </w:rPr>
          <w:t>online version</w:t>
        </w:r>
      </w:hyperlink>
    </w:p>
    <w:p w:rsidR="00291F6C" w:rsidRDefault="0023077D">
      <w:pPr>
        <w:pStyle w:val="Title"/>
        <w:rPr>
          <w:lang w:eastAsia="zh-CN"/>
        </w:rPr>
      </w:pPr>
      <w:r>
        <w:rPr>
          <w:lang w:eastAsia="zh-CN"/>
        </w:rPr>
        <w:t>证监会及香港交易所发布涉及首次公开招股的失当行为的联合声明</w:t>
      </w:r>
    </w:p>
    <w:p w:rsidR="00291F6C" w:rsidRDefault="0023077D">
      <w:pPr>
        <w:pStyle w:val="FirstParagraph"/>
        <w:rPr>
          <w:lang w:eastAsia="zh-CN"/>
        </w:rPr>
      </w:pPr>
      <w:r>
        <w:rPr>
          <w:lang w:eastAsia="zh-CN"/>
        </w:rPr>
        <w:t>2021</w:t>
      </w:r>
      <w:r>
        <w:rPr>
          <w:lang w:eastAsia="zh-CN"/>
        </w:rPr>
        <w:t>年</w:t>
      </w:r>
      <w:r>
        <w:rPr>
          <w:lang w:eastAsia="zh-CN"/>
        </w:rPr>
        <w:t>5</w:t>
      </w:r>
      <w:r>
        <w:rPr>
          <w:lang w:eastAsia="zh-CN"/>
        </w:rPr>
        <w:t>月</w:t>
      </w:r>
      <w:r>
        <w:rPr>
          <w:lang w:eastAsia="zh-CN"/>
        </w:rPr>
        <w:t>20</w:t>
      </w:r>
      <w:r>
        <w:rPr>
          <w:lang w:eastAsia="zh-CN"/>
        </w:rPr>
        <w:t>日，证监会及香港证券交易所有限公司（</w:t>
      </w:r>
      <w:r>
        <w:rPr>
          <w:b/>
          <w:lang w:eastAsia="zh-CN"/>
        </w:rPr>
        <w:t>香港交易所</w:t>
      </w:r>
      <w:r>
        <w:rPr>
          <w:lang w:eastAsia="zh-CN"/>
        </w:rPr>
        <w:t>）发布涉及首次公开招股的失当行为的联合声明</w:t>
      </w:r>
      <w:hyperlink w:anchor="footnote-8693-1">
        <w:r>
          <w:rPr>
            <w:vertAlign w:val="superscript"/>
            <w:lang w:eastAsia="zh-CN"/>
          </w:rPr>
          <w:t>1</w:t>
        </w:r>
      </w:hyperlink>
      <w:r>
        <w:rPr>
          <w:lang w:eastAsia="zh-CN"/>
        </w:rPr>
        <w:t>，列出近期新上市公司中发现的问题，以及监管机构拟议的处理方法。这些问题主要涉及人为地满足香港交易所的证券在香港联合交易所上市规则》（</w:t>
      </w:r>
      <w:r>
        <w:rPr>
          <w:b/>
          <w:lang w:eastAsia="zh-CN"/>
        </w:rPr>
        <w:t>香港交易所《上市规则》</w:t>
      </w:r>
      <w:r>
        <w:rPr>
          <w:lang w:eastAsia="zh-CN"/>
        </w:rPr>
        <w:t>）的首次上市要求，或在首次公开招股后协助市场操纵股票的安排。</w:t>
      </w:r>
    </w:p>
    <w:p w:rsidR="00291F6C" w:rsidRDefault="0023077D">
      <w:pPr>
        <w:pStyle w:val="BodyText"/>
        <w:rPr>
          <w:lang w:eastAsia="zh-CN"/>
        </w:rPr>
      </w:pPr>
      <w:r>
        <w:rPr>
          <w:lang w:eastAsia="zh-CN"/>
        </w:rPr>
        <w:t>在发布联合声明的同时，交易所发布了关于主板盈利规定的谘询总结</w:t>
      </w:r>
      <w:hyperlink w:anchor="footnote-8693-2">
        <w:r>
          <w:rPr>
            <w:vertAlign w:val="superscript"/>
            <w:lang w:eastAsia="zh-CN"/>
          </w:rPr>
          <w:t>2</w:t>
        </w:r>
      </w:hyperlink>
      <w:r>
        <w:rPr>
          <w:lang w:eastAsia="zh-CN"/>
        </w:rPr>
        <w:t>，载列决定由</w:t>
      </w:r>
      <w:r>
        <w:rPr>
          <w:lang w:eastAsia="zh-CN"/>
        </w:rPr>
        <w:t>2022</w:t>
      </w:r>
      <w:r>
        <w:rPr>
          <w:lang w:eastAsia="zh-CN"/>
        </w:rPr>
        <w:t>年</w:t>
      </w:r>
      <w:r>
        <w:rPr>
          <w:lang w:eastAsia="zh-CN"/>
        </w:rPr>
        <w:t>1</w:t>
      </w:r>
      <w:r>
        <w:rPr>
          <w:lang w:eastAsia="zh-CN"/>
        </w:rPr>
        <w:t>月</w:t>
      </w:r>
      <w:r>
        <w:rPr>
          <w:lang w:eastAsia="zh-CN"/>
        </w:rPr>
        <w:t>1</w:t>
      </w:r>
      <w:r>
        <w:rPr>
          <w:lang w:eastAsia="zh-CN"/>
        </w:rPr>
        <w:t>日起，在三个财政年度（最近一年的利润为</w:t>
      </w:r>
      <w:r>
        <w:rPr>
          <w:lang w:eastAsia="zh-CN"/>
        </w:rPr>
        <w:t>3,500</w:t>
      </w:r>
      <w:r>
        <w:rPr>
          <w:lang w:eastAsia="zh-CN"/>
        </w:rPr>
        <w:t>万港元</w:t>
      </w:r>
      <w:bookmarkStart w:id="0" w:name="_GoBack"/>
      <w:bookmarkEnd w:id="0"/>
      <w:r>
        <w:rPr>
          <w:lang w:eastAsia="zh-CN"/>
        </w:rPr>
        <w:t>，前两年的利润总额为</w:t>
      </w:r>
      <w:r>
        <w:rPr>
          <w:lang w:eastAsia="zh-CN"/>
        </w:rPr>
        <w:t>4,500</w:t>
      </w:r>
      <w:r>
        <w:rPr>
          <w:lang w:eastAsia="zh-CN"/>
        </w:rPr>
        <w:t>万港元）将新上市申请人的利润提高</w:t>
      </w:r>
      <w:r>
        <w:rPr>
          <w:lang w:eastAsia="zh-CN"/>
        </w:rPr>
        <w:t>60%</w:t>
      </w:r>
      <w:r>
        <w:rPr>
          <w:lang w:eastAsia="zh-CN"/>
        </w:rPr>
        <w:t>至</w:t>
      </w:r>
      <w:r>
        <w:rPr>
          <w:lang w:eastAsia="zh-CN"/>
        </w:rPr>
        <w:t>8,000</w:t>
      </w:r>
      <w:r>
        <w:rPr>
          <w:lang w:eastAsia="zh-CN"/>
        </w:rPr>
        <w:t>万港元。提高利润要求是为了打击监管机构发现的不当行为。在此之前，监管机构已于</w:t>
      </w:r>
      <w:r>
        <w:rPr>
          <w:lang w:eastAsia="zh-CN"/>
        </w:rPr>
        <w:t>2018</w:t>
      </w:r>
      <w:r>
        <w:rPr>
          <w:lang w:eastAsia="zh-CN"/>
        </w:rPr>
        <w:t>年将利润测试上市申请人的市值要求提高至</w:t>
      </w:r>
      <w:r>
        <w:rPr>
          <w:lang w:eastAsia="zh-CN"/>
        </w:rPr>
        <w:t>5</w:t>
      </w:r>
      <w:r>
        <w:rPr>
          <w:lang w:eastAsia="zh-CN"/>
        </w:rPr>
        <w:t>亿港元。对于刚刚达到最低门槛的上市申请人来说，</w:t>
      </w:r>
      <w:r>
        <w:rPr>
          <w:lang w:eastAsia="zh-CN"/>
        </w:rPr>
        <w:t>2018</w:t>
      </w:r>
      <w:r>
        <w:rPr>
          <w:lang w:eastAsia="zh-CN"/>
        </w:rPr>
        <w:t>年的增长有效地将其隐含历史市盈率从</w:t>
      </w:r>
      <w:r>
        <w:rPr>
          <w:lang w:eastAsia="zh-CN"/>
        </w:rPr>
        <w:t>10</w:t>
      </w:r>
      <w:r>
        <w:rPr>
          <w:lang w:eastAsia="zh-CN"/>
        </w:rPr>
        <w:t>提高到</w:t>
      </w:r>
      <w:r>
        <w:rPr>
          <w:lang w:eastAsia="zh-CN"/>
        </w:rPr>
        <w:t>25</w:t>
      </w:r>
      <w:r>
        <w:rPr>
          <w:lang w:eastAsia="zh-CN"/>
        </w:rPr>
        <w:t>。据交易所称，这导致申请上市的公司数量激增，这些公司刚刚达到盈利门槛，只有在历史市盈率非常高的情</w:t>
      </w:r>
      <w:r>
        <w:rPr>
          <w:lang w:eastAsia="zh-CN"/>
        </w:rPr>
        <w:t>况下，才能满足市值要求。这些上市申请人通常以盈利预测支持的潜在增长来证明其高估值的合理性，但其中许多公司未能达到盈利预测，或在上市后股价和市值下跌。这引发了监管机构的担忧，即上市申请人的估值被人为抬高，以满足市值要求。详情请参阅易周律师行通讯</w:t>
      </w:r>
      <w:r>
        <w:rPr>
          <w:lang w:eastAsia="zh-CN"/>
        </w:rPr>
        <w:t>“</w:t>
      </w:r>
      <w:r>
        <w:rPr>
          <w:lang w:eastAsia="zh-CN"/>
        </w:rPr>
        <w:t>交易所将于</w:t>
      </w:r>
      <w:r>
        <w:rPr>
          <w:lang w:eastAsia="zh-CN"/>
        </w:rPr>
        <w:t>2022</w:t>
      </w:r>
      <w:r>
        <w:rPr>
          <w:lang w:eastAsia="zh-CN"/>
        </w:rPr>
        <w:t>年</w:t>
      </w:r>
      <w:r>
        <w:rPr>
          <w:lang w:eastAsia="zh-CN"/>
        </w:rPr>
        <w:t>1</w:t>
      </w:r>
      <w:r>
        <w:rPr>
          <w:lang w:eastAsia="zh-CN"/>
        </w:rPr>
        <w:t>月</w:t>
      </w:r>
      <w:r>
        <w:rPr>
          <w:lang w:eastAsia="zh-CN"/>
        </w:rPr>
        <w:t>1</w:t>
      </w:r>
      <w:r>
        <w:rPr>
          <w:lang w:eastAsia="zh-CN"/>
        </w:rPr>
        <w:t>日起增加主板盈利规定</w:t>
      </w:r>
      <w:r>
        <w:rPr>
          <w:lang w:eastAsia="zh-CN"/>
        </w:rPr>
        <w:t>”</w:t>
      </w:r>
      <w:hyperlink w:anchor="footnote-8693-3">
        <w:r>
          <w:rPr>
            <w:vertAlign w:val="superscript"/>
            <w:lang w:eastAsia="zh-CN"/>
          </w:rPr>
          <w:t>3</w:t>
        </w:r>
      </w:hyperlink>
      <w:r>
        <w:rPr>
          <w:lang w:eastAsia="zh-CN"/>
        </w:rPr>
        <w:t>。</w:t>
      </w:r>
    </w:p>
    <w:p w:rsidR="00291F6C" w:rsidRDefault="0023077D">
      <w:pPr>
        <w:pStyle w:val="BodyText"/>
        <w:rPr>
          <w:lang w:eastAsia="zh-CN"/>
        </w:rPr>
      </w:pPr>
      <w:r>
        <w:rPr>
          <w:lang w:eastAsia="zh-CN"/>
        </w:rPr>
        <w:t>香港交易所首次公开招股</w:t>
      </w:r>
      <w:r>
        <w:rPr>
          <w:lang w:eastAsia="zh-CN"/>
        </w:rPr>
        <w:t>-</w:t>
      </w:r>
      <w:r>
        <w:rPr>
          <w:lang w:eastAsia="zh-CN"/>
        </w:rPr>
        <w:t>监管机构的担忧</w:t>
      </w:r>
    </w:p>
    <w:p w:rsidR="00291F6C" w:rsidRDefault="0023077D">
      <w:pPr>
        <w:pStyle w:val="BodyText"/>
        <w:rPr>
          <w:lang w:eastAsia="zh-CN"/>
        </w:rPr>
      </w:pPr>
      <w:r>
        <w:rPr>
          <w:lang w:eastAsia="zh-CN"/>
        </w:rPr>
        <w:t>香港的</w:t>
      </w:r>
      <w:r>
        <w:rPr>
          <w:lang w:eastAsia="zh-CN"/>
        </w:rPr>
        <w:t>“</w:t>
      </w:r>
      <w:r>
        <w:rPr>
          <w:lang w:eastAsia="zh-CN"/>
        </w:rPr>
        <w:t>唱高散货</w:t>
      </w:r>
      <w:r>
        <w:rPr>
          <w:lang w:eastAsia="zh-CN"/>
        </w:rPr>
        <w:t>”</w:t>
      </w:r>
      <w:r>
        <w:rPr>
          <w:lang w:eastAsia="zh-CN"/>
        </w:rPr>
        <w:t>计划</w:t>
      </w:r>
    </w:p>
    <w:p w:rsidR="00291F6C" w:rsidRDefault="0023077D">
      <w:pPr>
        <w:pStyle w:val="BodyText"/>
        <w:rPr>
          <w:lang w:eastAsia="zh-CN"/>
        </w:rPr>
      </w:pPr>
      <w:r>
        <w:rPr>
          <w:lang w:eastAsia="zh-CN"/>
        </w:rPr>
        <w:t>香港证监会和交易所注意到，在最近的首次公开招股中，出现了越来越多的</w:t>
      </w:r>
      <w:r>
        <w:rPr>
          <w:lang w:eastAsia="zh-CN"/>
        </w:rPr>
        <w:t>“</w:t>
      </w:r>
      <w:r>
        <w:rPr>
          <w:lang w:eastAsia="zh-CN"/>
        </w:rPr>
        <w:t>唱高散</w:t>
      </w:r>
      <w:r>
        <w:rPr>
          <w:lang w:eastAsia="zh-CN"/>
        </w:rPr>
        <w:t>货</w:t>
      </w:r>
      <w:r>
        <w:rPr>
          <w:lang w:eastAsia="zh-CN"/>
        </w:rPr>
        <w:t>”</w:t>
      </w:r>
      <w:r>
        <w:rPr>
          <w:lang w:eastAsia="zh-CN"/>
        </w:rPr>
        <w:t>计划，特别是在市值较小的公司的首次公开招股中。唱高散货计划是一种形式或操纵市场，诈骗者经常通过社交媒体</w:t>
      </w:r>
      <w:r>
        <w:rPr>
          <w:lang w:eastAsia="zh-CN"/>
        </w:rPr>
        <w:t>,</w:t>
      </w:r>
      <w:r>
        <w:rPr>
          <w:lang w:eastAsia="zh-CN"/>
        </w:rPr>
        <w:t>使用各种方法来抬高股价，诱导投资者购买股票，随后在股价最终远低于首次公开招股价格之前，人为高价抛售股票。</w:t>
      </w:r>
    </w:p>
    <w:p w:rsidR="00291F6C" w:rsidRDefault="0023077D">
      <w:pPr>
        <w:pStyle w:val="BodyText"/>
        <w:rPr>
          <w:lang w:eastAsia="zh-CN"/>
        </w:rPr>
      </w:pPr>
      <w:r>
        <w:rPr>
          <w:lang w:eastAsia="zh-CN"/>
        </w:rPr>
        <w:t>香港监管机构怀疑，其中一些计划是在首次公开招股阶段启动的，目的是在日后操纵股价。在配售部分，股票通常被分配到由异常高的承销佣金或其他上市费用提供资金的受控账户。上市后股价在最初上涨后，往往大幅下跌。</w:t>
      </w:r>
    </w:p>
    <w:p w:rsidR="00291F6C" w:rsidRDefault="0023077D">
      <w:pPr>
        <w:pStyle w:val="BodyText"/>
        <w:rPr>
          <w:lang w:eastAsia="zh-CN"/>
        </w:rPr>
      </w:pPr>
      <w:r>
        <w:rPr>
          <w:lang w:eastAsia="zh-CN"/>
        </w:rPr>
        <w:t>香港证监会指出，配售部分也用于将首次公开招股股票分配给受控制的配售机构，以人为地满足交易所的上市要</w:t>
      </w:r>
      <w:r>
        <w:rPr>
          <w:lang w:eastAsia="zh-CN"/>
        </w:rPr>
        <w:t>求，或将股票套现，以便在上市后操纵市场。证监会还指出，缺乏健全和透明的股票配售和定价过程，加大了识别可疑案件的难度。</w:t>
      </w:r>
    </w:p>
    <w:p w:rsidR="00291F6C" w:rsidRDefault="0023077D">
      <w:pPr>
        <w:pStyle w:val="BodyText"/>
        <w:rPr>
          <w:lang w:eastAsia="zh-CN"/>
        </w:rPr>
      </w:pPr>
      <w:r>
        <w:rPr>
          <w:lang w:eastAsia="zh-CN"/>
        </w:rPr>
        <w:t>香港交易所首次公开招股</w:t>
      </w:r>
      <w:r>
        <w:rPr>
          <w:lang w:eastAsia="zh-CN"/>
        </w:rPr>
        <w:t>-</w:t>
      </w:r>
      <w:r>
        <w:rPr>
          <w:lang w:eastAsia="zh-CN"/>
        </w:rPr>
        <w:t>异常高的承销佣金</w:t>
      </w:r>
    </w:p>
    <w:p w:rsidR="00291F6C" w:rsidRDefault="0023077D">
      <w:pPr>
        <w:pStyle w:val="BodyText"/>
        <w:rPr>
          <w:lang w:eastAsia="zh-CN"/>
        </w:rPr>
      </w:pPr>
      <w:r>
        <w:rPr>
          <w:lang w:eastAsia="zh-CN"/>
        </w:rPr>
        <w:t>香港证监会注意到，过去两年出现问题的首次公开招股中，往往都出现了支付异常高的承销佣金。据报道，市值低于</w:t>
      </w:r>
      <w:r>
        <w:rPr>
          <w:lang w:eastAsia="zh-CN"/>
        </w:rPr>
        <w:t>6</w:t>
      </w:r>
      <w:r>
        <w:rPr>
          <w:lang w:eastAsia="zh-CN"/>
        </w:rPr>
        <w:t>亿港元的首次公开招股的平均承销佣金率从</w:t>
      </w:r>
      <w:r>
        <w:rPr>
          <w:lang w:eastAsia="zh-CN"/>
        </w:rPr>
        <w:t>2017</w:t>
      </w:r>
      <w:r>
        <w:rPr>
          <w:lang w:eastAsia="zh-CN"/>
        </w:rPr>
        <w:t>年的</w:t>
      </w:r>
      <w:r>
        <w:rPr>
          <w:lang w:eastAsia="zh-CN"/>
        </w:rPr>
        <w:t>4%</w:t>
      </w:r>
      <w:r>
        <w:rPr>
          <w:lang w:eastAsia="zh-CN"/>
        </w:rPr>
        <w:t>左右上升至</w:t>
      </w:r>
      <w:r>
        <w:rPr>
          <w:lang w:eastAsia="zh-CN"/>
        </w:rPr>
        <w:t>2020</w:t>
      </w:r>
      <w:r>
        <w:rPr>
          <w:lang w:eastAsia="zh-CN"/>
        </w:rPr>
        <w:t>年的</w:t>
      </w:r>
      <w:r>
        <w:rPr>
          <w:lang w:eastAsia="zh-CN"/>
        </w:rPr>
        <w:t>12%</w:t>
      </w:r>
      <w:r>
        <w:rPr>
          <w:lang w:eastAsia="zh-CN"/>
        </w:rPr>
        <w:t>。香港证监会怀疑，高额的承销佣金被用来为旨在满足交易所《上市规则》要求（包括最低市值、充分的投资者利益和充分分散股东权益的要求）或为实施唱高散货计划的安排提供资金。例</w:t>
      </w:r>
      <w:r>
        <w:rPr>
          <w:lang w:eastAsia="zh-CN"/>
        </w:rPr>
        <w:t>如，佣金可能被用于支付给以虚高价格认购股票的受控场所的回扣。上市申请人在上市后支付大量额外的</w:t>
      </w:r>
      <w:r>
        <w:rPr>
          <w:lang w:eastAsia="zh-CN"/>
        </w:rPr>
        <w:t>“</w:t>
      </w:r>
      <w:r>
        <w:rPr>
          <w:lang w:eastAsia="zh-CN"/>
        </w:rPr>
        <w:t>自由裁定</w:t>
      </w:r>
      <w:r>
        <w:rPr>
          <w:lang w:eastAsia="zh-CN"/>
        </w:rPr>
        <w:t>”</w:t>
      </w:r>
      <w:r>
        <w:rPr>
          <w:lang w:eastAsia="zh-CN"/>
        </w:rPr>
        <w:t>上市费用也很可疑。</w:t>
      </w:r>
    </w:p>
    <w:p w:rsidR="00291F6C" w:rsidRDefault="0023077D">
      <w:pPr>
        <w:pStyle w:val="BodyText"/>
        <w:rPr>
          <w:lang w:eastAsia="zh-CN"/>
        </w:rPr>
      </w:pPr>
      <w:r>
        <w:rPr>
          <w:lang w:eastAsia="zh-CN"/>
        </w:rPr>
        <w:t>出现问题的首次公开招股的特征及香港交易所上市申请审查加强</w:t>
      </w:r>
    </w:p>
    <w:p w:rsidR="00291F6C" w:rsidRDefault="0023077D">
      <w:pPr>
        <w:pStyle w:val="BodyText"/>
        <w:rPr>
          <w:lang w:eastAsia="zh-CN"/>
        </w:rPr>
      </w:pPr>
      <w:r>
        <w:rPr>
          <w:lang w:eastAsia="zh-CN"/>
        </w:rPr>
        <w:lastRenderedPageBreak/>
        <w:t>如上市申请人有下列一项或多项非详尽特征，香港证监会及香港交易所会进行查询，以确定上市申请人的股份是否有足够的真正投资者权益，以及是否有足够的股东分散：</w:t>
      </w:r>
    </w:p>
    <w:p w:rsidR="00291F6C" w:rsidRDefault="0023077D">
      <w:pPr>
        <w:pStyle w:val="Compact"/>
        <w:numPr>
          <w:ilvl w:val="0"/>
          <w:numId w:val="3"/>
        </w:numPr>
      </w:pPr>
      <w:r>
        <w:rPr>
          <w:lang w:eastAsia="zh-CN"/>
        </w:rPr>
        <w:t>申请人的市值勉强达到香港交易所《上市规则》的最低要求。</w:t>
      </w:r>
      <w:hyperlink w:anchor="footnote-8693-4">
        <w:r>
          <w:rPr>
            <w:vertAlign w:val="superscript"/>
          </w:rPr>
          <w:t>4</w:t>
        </w:r>
      </w:hyperlink>
    </w:p>
    <w:p w:rsidR="00291F6C" w:rsidRDefault="0023077D">
      <w:pPr>
        <w:pStyle w:val="Compact"/>
        <w:numPr>
          <w:ilvl w:val="0"/>
          <w:numId w:val="3"/>
        </w:numPr>
        <w:rPr>
          <w:lang w:eastAsia="zh-CN"/>
        </w:rPr>
      </w:pPr>
      <w:r>
        <w:rPr>
          <w:lang w:eastAsia="zh-CN"/>
        </w:rPr>
        <w:t>市盈率非常高（考虑到申请人的基本因素（包括盈</w:t>
      </w:r>
      <w:r>
        <w:rPr>
          <w:lang w:eastAsia="zh-CN"/>
        </w:rPr>
        <w:t>利预测）和同行的估值）。</w:t>
      </w:r>
    </w:p>
    <w:p w:rsidR="00291F6C" w:rsidRDefault="0023077D">
      <w:pPr>
        <w:pStyle w:val="Compact"/>
        <w:numPr>
          <w:ilvl w:val="0"/>
          <w:numId w:val="3"/>
        </w:numPr>
        <w:rPr>
          <w:lang w:eastAsia="zh-CN"/>
        </w:rPr>
      </w:pPr>
      <w:r>
        <w:rPr>
          <w:lang w:eastAsia="zh-CN"/>
        </w:rPr>
        <w:t>异常高的承销或配售佣金或其他上市费用。</w:t>
      </w:r>
    </w:p>
    <w:p w:rsidR="00291F6C" w:rsidRDefault="0023077D">
      <w:pPr>
        <w:pStyle w:val="Compact"/>
        <w:numPr>
          <w:ilvl w:val="0"/>
          <w:numId w:val="3"/>
        </w:numPr>
      </w:pPr>
      <w:r>
        <w:rPr>
          <w:lang w:eastAsia="zh-CN"/>
        </w:rPr>
        <w:t>股东高度集中，特别是在公开发行的股票价值较小、股东之间的差距勉强达到交易所《上市规则》规定的最低门槛。</w:t>
      </w:r>
      <w:hyperlink w:anchor="footnote-8693-5">
        <w:r>
          <w:rPr>
            <w:vertAlign w:val="superscript"/>
          </w:rPr>
          <w:t>5</w:t>
        </w:r>
      </w:hyperlink>
    </w:p>
    <w:p w:rsidR="00291F6C" w:rsidRDefault="0023077D">
      <w:pPr>
        <w:pStyle w:val="FirstParagraph"/>
        <w:rPr>
          <w:lang w:eastAsia="zh-CN"/>
        </w:rPr>
      </w:pPr>
      <w:r>
        <w:rPr>
          <w:lang w:eastAsia="zh-CN"/>
        </w:rPr>
        <w:t>香港证监会及香港交易所可要求上市申请人提供证据，证明投资者的真实需求及预期估值的合理性。上市申请人还可能被要求证明，首次公开招股价格已经或将通过健全和透明的价格发现程序确定。如果承销佣金或其他上市费用或可自由支配费用异常高，申请人应准备在上市文件中提供这些费用的详</w:t>
      </w:r>
      <w:r>
        <w:rPr>
          <w:lang w:eastAsia="zh-CN"/>
        </w:rPr>
        <w:t>细信息。</w:t>
      </w:r>
    </w:p>
    <w:p w:rsidR="00291F6C" w:rsidRDefault="0023077D">
      <w:pPr>
        <w:pStyle w:val="BodyText"/>
        <w:rPr>
          <w:lang w:eastAsia="zh-CN"/>
        </w:rPr>
      </w:pPr>
      <w:r>
        <w:rPr>
          <w:lang w:eastAsia="zh-CN"/>
        </w:rPr>
        <w:t>香港交易所和香港证监会的监管权力</w:t>
      </w:r>
    </w:p>
    <w:p w:rsidR="00291F6C" w:rsidRDefault="0023077D">
      <w:pPr>
        <w:pStyle w:val="BodyText"/>
        <w:rPr>
          <w:lang w:eastAsia="zh-CN"/>
        </w:rPr>
      </w:pPr>
      <w:r>
        <w:rPr>
          <w:lang w:eastAsia="zh-CN"/>
        </w:rPr>
        <w:t>有权拒绝新上市申请</w:t>
      </w:r>
    </w:p>
    <w:p w:rsidR="00291F6C" w:rsidRDefault="0023077D">
      <w:pPr>
        <w:pStyle w:val="BodyText"/>
        <w:rPr>
          <w:lang w:eastAsia="zh-CN"/>
        </w:rPr>
      </w:pPr>
      <w:r>
        <w:rPr>
          <w:lang w:eastAsia="zh-CN"/>
        </w:rPr>
        <w:t>在下列情况下，香港交易所可拒绝上市申请：</w:t>
      </w:r>
    </w:p>
    <w:p w:rsidR="00291F6C" w:rsidRDefault="0023077D">
      <w:pPr>
        <w:pStyle w:val="Compact"/>
        <w:numPr>
          <w:ilvl w:val="0"/>
          <w:numId w:val="4"/>
        </w:numPr>
        <w:rPr>
          <w:lang w:eastAsia="zh-CN"/>
        </w:rPr>
      </w:pPr>
      <w:r>
        <w:rPr>
          <w:lang w:eastAsia="zh-CN"/>
        </w:rPr>
        <w:t>有关配股和定价过程的问题没有得到满意解答；</w:t>
      </w:r>
    </w:p>
    <w:p w:rsidR="00291F6C" w:rsidRDefault="0023077D">
      <w:pPr>
        <w:pStyle w:val="Compact"/>
        <w:numPr>
          <w:ilvl w:val="0"/>
          <w:numId w:val="4"/>
        </w:numPr>
        <w:rPr>
          <w:lang w:eastAsia="zh-CN"/>
        </w:rPr>
      </w:pPr>
      <w:r>
        <w:rPr>
          <w:lang w:eastAsia="zh-CN"/>
        </w:rPr>
        <w:t>申请人不符合上市的基本条件，包括申请人及其股份具有足够的公众利益、股份公开市场和股东足够分散的要求；</w:t>
      </w:r>
    </w:p>
    <w:p w:rsidR="00291F6C" w:rsidRDefault="0023077D">
      <w:pPr>
        <w:pStyle w:val="Compact"/>
        <w:numPr>
          <w:ilvl w:val="0"/>
          <w:numId w:val="4"/>
        </w:numPr>
      </w:pPr>
      <w:r>
        <w:rPr>
          <w:lang w:eastAsia="zh-CN"/>
        </w:rPr>
        <w:t>交易所认为申请人及其业务不适合上市。申请人可能被认为不适合上市的理由，包括担心其作为潜在壳公司上市（详情见交易所有关首次公开招股审批及申请人是否适合上市的指引</w:t>
      </w:r>
      <w:r>
        <w:rPr>
          <w:lang w:eastAsia="zh-CN"/>
        </w:rPr>
        <w:t>68-13A</w:t>
      </w:r>
      <w:r>
        <w:rPr>
          <w:lang w:eastAsia="zh-CN"/>
        </w:rPr>
        <w:t>）。</w:t>
      </w:r>
      <w:hyperlink w:anchor="footnote-8693-6">
        <w:r>
          <w:rPr>
            <w:vertAlign w:val="superscript"/>
          </w:rPr>
          <w:t>6</w:t>
        </w:r>
      </w:hyperlink>
    </w:p>
    <w:p w:rsidR="00291F6C" w:rsidRDefault="0023077D">
      <w:pPr>
        <w:pStyle w:val="FirstParagraph"/>
        <w:rPr>
          <w:lang w:eastAsia="zh-CN"/>
        </w:rPr>
      </w:pPr>
      <w:r>
        <w:rPr>
          <w:lang w:eastAsia="zh-CN"/>
        </w:rPr>
        <w:t>证监会</w:t>
      </w:r>
      <w:r>
        <w:rPr>
          <w:lang w:eastAsia="zh-CN"/>
        </w:rPr>
        <w:t>可根据《证券及期货（股票市场上市）规则》第</w:t>
      </w:r>
      <w:r>
        <w:rPr>
          <w:lang w:eastAsia="zh-CN"/>
        </w:rPr>
        <w:t>6(2)</w:t>
      </w:r>
      <w:r>
        <w:rPr>
          <w:lang w:eastAsia="zh-CN"/>
        </w:rPr>
        <w:t>条反对上市申请。如果它认为上市申请不符合交易所《上市规则》或上市不符合投资大众的利益或公共利益。根据涉及首次公开招股的失当行为的联合声明，香港证监会可以就</w:t>
      </w:r>
      <w:r>
        <w:rPr>
          <w:lang w:eastAsia="zh-CN"/>
        </w:rPr>
        <w:t>“</w:t>
      </w:r>
      <w:r>
        <w:rPr>
          <w:lang w:eastAsia="zh-CN"/>
        </w:rPr>
        <w:t>公众利益或投资公众利益</w:t>
      </w:r>
      <w:r>
        <w:rPr>
          <w:lang w:eastAsia="zh-CN"/>
        </w:rPr>
        <w:t>”</w:t>
      </w:r>
      <w:r>
        <w:rPr>
          <w:lang w:eastAsia="zh-CN"/>
        </w:rPr>
        <w:t>为由提出反对，理由是：</w:t>
      </w:r>
    </w:p>
    <w:p w:rsidR="00291F6C" w:rsidRDefault="0023077D">
      <w:pPr>
        <w:pStyle w:val="Compact"/>
        <w:numPr>
          <w:ilvl w:val="0"/>
          <w:numId w:val="5"/>
        </w:numPr>
        <w:rPr>
          <w:lang w:eastAsia="zh-CN"/>
        </w:rPr>
      </w:pPr>
      <w:r>
        <w:rPr>
          <w:lang w:eastAsia="zh-CN"/>
        </w:rPr>
        <w:t>一个有序、公平的上市申请人股票上市市场的发展条件是不存在的，考虑到：已表明对该股份有利害关系的投资者的背景、人数、股份分配方式和上市股东人数；或</w:t>
      </w:r>
    </w:p>
    <w:p w:rsidR="00291F6C" w:rsidRDefault="0023077D">
      <w:pPr>
        <w:pStyle w:val="Compact"/>
        <w:numPr>
          <w:ilvl w:val="0"/>
          <w:numId w:val="5"/>
        </w:numPr>
        <w:rPr>
          <w:lang w:eastAsia="zh-CN"/>
        </w:rPr>
      </w:pPr>
      <w:r>
        <w:rPr>
          <w:lang w:eastAsia="zh-CN"/>
        </w:rPr>
        <w:t>上市申请人的结构、财务状况、管治安排、董事会或管理层可能不适合在交易所上市。有关情况的例子包括，申请人的董事会或管理层被发现参与了一项</w:t>
      </w:r>
      <w:r>
        <w:rPr>
          <w:lang w:eastAsia="zh-CN"/>
        </w:rPr>
        <w:t>“</w:t>
      </w:r>
      <w:r>
        <w:rPr>
          <w:lang w:eastAsia="zh-CN"/>
        </w:rPr>
        <w:t>唱高散货</w:t>
      </w:r>
      <w:r>
        <w:rPr>
          <w:lang w:eastAsia="zh-CN"/>
        </w:rPr>
        <w:t>”</w:t>
      </w:r>
      <w:r>
        <w:rPr>
          <w:lang w:eastAsia="zh-CN"/>
        </w:rPr>
        <w:t>计划，或一项旨在误导监管机构或投资公众的计划，或规避香港交易所《上市规则》的计划。</w:t>
      </w:r>
    </w:p>
    <w:p w:rsidR="00291F6C" w:rsidRDefault="0023077D">
      <w:pPr>
        <w:pStyle w:val="FirstParagraph"/>
        <w:rPr>
          <w:lang w:eastAsia="zh-CN"/>
        </w:rPr>
      </w:pPr>
      <w:r>
        <w:rPr>
          <w:lang w:eastAsia="zh-CN"/>
        </w:rPr>
        <w:t>香港交易所上市股票短暂停牌</w:t>
      </w:r>
    </w:p>
    <w:p w:rsidR="00291F6C" w:rsidRDefault="0023077D">
      <w:pPr>
        <w:pStyle w:val="BodyText"/>
        <w:rPr>
          <w:lang w:eastAsia="zh-CN"/>
        </w:rPr>
      </w:pPr>
      <w:r>
        <w:rPr>
          <w:lang w:eastAsia="zh-CN"/>
        </w:rPr>
        <w:t>在下列情况下，香港证监会和香港交易所将对有关各方展开调查，并采取适当的监管行动：</w:t>
      </w:r>
    </w:p>
    <w:p w:rsidR="00291F6C" w:rsidRDefault="0023077D">
      <w:pPr>
        <w:pStyle w:val="Compact"/>
        <w:numPr>
          <w:ilvl w:val="0"/>
          <w:numId w:val="6"/>
        </w:numPr>
        <w:rPr>
          <w:lang w:eastAsia="zh-CN"/>
        </w:rPr>
      </w:pPr>
      <w:r>
        <w:rPr>
          <w:lang w:eastAsia="zh-CN"/>
        </w:rPr>
        <w:t>股价或成交量有异常波动；</w:t>
      </w:r>
    </w:p>
    <w:p w:rsidR="00291F6C" w:rsidRDefault="0023077D">
      <w:pPr>
        <w:pStyle w:val="Compact"/>
        <w:numPr>
          <w:ilvl w:val="0"/>
          <w:numId w:val="6"/>
        </w:numPr>
      </w:pPr>
      <w:r>
        <w:t>上市后股权高度集中；</w:t>
      </w:r>
    </w:p>
    <w:p w:rsidR="00291F6C" w:rsidRDefault="0023077D">
      <w:pPr>
        <w:pStyle w:val="Compact"/>
        <w:numPr>
          <w:ilvl w:val="0"/>
          <w:numId w:val="6"/>
        </w:numPr>
        <w:rPr>
          <w:lang w:eastAsia="zh-CN"/>
        </w:rPr>
      </w:pPr>
      <w:r>
        <w:rPr>
          <w:lang w:eastAsia="zh-CN"/>
        </w:rPr>
        <w:t>上市文件可能包含虚假、不完整或误导的资料；或</w:t>
      </w:r>
    </w:p>
    <w:p w:rsidR="00291F6C" w:rsidRDefault="0023077D">
      <w:pPr>
        <w:pStyle w:val="Compact"/>
        <w:numPr>
          <w:ilvl w:val="0"/>
          <w:numId w:val="6"/>
        </w:numPr>
        <w:rPr>
          <w:lang w:eastAsia="zh-CN"/>
        </w:rPr>
      </w:pPr>
      <w:r>
        <w:rPr>
          <w:lang w:eastAsia="zh-CN"/>
        </w:rPr>
        <w:t>还有其他失当行为的证据。</w:t>
      </w:r>
    </w:p>
    <w:p w:rsidR="00291F6C" w:rsidRDefault="0023077D">
      <w:pPr>
        <w:pStyle w:val="FirstParagraph"/>
        <w:rPr>
          <w:lang w:eastAsia="zh-CN"/>
        </w:rPr>
      </w:pPr>
      <w:r>
        <w:rPr>
          <w:lang w:eastAsia="zh-CN"/>
        </w:rPr>
        <w:t>如有证据显示在上市时，有相当数量的配售人并非真正的投资者，而真正的投资者对该等股票并无足够的权益，香港证监会可行使《证券及期货（股票市场上市）规则》第</w:t>
      </w:r>
      <w:r>
        <w:rPr>
          <w:lang w:eastAsia="zh-CN"/>
        </w:rPr>
        <w:t>8(1)</w:t>
      </w:r>
      <w:r>
        <w:rPr>
          <w:lang w:eastAsia="zh-CN"/>
        </w:rPr>
        <w:t>条所赋予的权力，指示香港交易所短暂停牌上市公司股票的交易。</w:t>
      </w:r>
    </w:p>
    <w:p w:rsidR="00291F6C" w:rsidRDefault="0023077D">
      <w:pPr>
        <w:pStyle w:val="BodyText"/>
        <w:rPr>
          <w:lang w:eastAsia="zh-CN"/>
        </w:rPr>
      </w:pPr>
      <w:hyperlink w:anchor="footnote-8693-1-backlink">
        <w:r>
          <w:rPr>
            <w:lang w:eastAsia="zh-CN"/>
          </w:rPr>
          <w:t>1</w:t>
        </w:r>
      </w:hyperlink>
      <w:r>
        <w:rPr>
          <w:lang w:eastAsia="zh-CN"/>
        </w:rPr>
        <w:t xml:space="preserve"> </w:t>
      </w:r>
      <w:r>
        <w:rPr>
          <w:lang w:eastAsia="zh-CN"/>
        </w:rPr>
        <w:t>证监会</w:t>
      </w:r>
      <w:r>
        <w:rPr>
          <w:lang w:eastAsia="zh-CN"/>
        </w:rPr>
        <w:t>/</w:t>
      </w:r>
      <w:r>
        <w:rPr>
          <w:lang w:eastAsia="zh-CN"/>
        </w:rPr>
        <w:t>香港交易所</w:t>
      </w:r>
      <w:r>
        <w:rPr>
          <w:lang w:eastAsia="zh-CN"/>
        </w:rPr>
        <w:t>2021</w:t>
      </w:r>
      <w:r>
        <w:rPr>
          <w:lang w:eastAsia="zh-CN"/>
        </w:rPr>
        <w:t>年</w:t>
      </w:r>
      <w:r>
        <w:rPr>
          <w:lang w:eastAsia="zh-CN"/>
        </w:rPr>
        <w:t>5</w:t>
      </w:r>
      <w:r>
        <w:rPr>
          <w:lang w:eastAsia="zh-CN"/>
        </w:rPr>
        <w:t>月</w:t>
      </w:r>
      <w:r>
        <w:rPr>
          <w:lang w:eastAsia="zh-CN"/>
        </w:rPr>
        <w:t>20</w:t>
      </w:r>
      <w:r>
        <w:rPr>
          <w:lang w:eastAsia="zh-CN"/>
        </w:rPr>
        <w:t>发布涉及首次公开招股的失当行为的联合声明。请访问：</w:t>
      </w:r>
      <w:hyperlink r:id="rId8">
        <w:r>
          <w:rPr>
            <w:lang w:eastAsia="zh-CN"/>
          </w:rPr>
          <w:t>https://www.sfc.hk/-/media/EN/files/COM/Statements/SFC-HKEX_Joint-Statement_EN.pdf</w:t>
        </w:r>
      </w:hyperlink>
    </w:p>
    <w:p w:rsidR="00291F6C" w:rsidRDefault="0023077D">
      <w:pPr>
        <w:pStyle w:val="BodyText"/>
        <w:rPr>
          <w:lang w:eastAsia="zh-CN"/>
        </w:rPr>
      </w:pPr>
      <w:hyperlink w:anchor="footnote-8693-2-backlink">
        <w:r>
          <w:rPr>
            <w:lang w:eastAsia="zh-CN"/>
          </w:rPr>
          <w:t>2</w:t>
        </w:r>
      </w:hyperlink>
      <w:r>
        <w:rPr>
          <w:lang w:eastAsia="zh-CN"/>
        </w:rPr>
        <w:t xml:space="preserve"> </w:t>
      </w:r>
      <w:r>
        <w:rPr>
          <w:lang w:eastAsia="zh-CN"/>
        </w:rPr>
        <w:t>香港交易所。</w:t>
      </w:r>
      <w:r>
        <w:rPr>
          <w:lang w:eastAsia="zh-CN"/>
        </w:rPr>
        <w:t>2021</w:t>
      </w:r>
      <w:r>
        <w:rPr>
          <w:lang w:eastAsia="zh-CN"/>
        </w:rPr>
        <w:t>年</w:t>
      </w:r>
      <w:r>
        <w:rPr>
          <w:lang w:eastAsia="zh-CN"/>
        </w:rPr>
        <w:t>5</w:t>
      </w:r>
      <w:r>
        <w:rPr>
          <w:lang w:eastAsia="zh-CN"/>
        </w:rPr>
        <w:t>月发布了关于主板盈利规定的谘询总结。请访问：</w:t>
      </w:r>
      <w:hyperlink r:id="rId9">
        <w:r>
          <w:rPr>
            <w:lang w:eastAsia="zh-CN"/>
          </w:rPr>
          <w:t>https://www.hkex.com.hk/-/media/HKEX-Market/News/Market-Consultations/2016-Present/November-2020-MB-Profit-Requiremen</w:t>
        </w:r>
        <w:r>
          <w:rPr>
            <w:lang w:eastAsia="zh-CN"/>
          </w:rPr>
          <w:t>t/Conclusions-(May-2021)/cp202011cc.pdf?la=en</w:t>
        </w:r>
      </w:hyperlink>
    </w:p>
    <w:p w:rsidR="00291F6C" w:rsidRDefault="0023077D">
      <w:pPr>
        <w:pStyle w:val="BodyText"/>
        <w:rPr>
          <w:lang w:eastAsia="zh-CN"/>
        </w:rPr>
      </w:pPr>
      <w:hyperlink w:anchor="footnote-8693-3-backlink">
        <w:r>
          <w:rPr>
            <w:lang w:eastAsia="zh-CN"/>
          </w:rPr>
          <w:t>3</w:t>
        </w:r>
      </w:hyperlink>
      <w:r>
        <w:rPr>
          <w:lang w:eastAsia="zh-CN"/>
        </w:rPr>
        <w:t xml:space="preserve"> </w:t>
      </w:r>
      <w:r>
        <w:rPr>
          <w:lang w:eastAsia="zh-CN"/>
        </w:rPr>
        <w:t>易周律师行通讯。</w:t>
      </w:r>
      <w:r>
        <w:rPr>
          <w:lang w:eastAsia="zh-CN"/>
        </w:rPr>
        <w:t>“</w:t>
      </w:r>
      <w:r>
        <w:rPr>
          <w:lang w:eastAsia="zh-CN"/>
        </w:rPr>
        <w:t>交易所将于</w:t>
      </w:r>
      <w:r>
        <w:rPr>
          <w:lang w:eastAsia="zh-CN"/>
        </w:rPr>
        <w:t>2022</w:t>
      </w:r>
      <w:r>
        <w:rPr>
          <w:lang w:eastAsia="zh-CN"/>
        </w:rPr>
        <w:t>年</w:t>
      </w:r>
      <w:r>
        <w:rPr>
          <w:lang w:eastAsia="zh-CN"/>
        </w:rPr>
        <w:t>1</w:t>
      </w:r>
      <w:r>
        <w:rPr>
          <w:lang w:eastAsia="zh-CN"/>
        </w:rPr>
        <w:t>月</w:t>
      </w:r>
      <w:r>
        <w:rPr>
          <w:lang w:eastAsia="zh-CN"/>
        </w:rPr>
        <w:t>1</w:t>
      </w:r>
      <w:r>
        <w:rPr>
          <w:lang w:eastAsia="zh-CN"/>
        </w:rPr>
        <w:t>日起增加主板盈利规定</w:t>
      </w:r>
      <w:r>
        <w:rPr>
          <w:lang w:eastAsia="zh-CN"/>
        </w:rPr>
        <w:t>”</w:t>
      </w:r>
      <w:r>
        <w:rPr>
          <w:lang w:eastAsia="zh-CN"/>
        </w:rPr>
        <w:t>。请访问：</w:t>
      </w:r>
      <w:hyperlink r:id="rId10">
        <w:r>
          <w:rPr>
            <w:lang w:eastAsia="zh-CN"/>
          </w:rPr>
          <w:t>https://ww</w:t>
        </w:r>
        <w:r>
          <w:rPr>
            <w:lang w:eastAsia="zh-CN"/>
          </w:rPr>
          <w:t>w.charltonslaw.com/hkex-to-raise-main-board-profit-requirement-from-1-january-2022/</w:t>
        </w:r>
      </w:hyperlink>
    </w:p>
    <w:p w:rsidR="00291F6C" w:rsidRDefault="0023077D">
      <w:pPr>
        <w:pStyle w:val="BodyText"/>
        <w:rPr>
          <w:lang w:eastAsia="zh-CN"/>
        </w:rPr>
      </w:pPr>
      <w:hyperlink w:anchor="footnote-8693-4-backlink">
        <w:r>
          <w:rPr>
            <w:lang w:eastAsia="zh-CN"/>
          </w:rPr>
          <w:t>4</w:t>
        </w:r>
      </w:hyperlink>
      <w:r>
        <w:rPr>
          <w:lang w:eastAsia="zh-CN"/>
        </w:rPr>
        <w:t xml:space="preserve"> </w:t>
      </w:r>
      <w:r>
        <w:rPr>
          <w:lang w:eastAsia="zh-CN"/>
        </w:rPr>
        <w:t>《主板上市规则》第</w:t>
      </w:r>
      <w:r>
        <w:rPr>
          <w:lang w:eastAsia="zh-CN"/>
        </w:rPr>
        <w:t>8.09(2)</w:t>
      </w:r>
      <w:r>
        <w:rPr>
          <w:lang w:eastAsia="zh-CN"/>
        </w:rPr>
        <w:t>条规定，新上市申请人在上市时的预期市值最少为</w:t>
      </w:r>
      <w:r>
        <w:rPr>
          <w:lang w:eastAsia="zh-CN"/>
        </w:rPr>
        <w:t>5</w:t>
      </w:r>
      <w:r>
        <w:rPr>
          <w:lang w:eastAsia="zh-CN"/>
        </w:rPr>
        <w:t>亿港元。创业板规则</w:t>
      </w:r>
      <w:r>
        <w:rPr>
          <w:lang w:eastAsia="zh-CN"/>
        </w:rPr>
        <w:t>11.23(6)</w:t>
      </w:r>
      <w:r>
        <w:rPr>
          <w:lang w:eastAsia="zh-CN"/>
        </w:rPr>
        <w:t>规定创业板申请人的预期总市值最少为</w:t>
      </w:r>
      <w:r>
        <w:rPr>
          <w:lang w:eastAsia="zh-CN"/>
        </w:rPr>
        <w:t>1.5</w:t>
      </w:r>
      <w:r>
        <w:rPr>
          <w:lang w:eastAsia="zh-CN"/>
        </w:rPr>
        <w:t>亿港元。</w:t>
      </w:r>
    </w:p>
    <w:p w:rsidR="0023077D" w:rsidRDefault="0023077D">
      <w:pPr>
        <w:pStyle w:val="BodyText"/>
        <w:rPr>
          <w:lang w:eastAsia="zh-CN"/>
        </w:rPr>
      </w:pPr>
      <w:hyperlink w:anchor="footnote-8693-5-backlink">
        <w:r>
          <w:rPr>
            <w:lang w:eastAsia="zh-CN"/>
          </w:rPr>
          <w:t>5</w:t>
        </w:r>
      </w:hyperlink>
    </w:p>
    <w:p w:rsidR="00291F6C" w:rsidRDefault="0023077D">
      <w:pPr>
        <w:pStyle w:val="BodyText"/>
        <w:rPr>
          <w:lang w:eastAsia="zh-CN"/>
        </w:rPr>
      </w:pPr>
      <w:r>
        <w:rPr>
          <w:lang w:eastAsia="zh-CN"/>
        </w:rPr>
        <w:t>这些是：</w:t>
      </w:r>
      <w:r>
        <w:rPr>
          <w:lang w:eastAsia="zh-CN"/>
        </w:rPr>
        <w:t>(a)</w:t>
      </w:r>
      <w:r>
        <w:rPr>
          <w:lang w:eastAsia="zh-CN"/>
        </w:rPr>
        <w:t>主板规则</w:t>
      </w:r>
      <w:r>
        <w:rPr>
          <w:lang w:eastAsia="zh-CN"/>
        </w:rPr>
        <w:t>8.08(2)</w:t>
      </w:r>
      <w:r>
        <w:rPr>
          <w:lang w:eastAsia="zh-CN"/>
        </w:rPr>
        <w:t>（至少</w:t>
      </w:r>
      <w:r>
        <w:rPr>
          <w:lang w:eastAsia="zh-CN"/>
        </w:rPr>
        <w:t>300</w:t>
      </w:r>
      <w:r>
        <w:rPr>
          <w:lang w:eastAsia="zh-CN"/>
        </w:rPr>
        <w:t>名股东）；</w:t>
      </w:r>
      <w:r>
        <w:rPr>
          <w:lang w:eastAsia="zh-CN"/>
        </w:rPr>
        <w:t>(b)</w:t>
      </w:r>
      <w:r>
        <w:rPr>
          <w:lang w:eastAsia="zh-CN"/>
        </w:rPr>
        <w:t>主板规则</w:t>
      </w:r>
      <w:r>
        <w:rPr>
          <w:lang w:eastAsia="zh-CN"/>
        </w:rPr>
        <w:t>8.08(3)</w:t>
      </w:r>
      <w:r>
        <w:rPr>
          <w:lang w:eastAsia="zh-CN"/>
        </w:rPr>
        <w:t>（上市时由三个最大的公众股东实益拥有的公众持有的证券不超过</w:t>
      </w:r>
      <w:r>
        <w:rPr>
          <w:lang w:eastAsia="zh-CN"/>
        </w:rPr>
        <w:t>50%</w:t>
      </w:r>
      <w:r>
        <w:rPr>
          <w:lang w:eastAsia="zh-CN"/>
        </w:rPr>
        <w:t>）；及</w:t>
      </w:r>
      <w:r>
        <w:rPr>
          <w:lang w:eastAsia="zh-CN"/>
        </w:rPr>
        <w:t>(c)</w:t>
      </w:r>
      <w:r>
        <w:rPr>
          <w:lang w:eastAsia="zh-CN"/>
        </w:rPr>
        <w:t>《主板上市规则》附录</w:t>
      </w:r>
      <w:r>
        <w:rPr>
          <w:lang w:eastAsia="zh-CN"/>
        </w:rPr>
        <w:t>6</w:t>
      </w:r>
      <w:r>
        <w:rPr>
          <w:lang w:eastAsia="zh-CN"/>
        </w:rPr>
        <w:t>（至少</w:t>
      </w:r>
      <w:r>
        <w:rPr>
          <w:lang w:eastAsia="zh-CN"/>
        </w:rPr>
        <w:t>100</w:t>
      </w:r>
      <w:r>
        <w:rPr>
          <w:lang w:eastAsia="zh-CN"/>
        </w:rPr>
        <w:t>个承配人）</w:t>
      </w:r>
    </w:p>
    <w:p w:rsidR="00291F6C" w:rsidRDefault="0023077D">
      <w:pPr>
        <w:pStyle w:val="BodyText"/>
      </w:pPr>
      <w:hyperlink w:anchor="footnote-8693-6-backlink">
        <w:r>
          <w:t>6</w:t>
        </w:r>
      </w:hyperlink>
      <w:r>
        <w:t>香港交易所。香港交易所指引信</w:t>
      </w:r>
      <w:r>
        <w:t>GL68-13A</w:t>
      </w:r>
      <w:r>
        <w:t>。请访问：</w:t>
      </w:r>
      <w:hyperlink r:id="rId11">
        <w:r>
          <w:t>https://en-rules.hkex.com.hk/sites/default/files/net_file_store/gl6813a.pdf</w:t>
        </w:r>
      </w:hyperlink>
    </w:p>
    <w:p w:rsidR="00291F6C" w:rsidRDefault="0023077D">
      <w:pPr>
        <w:pStyle w:val="DisclaimerBold"/>
        <w:rPr>
          <w:lang w:eastAsia="zh-CN"/>
        </w:rPr>
      </w:pPr>
      <w:r>
        <w:rPr>
          <w:lang w:eastAsia="zh-CN"/>
        </w:rPr>
        <w:t>此法讯仅为提供相关资料信息之用，其内容并</w:t>
      </w:r>
    </w:p>
    <w:p w:rsidR="00291F6C" w:rsidRDefault="0023077D">
      <w:pPr>
        <w:pStyle w:val="Disclaimer"/>
        <w:rPr>
          <w:lang w:eastAsia="zh-CN"/>
        </w:rPr>
      </w:pPr>
      <w:r>
        <w:rPr>
          <w:lang w:eastAsia="zh-CN"/>
        </w:rPr>
        <w:t>不构成法律建议及个案的法律分析。</w:t>
      </w:r>
    </w:p>
    <w:p w:rsidR="00291F6C" w:rsidRDefault="0023077D">
      <w:pPr>
        <w:pStyle w:val="Disclaimer"/>
        <w:rPr>
          <w:lang w:eastAsia="zh-CN"/>
        </w:rPr>
      </w:pPr>
      <w:r>
        <w:rPr>
          <w:lang w:eastAsia="zh-CN"/>
        </w:rPr>
        <w:t>此法讯的发送并不是为了在易周律师行与用户或浏览者之间建立一种律师与客户之关系。</w:t>
      </w:r>
    </w:p>
    <w:p w:rsidR="00291F6C" w:rsidRDefault="0023077D">
      <w:pPr>
        <w:pStyle w:val="Disclaimer"/>
        <w:rPr>
          <w:lang w:eastAsia="zh-CN"/>
        </w:rPr>
      </w:pPr>
      <w:r>
        <w:rPr>
          <w:lang w:eastAsia="zh-CN"/>
        </w:rPr>
        <w:t>易周律师行并不对可从互联网获得的任何第三方内容负责。</w:t>
      </w:r>
    </w:p>
    <w:p w:rsidR="00291F6C" w:rsidRDefault="0023077D">
      <w:pPr>
        <w:pStyle w:val="Disclaimer"/>
        <w:rPr>
          <w:lang w:eastAsia="zh-CN"/>
        </w:rPr>
      </w:pPr>
      <w:r>
        <w:rPr>
          <w:lang w:eastAsia="zh-CN"/>
        </w:rPr>
        <w:t>如你不希望再收到易周法讯，请发送电邮至</w:t>
      </w:r>
      <w:r>
        <w:rPr>
          <w:lang w:eastAsia="zh-CN"/>
        </w:rPr>
        <w:t xml:space="preserve">  </w:t>
      </w:r>
      <w:hyperlink r:id="rId12">
        <w:r>
          <w:rPr>
            <w:lang w:eastAsia="zh-CN"/>
          </w:rPr>
          <w:t>unsubscribe@charltonslaw.com</w:t>
        </w:r>
      </w:hyperlink>
    </w:p>
    <w:p w:rsidR="00291F6C" w:rsidRDefault="0023077D">
      <w:pPr>
        <w:pStyle w:val="BlackStrips"/>
      </w:pPr>
      <w:r>
        <w:t xml:space="preserve">Charltons - </w:t>
      </w:r>
      <w:r>
        <w:t>香港法律</w:t>
      </w:r>
      <w:r>
        <w:t xml:space="preserve"> - 2021</w:t>
      </w:r>
      <w:r>
        <w:t>年</w:t>
      </w:r>
      <w:r>
        <w:t>11</w:t>
      </w:r>
      <w:r>
        <w:t>月</w:t>
      </w:r>
      <w:r>
        <w:t>16</w:t>
      </w:r>
      <w:r>
        <w:t>日</w:t>
      </w:r>
    </w:p>
    <w:sectPr w:rsidR="00291F6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3077D">
      <w:pPr>
        <w:spacing w:after="0"/>
      </w:pPr>
      <w:r>
        <w:separator/>
      </w:r>
    </w:p>
  </w:endnote>
  <w:endnote w:type="continuationSeparator" w:id="0">
    <w:p w:rsidR="00000000" w:rsidRDefault="002307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F6C" w:rsidRDefault="0023077D">
      <w:r>
        <w:separator/>
      </w:r>
    </w:p>
  </w:footnote>
  <w:footnote w:type="continuationSeparator" w:id="0">
    <w:p w:rsidR="00291F6C" w:rsidRDefault="00230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D5DCF1E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408CC5D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E86E5DB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3077D"/>
    <w:rsid w:val="00291F6C"/>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4C634"/>
  <w15:docId w15:val="{3A17A50E-E492-4169-AD5D-09F6E60C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fc.hk/-/media/EN/files/COM/Statements/SFC-HKEX_Joint-Statement_E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rltonslaw.com.cn/zheng-jian-hui-ji-xiang-gang-jiao-yi-suo-fa-bu-she-ji-shou-ci-gong-kai-zhao-gu-de-shi-dang-xing-wei-de-lian-he-sheng-ming" TargetMode="External"/><Relationship Id="rId12" Type="http://schemas.openxmlformats.org/officeDocument/2006/relationships/hyperlink" Target="mailto:unsubscribe@charltonslaw.com?subject=unsubscribe%20-Hong%20Kong%20La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rules.hkex.com.hk/sites/default/files/net_file_store/gl6813a.pdf" TargetMode="External"/><Relationship Id="rId5" Type="http://schemas.openxmlformats.org/officeDocument/2006/relationships/footnotes" Target="footnotes.xml"/><Relationship Id="rId10" Type="http://schemas.openxmlformats.org/officeDocument/2006/relationships/hyperlink" Target="https://www.charltonslaw.com/hkex-to-raise-main-board-profit-requirement-from-1-january-2022/"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November-2020-MB-Profit-Requirement/Conclusions-(May-2021)/cp202011cc.pdf?la=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692</Words>
  <Characters>3947</Characters>
  <Application>Microsoft Office Word</Application>
  <DocSecurity>0</DocSecurity>
  <Lines>32</Lines>
  <Paragraphs>9</Paragraphs>
  <ScaleCrop>false</ScaleCrop>
  <Company>Charltons</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2021-11-16T09:25:00Z</dcterms:created>
  <dcterms:modified xsi:type="dcterms:W3CDTF">2021-11-16T09:31:00Z</dcterms:modified>
</cp:coreProperties>
</file>