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11D" w:rsidRDefault="00DE2D8B">
      <w:pPr>
        <w:pStyle w:val="BlackStrips"/>
      </w:pPr>
      <w:r>
        <w:t xml:space="preserve">Charltons - </w:t>
      </w:r>
      <w:r>
        <w:t>香港法律</w:t>
      </w:r>
      <w:r>
        <w:t xml:space="preserve"> - 2021</w:t>
      </w:r>
      <w:r>
        <w:t>年</w:t>
      </w:r>
      <w:r>
        <w:t>11</w:t>
      </w:r>
      <w:r>
        <w:t>月</w:t>
      </w:r>
      <w:r>
        <w:t>26</w:t>
      </w:r>
      <w:r>
        <w:t>日</w:t>
      </w:r>
    </w:p>
    <w:p w:rsidR="00DD511D" w:rsidRDefault="00DE2D8B">
      <w:pPr>
        <w:pStyle w:val="ReadOnline"/>
        <w:rPr>
          <w:lang w:eastAsia="zh-CN"/>
        </w:rPr>
      </w:pPr>
      <w:hyperlink r:id="rId7">
        <w:r>
          <w:rPr>
            <w:lang w:eastAsia="zh-CN"/>
          </w:rPr>
          <w:t>online version</w:t>
        </w:r>
      </w:hyperlink>
    </w:p>
    <w:p w:rsidR="00DD511D" w:rsidRDefault="00DE2D8B">
      <w:pPr>
        <w:pStyle w:val="Title"/>
        <w:rPr>
          <w:lang w:eastAsia="zh-CN"/>
        </w:rPr>
      </w:pPr>
      <w:r>
        <w:rPr>
          <w:lang w:eastAsia="zh-CN"/>
        </w:rPr>
        <w:t>香港与泰国基金互认安排的实施</w:t>
      </w:r>
    </w:p>
    <w:p w:rsidR="00DD511D" w:rsidRDefault="00DE2D8B">
      <w:pPr>
        <w:pStyle w:val="FirstParagraph"/>
        <w:rPr>
          <w:lang w:eastAsia="zh-CN"/>
        </w:rPr>
      </w:pPr>
      <w:r>
        <w:rPr>
          <w:lang w:eastAsia="zh-CN"/>
        </w:rPr>
        <w:t>2021</w:t>
      </w:r>
      <w:r>
        <w:rPr>
          <w:lang w:eastAsia="zh-CN"/>
        </w:rPr>
        <w:t>年</w:t>
      </w:r>
      <w:r>
        <w:rPr>
          <w:lang w:eastAsia="zh-CN"/>
        </w:rPr>
        <w:t>6</w:t>
      </w:r>
      <w:r>
        <w:rPr>
          <w:lang w:eastAsia="zh-CN"/>
        </w:rPr>
        <w:t>月</w:t>
      </w:r>
      <w:r>
        <w:rPr>
          <w:lang w:eastAsia="zh-CN"/>
        </w:rPr>
        <w:t>17</w:t>
      </w:r>
      <w:r>
        <w:rPr>
          <w:lang w:eastAsia="zh-CN"/>
        </w:rPr>
        <w:t>日，证券及期货事务监察委员会（</w:t>
      </w:r>
      <w:r>
        <w:rPr>
          <w:b/>
          <w:lang w:eastAsia="zh-CN"/>
        </w:rPr>
        <w:t>证监会</w:t>
      </w:r>
      <w:r>
        <w:rPr>
          <w:lang w:eastAsia="zh-CN"/>
        </w:rPr>
        <w:t>）与泰国证券及交易事务监察委员会（</w:t>
      </w:r>
      <w:r>
        <w:rPr>
          <w:b/>
          <w:lang w:eastAsia="zh-CN"/>
        </w:rPr>
        <w:t>泰国证交会</w:t>
      </w:r>
      <w:r>
        <w:rPr>
          <w:lang w:eastAsia="zh-CN"/>
        </w:rPr>
        <w:t>）公布香港与泰国基金互认安排已经生效。该项安排由证监会以及泰国证交会于</w:t>
      </w:r>
      <w:r>
        <w:rPr>
          <w:lang w:eastAsia="zh-CN"/>
        </w:rPr>
        <w:t>2021</w:t>
      </w:r>
      <w:r>
        <w:rPr>
          <w:lang w:eastAsia="zh-CN"/>
        </w:rPr>
        <w:t>年</w:t>
      </w:r>
      <w:r>
        <w:rPr>
          <w:lang w:eastAsia="zh-CN"/>
        </w:rPr>
        <w:t>01</w:t>
      </w:r>
      <w:r>
        <w:rPr>
          <w:lang w:eastAsia="zh-CN"/>
        </w:rPr>
        <w:t>月</w:t>
      </w:r>
      <w:r>
        <w:rPr>
          <w:lang w:eastAsia="zh-CN"/>
        </w:rPr>
        <w:t>20</w:t>
      </w:r>
      <w:r>
        <w:rPr>
          <w:lang w:eastAsia="zh-CN"/>
        </w:rPr>
        <w:t>日订立的《关于担保基金及担保管理公司互认以及相关合作的谅解备忘录》管治。</w:t>
      </w:r>
      <w:hyperlink w:anchor="footnote-8693-1">
        <w:r>
          <w:rPr>
            <w:vertAlign w:val="superscript"/>
            <w:lang w:eastAsia="zh-CN"/>
          </w:rPr>
          <w:t>1</w:t>
        </w:r>
      </w:hyperlink>
      <w:r>
        <w:rPr>
          <w:lang w:eastAsia="zh-CN"/>
        </w:rPr>
        <w:t xml:space="preserve"> </w:t>
      </w:r>
      <w:r>
        <w:rPr>
          <w:lang w:eastAsia="zh-CN"/>
        </w:rPr>
        <w:t>该项安排规定，香港及泰国获授权或者核准在各自注册地司法权区市场零售分销的基金将透过《泰国证交会通函》</w:t>
      </w:r>
      <w:hyperlink w:anchor="footnote-8693-2">
        <w:r>
          <w:rPr>
            <w:vertAlign w:val="superscript"/>
            <w:lang w:eastAsia="zh-CN"/>
          </w:rPr>
          <w:t>2</w:t>
        </w:r>
      </w:hyperlink>
      <w:r>
        <w:rPr>
          <w:lang w:eastAsia="zh-CN"/>
        </w:rPr>
        <w:t>及《证监会通函》</w:t>
      </w:r>
      <w:hyperlink w:anchor="footnote-8693-3">
        <w:r>
          <w:rPr>
            <w:vertAlign w:val="superscript"/>
            <w:lang w:eastAsia="zh-CN"/>
          </w:rPr>
          <w:t>3</w:t>
        </w:r>
      </w:hyperlink>
      <w:r>
        <w:rPr>
          <w:lang w:eastAsia="zh-CN"/>
        </w:rPr>
        <w:t>中载列的简化程序获授权或核准分别在对方市场进行零售分销。</w:t>
      </w:r>
    </w:p>
    <w:p w:rsidR="00DD511D" w:rsidRDefault="00DE2D8B">
      <w:pPr>
        <w:pStyle w:val="BodyText"/>
        <w:rPr>
          <w:lang w:eastAsia="zh-CN"/>
        </w:rPr>
      </w:pPr>
      <w:r>
        <w:rPr>
          <w:lang w:eastAsia="zh-CN"/>
        </w:rPr>
        <w:t>香港与其他市场之间已有诸多基金互认安排，与泰国的这项基金互认安排是其中最新的一项。证监会的基金互认安排完整清单载列于：</w:t>
      </w:r>
      <w:hyperlink r:id="rId8">
        <w:r>
          <w:rPr>
            <w:lang w:eastAsia="zh-CN"/>
          </w:rPr>
          <w:t>https://ww</w:t>
        </w:r>
        <w:r>
          <w:rPr>
            <w:lang w:eastAsia="zh-CN"/>
          </w:rPr>
          <w:t>w.sfc.hk/TC/Regulatory-functions/Products/List-of-publicly-offered-investment-products/Mutual-recognition-of-funds-arrangements</w:t>
        </w:r>
      </w:hyperlink>
      <w:r>
        <w:rPr>
          <w:lang w:eastAsia="zh-CN"/>
        </w:rPr>
        <w:t>。</w:t>
      </w:r>
    </w:p>
    <w:p w:rsidR="00DD511D" w:rsidRDefault="00DE2D8B">
      <w:pPr>
        <w:pStyle w:val="BodyText"/>
        <w:rPr>
          <w:lang w:eastAsia="zh-CN"/>
        </w:rPr>
      </w:pPr>
      <w:r>
        <w:rPr>
          <w:lang w:eastAsia="zh-CN"/>
        </w:rPr>
        <w:t>就本法讯而言，「泰国担保基金」指的是合资格获证监会授权及</w:t>
      </w:r>
      <w:r>
        <w:rPr>
          <w:lang w:eastAsia="zh-CN"/>
        </w:rPr>
        <w:t>/</w:t>
      </w:r>
      <w:r>
        <w:rPr>
          <w:lang w:eastAsia="zh-CN"/>
        </w:rPr>
        <w:t>或根据《香港与泰国基金互认安排》已获证监会授权的泰国注册基金。「香港担保基金」指的是合资格获泰国证交会核准及</w:t>
      </w:r>
      <w:r>
        <w:rPr>
          <w:lang w:eastAsia="zh-CN"/>
        </w:rPr>
        <w:t>/</w:t>
      </w:r>
      <w:r>
        <w:rPr>
          <w:lang w:eastAsia="zh-CN"/>
        </w:rPr>
        <w:t>或根据《香港与泰国基金互认安排》已获泰国证交会核准的香港注册基金。</w:t>
      </w:r>
    </w:p>
    <w:p w:rsidR="00DD511D" w:rsidRDefault="00DE2D8B">
      <w:pPr>
        <w:pStyle w:val="BodyText"/>
        <w:rPr>
          <w:lang w:eastAsia="zh-CN"/>
        </w:rPr>
      </w:pPr>
      <w:r>
        <w:rPr>
          <w:lang w:eastAsia="zh-CN"/>
        </w:rPr>
        <w:t>香港与泰国基金互认</w:t>
      </w:r>
      <w:r>
        <w:rPr>
          <w:lang w:eastAsia="zh-CN"/>
        </w:rPr>
        <w:t>安排</w:t>
      </w:r>
      <w:r>
        <w:rPr>
          <w:lang w:eastAsia="zh-CN"/>
        </w:rPr>
        <w:t xml:space="preserve"> - </w:t>
      </w:r>
      <w:r>
        <w:rPr>
          <w:lang w:eastAsia="zh-CN"/>
        </w:rPr>
        <w:t>一般原则</w:t>
      </w:r>
    </w:p>
    <w:p w:rsidR="00DD511D" w:rsidRDefault="00DE2D8B">
      <w:pPr>
        <w:pStyle w:val="BodyText"/>
        <w:rPr>
          <w:lang w:eastAsia="zh-CN"/>
        </w:rPr>
      </w:pPr>
      <w:r>
        <w:rPr>
          <w:lang w:eastAsia="zh-CN"/>
        </w:rPr>
        <w:t>寻求证监会（或者泰国证交会）授权或者已经获得证监会（或者泰国证交会）授权在香港（或者泰国）公开发售的基金通常须遵从香港（或者泰国）的相关法例法规。但是，根据该基金互认制度，如有泰国或者香港担保基金遵从相关国内法例法规以及《证监会通函》（针对泰国担保基金）中载列的条件或者《泰国证交会通函》（针对香港担保基金）中载列的条件，则该基金将被视为符合在另一司法权区公开发售的法例法规。于是，该基金将受益于简化的授权程序，向其他司法管辖区的散户投资者提供其单位或股票。</w:t>
      </w:r>
    </w:p>
    <w:p w:rsidR="00DD511D" w:rsidRDefault="00DE2D8B">
      <w:pPr>
        <w:pStyle w:val="BodyText"/>
        <w:rPr>
          <w:lang w:eastAsia="zh-CN"/>
        </w:rPr>
      </w:pPr>
      <w:r>
        <w:rPr>
          <w:lang w:eastAsia="zh-CN"/>
        </w:rPr>
        <w:t>根据该基金互认制度，对于将获核准</w:t>
      </w:r>
      <w:r>
        <w:rPr>
          <w:lang w:eastAsia="zh-CN"/>
        </w:rPr>
        <w:t>在另一司法权区公开发售的香港担保基金或者泰国担保基金而言：</w:t>
      </w:r>
    </w:p>
    <w:p w:rsidR="00DD511D" w:rsidRDefault="00DE2D8B">
      <w:pPr>
        <w:pStyle w:val="Compact"/>
        <w:numPr>
          <w:ilvl w:val="0"/>
          <w:numId w:val="3"/>
        </w:numPr>
        <w:rPr>
          <w:lang w:eastAsia="zh-CN"/>
        </w:rPr>
      </w:pPr>
      <w:r>
        <w:rPr>
          <w:lang w:eastAsia="zh-CN"/>
        </w:rPr>
        <w:t>该基金须符合《泰国证交会通函》（针对香港担保基金）或者《证监会通函》（针对泰国担保基金）中载列的资格规定；</w:t>
      </w:r>
    </w:p>
    <w:p w:rsidR="00DD511D" w:rsidRDefault="00DE2D8B">
      <w:pPr>
        <w:pStyle w:val="Compact"/>
        <w:numPr>
          <w:ilvl w:val="0"/>
          <w:numId w:val="3"/>
        </w:numPr>
        <w:rPr>
          <w:lang w:eastAsia="zh-CN"/>
        </w:rPr>
      </w:pPr>
      <w:r>
        <w:rPr>
          <w:lang w:eastAsia="zh-CN"/>
        </w:rPr>
        <w:t>该基金须就在其注册司法权区向散户投资者发售，推广及分销已获授权并继续处于获授权状态；</w:t>
      </w:r>
    </w:p>
    <w:p w:rsidR="00DD511D" w:rsidRDefault="00DE2D8B">
      <w:pPr>
        <w:pStyle w:val="Compact"/>
        <w:numPr>
          <w:ilvl w:val="0"/>
          <w:numId w:val="3"/>
        </w:numPr>
        <w:rPr>
          <w:lang w:eastAsia="zh-CN"/>
        </w:rPr>
      </w:pPr>
      <w:r>
        <w:rPr>
          <w:lang w:eastAsia="zh-CN"/>
        </w:rPr>
        <w:t>该基金须根据相关国内法例法规及其章程文件营运管理；</w:t>
      </w:r>
    </w:p>
    <w:p w:rsidR="00DD511D" w:rsidRDefault="00DE2D8B">
      <w:pPr>
        <w:pStyle w:val="Compact"/>
        <w:numPr>
          <w:ilvl w:val="0"/>
          <w:numId w:val="3"/>
        </w:numPr>
        <w:rPr>
          <w:lang w:eastAsia="zh-CN"/>
        </w:rPr>
      </w:pPr>
      <w:r>
        <w:rPr>
          <w:lang w:eastAsia="zh-CN"/>
        </w:rPr>
        <w:t>该基金的单位或者股份售卖及分销须遵从另一司法权区的适用法例法规；</w:t>
      </w:r>
    </w:p>
    <w:p w:rsidR="00DD511D" w:rsidRDefault="00DE2D8B">
      <w:pPr>
        <w:pStyle w:val="Compact"/>
        <w:numPr>
          <w:ilvl w:val="0"/>
          <w:numId w:val="3"/>
        </w:numPr>
        <w:rPr>
          <w:lang w:eastAsia="zh-CN"/>
        </w:rPr>
      </w:pPr>
      <w:r>
        <w:rPr>
          <w:lang w:eastAsia="zh-CN"/>
        </w:rPr>
        <w:t>担保基金及其管理公司须遵从泰国证交会或者证监会就该基金在其他司法权区进行零散发售，推广及分销的授权，授权后及持续合规性实施的任何附加规则；</w:t>
      </w:r>
    </w:p>
    <w:p w:rsidR="00DD511D" w:rsidRDefault="00DE2D8B">
      <w:pPr>
        <w:pStyle w:val="Compact"/>
        <w:numPr>
          <w:ilvl w:val="0"/>
          <w:numId w:val="3"/>
        </w:numPr>
        <w:rPr>
          <w:lang w:eastAsia="zh-CN"/>
        </w:rPr>
      </w:pPr>
      <w:r>
        <w:rPr>
          <w:lang w:eastAsia="zh-CN"/>
        </w:rPr>
        <w:t>担保基金及其管理公司须确保香港及泰国司法权区的投资者获公平对待（包括投资者保护，权利行使，赔偿及资料披露方面）。不得有使某一司法权区的投资者享有优于另一司法权区投资者待遇的安排；及</w:t>
      </w:r>
    </w:p>
    <w:p w:rsidR="00DD511D" w:rsidRDefault="00DE2D8B">
      <w:pPr>
        <w:pStyle w:val="Compact"/>
        <w:numPr>
          <w:ilvl w:val="0"/>
          <w:numId w:val="3"/>
        </w:numPr>
        <w:rPr>
          <w:lang w:eastAsia="zh-CN"/>
        </w:rPr>
      </w:pPr>
      <w:r>
        <w:rPr>
          <w:lang w:eastAsia="zh-CN"/>
        </w:rPr>
        <w:t>基金资料的持续披露须同时向两个司法权区的投资者进行（考虑到时区及公众假日，在合理切实可行范围内）。</w:t>
      </w:r>
    </w:p>
    <w:p w:rsidR="00DD511D" w:rsidRDefault="00DE2D8B">
      <w:pPr>
        <w:pStyle w:val="FirstParagraph"/>
        <w:rPr>
          <w:lang w:eastAsia="zh-CN"/>
        </w:rPr>
      </w:pPr>
      <w:r>
        <w:rPr>
          <w:lang w:eastAsia="zh-CN"/>
        </w:rPr>
        <w:t>香港与泰国基金互认安排</w:t>
      </w:r>
      <w:r>
        <w:rPr>
          <w:lang w:eastAsia="zh-CN"/>
        </w:rPr>
        <w:t xml:space="preserve"> - </w:t>
      </w:r>
      <w:r>
        <w:rPr>
          <w:lang w:eastAsia="zh-CN"/>
        </w:rPr>
        <w:t>合资格基金类别</w:t>
      </w:r>
    </w:p>
    <w:p w:rsidR="00DD511D" w:rsidRDefault="00DE2D8B">
      <w:pPr>
        <w:pStyle w:val="BodyText"/>
        <w:rPr>
          <w:lang w:eastAsia="zh-CN"/>
        </w:rPr>
      </w:pPr>
      <w:r>
        <w:rPr>
          <w:lang w:eastAsia="zh-CN"/>
        </w:rPr>
        <w:lastRenderedPageBreak/>
        <w:t>如欲申请证监会（或者泰国证交会）授权，泰国担保基金（或者香港担保基金）须属以下合格基金类别之一：</w:t>
      </w:r>
    </w:p>
    <w:p w:rsidR="00DD511D" w:rsidRDefault="00DE2D8B">
      <w:pPr>
        <w:pStyle w:val="Compact"/>
        <w:numPr>
          <w:ilvl w:val="0"/>
          <w:numId w:val="4"/>
        </w:numPr>
        <w:rPr>
          <w:lang w:eastAsia="zh-CN"/>
        </w:rPr>
      </w:pPr>
      <w:r>
        <w:rPr>
          <w:lang w:eastAsia="zh-CN"/>
        </w:rPr>
        <w:t>一般股票基金，债券基金及混合基金；</w:t>
      </w:r>
    </w:p>
    <w:p w:rsidR="00DD511D" w:rsidRDefault="00DE2D8B">
      <w:pPr>
        <w:pStyle w:val="Compact"/>
        <w:numPr>
          <w:ilvl w:val="0"/>
          <w:numId w:val="4"/>
        </w:numPr>
      </w:pPr>
      <w:r>
        <w:t>非上市指数基金；</w:t>
      </w:r>
    </w:p>
    <w:p w:rsidR="00DD511D" w:rsidRDefault="00DE2D8B">
      <w:pPr>
        <w:pStyle w:val="Compact"/>
        <w:numPr>
          <w:ilvl w:val="0"/>
          <w:numId w:val="4"/>
        </w:numPr>
        <w:rPr>
          <w:lang w:eastAsia="zh-CN"/>
        </w:rPr>
      </w:pPr>
      <w:r>
        <w:rPr>
          <w:lang w:eastAsia="zh-CN"/>
        </w:rPr>
        <w:t>被动管理的指数跟踪交易所交易基金，</w:t>
      </w:r>
      <w:r>
        <w:rPr>
          <w:lang w:eastAsia="zh-CN"/>
        </w:rPr>
        <w:t>包括实物黄金交易所交易基金；及</w:t>
      </w:r>
    </w:p>
    <w:p w:rsidR="00DD511D" w:rsidRDefault="00DE2D8B">
      <w:pPr>
        <w:pStyle w:val="Compact"/>
        <w:numPr>
          <w:ilvl w:val="0"/>
          <w:numId w:val="4"/>
        </w:numPr>
        <w:rPr>
          <w:lang w:eastAsia="zh-CN"/>
        </w:rPr>
      </w:pPr>
      <w:r>
        <w:rPr>
          <w:lang w:eastAsia="zh-CN"/>
        </w:rPr>
        <w:t>联接基金，其中相关基金本身不属联接基金，而属于以上第</w:t>
      </w:r>
      <w:r>
        <w:rPr>
          <w:lang w:eastAsia="zh-CN"/>
        </w:rPr>
        <w:t>(i)</w:t>
      </w:r>
      <w:r>
        <w:rPr>
          <w:lang w:eastAsia="zh-CN"/>
        </w:rPr>
        <w:t>，</w:t>
      </w:r>
      <w:r>
        <w:rPr>
          <w:lang w:eastAsia="zh-CN"/>
        </w:rPr>
        <w:t>(ii)</w:t>
      </w:r>
      <w:r>
        <w:rPr>
          <w:lang w:eastAsia="zh-CN"/>
        </w:rPr>
        <w:t>及</w:t>
      </w:r>
      <w:r>
        <w:rPr>
          <w:lang w:eastAsia="zh-CN"/>
        </w:rPr>
        <w:t>(iii)</w:t>
      </w:r>
      <w:r>
        <w:rPr>
          <w:lang w:eastAsia="zh-CN"/>
        </w:rPr>
        <w:t>段范畴内的基金，并遵从《证监会通函》或者《泰国证交会通函》规定；</w:t>
      </w:r>
    </w:p>
    <w:p w:rsidR="00DD511D" w:rsidRDefault="00DE2D8B">
      <w:pPr>
        <w:pStyle w:val="FirstParagraph"/>
        <w:rPr>
          <w:lang w:eastAsia="zh-CN"/>
        </w:rPr>
      </w:pPr>
      <w:r>
        <w:rPr>
          <w:lang w:eastAsia="zh-CN"/>
        </w:rPr>
        <w:t>证监会及泰国证交会可能考虑拓展该基金互认安排的范畴以致在将来涵盖其他类别的基金。</w:t>
      </w:r>
    </w:p>
    <w:p w:rsidR="00DD511D" w:rsidRDefault="00DE2D8B">
      <w:pPr>
        <w:pStyle w:val="BodyText"/>
        <w:rPr>
          <w:lang w:eastAsia="zh-CN"/>
        </w:rPr>
      </w:pPr>
      <w:r>
        <w:rPr>
          <w:lang w:eastAsia="zh-CN"/>
        </w:rPr>
        <w:t>寻求证监会（或者泰国证交会）授权的管理公司须向证监会（或者泰国证交会）表示有关基金属于哪个类别的合资格基金。泰国担保基金（或者香港担保基金）亦须分别遵从《证监会通函》及《泰国证交会通函》附录</w:t>
      </w:r>
      <w:r>
        <w:rPr>
          <w:lang w:eastAsia="zh-CN"/>
        </w:rPr>
        <w:t>A</w:t>
      </w:r>
      <w:r>
        <w:rPr>
          <w:lang w:eastAsia="zh-CN"/>
        </w:rPr>
        <w:t>及附录</w:t>
      </w:r>
      <w:r>
        <w:rPr>
          <w:lang w:eastAsia="zh-CN"/>
        </w:rPr>
        <w:t>B</w:t>
      </w:r>
      <w:r>
        <w:rPr>
          <w:lang w:eastAsia="zh-CN"/>
        </w:rPr>
        <w:t>中载列的规定。</w:t>
      </w:r>
    </w:p>
    <w:p w:rsidR="00DD511D" w:rsidRDefault="00DE2D8B">
      <w:pPr>
        <w:pStyle w:val="BodyText"/>
        <w:rPr>
          <w:lang w:eastAsia="zh-CN"/>
        </w:rPr>
      </w:pPr>
      <w:r>
        <w:rPr>
          <w:lang w:eastAsia="zh-CN"/>
        </w:rPr>
        <w:t>香港担保基金及泰国担保基金的规定</w:t>
      </w:r>
    </w:p>
    <w:p w:rsidR="00DD511D" w:rsidRDefault="00DE2D8B">
      <w:pPr>
        <w:pStyle w:val="BodyText"/>
        <w:rPr>
          <w:lang w:eastAsia="zh-CN"/>
        </w:rPr>
      </w:pPr>
      <w:r>
        <w:rPr>
          <w:lang w:eastAsia="zh-CN"/>
        </w:rPr>
        <w:t>1</w:t>
      </w:r>
      <w:r>
        <w:rPr>
          <w:lang w:eastAsia="zh-CN"/>
        </w:rPr>
        <w:t xml:space="preserve">. </w:t>
      </w:r>
      <w:r>
        <w:rPr>
          <w:lang w:eastAsia="zh-CN"/>
        </w:rPr>
        <w:t>香港及泰国的基金代表</w:t>
      </w:r>
    </w:p>
    <w:p w:rsidR="00DD511D" w:rsidRDefault="00DE2D8B">
      <w:pPr>
        <w:pStyle w:val="BodyText"/>
        <w:rPr>
          <w:lang w:eastAsia="zh-CN"/>
        </w:rPr>
      </w:pPr>
      <w:r>
        <w:rPr>
          <w:lang w:eastAsia="zh-CN"/>
        </w:rPr>
        <w:t>每只泰国担保基金（或者香港担保基金）均须在另一司法权区委任一家公司代表其行事。</w:t>
      </w:r>
    </w:p>
    <w:p w:rsidR="00DD511D" w:rsidRDefault="00DE2D8B">
      <w:pPr>
        <w:pStyle w:val="BodyText"/>
        <w:rPr>
          <w:lang w:eastAsia="zh-CN"/>
        </w:rPr>
      </w:pPr>
      <w:r>
        <w:rPr>
          <w:lang w:eastAsia="zh-CN"/>
        </w:rPr>
        <w:t xml:space="preserve">2. </w:t>
      </w:r>
      <w:r>
        <w:rPr>
          <w:lang w:eastAsia="zh-CN"/>
        </w:rPr>
        <w:t>营运及持续规定</w:t>
      </w:r>
    </w:p>
    <w:p w:rsidR="00DD511D" w:rsidRDefault="00DE2D8B">
      <w:pPr>
        <w:pStyle w:val="BodyText"/>
        <w:rPr>
          <w:lang w:eastAsia="zh-CN"/>
        </w:rPr>
      </w:pPr>
      <w:r>
        <w:rPr>
          <w:lang w:eastAsia="zh-CN"/>
        </w:rPr>
        <w:t>注册地司法权区监管</w:t>
      </w:r>
    </w:p>
    <w:p w:rsidR="00DD511D" w:rsidRDefault="00DE2D8B">
      <w:pPr>
        <w:pStyle w:val="BodyText"/>
        <w:rPr>
          <w:lang w:eastAsia="zh-CN"/>
        </w:rPr>
      </w:pPr>
      <w:r>
        <w:rPr>
          <w:lang w:eastAsia="zh-CN"/>
        </w:rPr>
        <w:t>泰国担保基金（或者香港担保基金）须就在其注册地司法权区向公众发售单位持续获得其国内监管机构核准。该基金的管理公司亦须持续处于获其国内发牌机构（由泰国的证交会推荐的财政部及香港的证监会）发牌的状态。该基金及其管理公司均须受其国内尽管机构的持续规管及监管。</w:t>
      </w:r>
    </w:p>
    <w:p w:rsidR="00DD511D" w:rsidRDefault="00DE2D8B">
      <w:pPr>
        <w:pStyle w:val="BodyText"/>
        <w:rPr>
          <w:lang w:eastAsia="zh-CN"/>
        </w:rPr>
      </w:pPr>
      <w:r>
        <w:rPr>
          <w:lang w:eastAsia="zh-CN"/>
        </w:rPr>
        <w:t>香港法庭及泰国法庭的管辖</w:t>
      </w:r>
    </w:p>
    <w:p w:rsidR="00DD511D" w:rsidRDefault="00DE2D8B">
      <w:pPr>
        <w:pStyle w:val="BodyText"/>
        <w:rPr>
          <w:lang w:eastAsia="zh-CN"/>
        </w:rPr>
      </w:pPr>
      <w:r>
        <w:rPr>
          <w:lang w:eastAsia="zh-CN"/>
        </w:rPr>
        <w:t>根据该基金互认安排获授权在香港分销的泰国担保基金的管理公司须确保及促使其分销活动确保香港投资者能够就该只基金及其管理公司在香港法庭采取行动。类似地，获授权在泰国分销的香港担保基金的管理公司须确保及促使其分销活动确保泰国投资者能够针对该只基金及其管理公司在泰国法庭采取行动。</w:t>
      </w:r>
    </w:p>
    <w:p w:rsidR="00DD511D" w:rsidRDefault="00DE2D8B">
      <w:pPr>
        <w:pStyle w:val="BodyText"/>
        <w:rPr>
          <w:lang w:eastAsia="zh-CN"/>
        </w:rPr>
      </w:pPr>
      <w:r>
        <w:rPr>
          <w:lang w:eastAsia="zh-CN"/>
        </w:rPr>
        <w:t>泰国担保基金及香港担保基金的变更</w:t>
      </w:r>
    </w:p>
    <w:p w:rsidR="00DD511D" w:rsidRDefault="00DE2D8B">
      <w:pPr>
        <w:pStyle w:val="BodyText"/>
        <w:rPr>
          <w:lang w:eastAsia="zh-CN"/>
        </w:rPr>
      </w:pPr>
      <w:r>
        <w:rPr>
          <w:lang w:eastAsia="zh-CN"/>
        </w:rPr>
        <w:t>不得对泰国或者香港担保基金作出会致使其不再符合《证监会通函》附录</w:t>
      </w:r>
      <w:r>
        <w:rPr>
          <w:lang w:eastAsia="zh-CN"/>
        </w:rPr>
        <w:t>B</w:t>
      </w:r>
      <w:r>
        <w:rPr>
          <w:lang w:eastAsia="zh-CN"/>
        </w:rPr>
        <w:t>或者《泰国证交会通函》中载列资格规定的任何变更。如注册地司法权区监管机构知悉发生该等变更，应尽快通知另一司法权区的对应监管机构。</w:t>
      </w:r>
    </w:p>
    <w:p w:rsidR="00DD511D" w:rsidRDefault="00DE2D8B">
      <w:pPr>
        <w:pStyle w:val="BodyText"/>
        <w:rPr>
          <w:lang w:eastAsia="zh-CN"/>
        </w:rPr>
      </w:pPr>
      <w:r>
        <w:rPr>
          <w:lang w:eastAsia="zh-CN"/>
        </w:rPr>
        <w:t>泰国担保</w:t>
      </w:r>
      <w:r>
        <w:rPr>
          <w:lang w:eastAsia="zh-CN"/>
        </w:rPr>
        <w:t>基金（或者香港担保基金）须根据适用国内法例法规及其章程文件的条文进行变更。泰国担保基金（或者香港担保基金）的任何变更均不得违反适用的国内法例法规或者《泰国证交会通函》或《证监会通函》（如适用）中载列的规定。</w:t>
      </w:r>
    </w:p>
    <w:p w:rsidR="00DD511D" w:rsidRDefault="00DE2D8B">
      <w:pPr>
        <w:pStyle w:val="BodyText"/>
        <w:rPr>
          <w:lang w:eastAsia="zh-CN"/>
        </w:rPr>
      </w:pPr>
      <w:r>
        <w:rPr>
          <w:lang w:eastAsia="zh-CN"/>
        </w:rPr>
        <w:t>仅影响外国投资者的变更以及对与该等变更相关联的发售文件进行的修订须根据两个司法权区相关法例法规的规定作出。</w:t>
      </w:r>
    </w:p>
    <w:p w:rsidR="00DD511D" w:rsidRDefault="00DE2D8B">
      <w:pPr>
        <w:pStyle w:val="BodyText"/>
        <w:rPr>
          <w:lang w:eastAsia="zh-CN"/>
        </w:rPr>
      </w:pPr>
      <w:r>
        <w:rPr>
          <w:lang w:eastAsia="zh-CN"/>
        </w:rPr>
        <w:t>管理公司须确保另一司法权区的监管机构尽快（无论如何须在该国内监管机构收到或者核准之日起一周内）获知悉国内监管机构收到或者核准的任何变更。</w:t>
      </w:r>
    </w:p>
    <w:p w:rsidR="00DD511D" w:rsidRDefault="00DE2D8B">
      <w:pPr>
        <w:pStyle w:val="BodyText"/>
        <w:rPr>
          <w:lang w:eastAsia="zh-CN"/>
        </w:rPr>
      </w:pPr>
      <w:r>
        <w:rPr>
          <w:lang w:eastAsia="zh-CN"/>
        </w:rPr>
        <w:t>国内监管机构将向其外国对应机构确认泰国担保基金（或者香港担保基金）将：</w:t>
      </w:r>
    </w:p>
    <w:p w:rsidR="00DD511D" w:rsidRDefault="00DE2D8B">
      <w:pPr>
        <w:pStyle w:val="Compact"/>
        <w:numPr>
          <w:ilvl w:val="0"/>
          <w:numId w:val="5"/>
        </w:numPr>
        <w:rPr>
          <w:lang w:eastAsia="zh-CN"/>
        </w:rPr>
      </w:pPr>
      <w:r>
        <w:rPr>
          <w:lang w:eastAsia="zh-CN"/>
        </w:rPr>
        <w:t>透过持有人许可进行变更；</w:t>
      </w:r>
    </w:p>
    <w:p w:rsidR="00DD511D" w:rsidRDefault="00DE2D8B">
      <w:pPr>
        <w:pStyle w:val="Compact"/>
        <w:numPr>
          <w:ilvl w:val="0"/>
          <w:numId w:val="5"/>
        </w:numPr>
        <w:rPr>
          <w:lang w:eastAsia="zh-CN"/>
        </w:rPr>
      </w:pPr>
      <w:r>
        <w:rPr>
          <w:lang w:eastAsia="zh-CN"/>
        </w:rPr>
        <w:lastRenderedPageBreak/>
        <w:t>变更受托人（或者保管人）；及</w:t>
      </w:r>
    </w:p>
    <w:p w:rsidR="00DD511D" w:rsidRDefault="00DE2D8B">
      <w:pPr>
        <w:pStyle w:val="Compact"/>
        <w:numPr>
          <w:ilvl w:val="0"/>
          <w:numId w:val="5"/>
        </w:numPr>
        <w:rPr>
          <w:lang w:eastAsia="zh-CN"/>
        </w:rPr>
      </w:pPr>
      <w:r>
        <w:rPr>
          <w:lang w:eastAsia="zh-CN"/>
        </w:rPr>
        <w:t>变更投资获转授权代表，</w:t>
      </w:r>
    </w:p>
    <w:p w:rsidR="00DD511D" w:rsidRDefault="00DE2D8B">
      <w:pPr>
        <w:pStyle w:val="FirstParagraph"/>
        <w:rPr>
          <w:lang w:eastAsia="zh-CN"/>
        </w:rPr>
      </w:pPr>
      <w:r>
        <w:rPr>
          <w:lang w:eastAsia="zh-CN"/>
        </w:rPr>
        <w:t>以继续符合相关通函附录</w:t>
      </w:r>
      <w:r>
        <w:rPr>
          <w:lang w:eastAsia="zh-CN"/>
        </w:rPr>
        <w:t>B</w:t>
      </w:r>
      <w:r>
        <w:rPr>
          <w:lang w:eastAsia="zh-CN"/>
        </w:rPr>
        <w:t>中载列的资格规定。</w:t>
      </w:r>
    </w:p>
    <w:p w:rsidR="00DD511D" w:rsidRDefault="00DE2D8B">
      <w:pPr>
        <w:pStyle w:val="BodyText"/>
        <w:rPr>
          <w:lang w:eastAsia="zh-CN"/>
        </w:rPr>
      </w:pPr>
      <w:r>
        <w:rPr>
          <w:lang w:eastAsia="zh-CN"/>
        </w:rPr>
        <w:t>相关基金管理公司须将泰国担保基金（或者香港担保基金）的任何变更同时通知两个司法权区的投资者。</w:t>
      </w:r>
    </w:p>
    <w:p w:rsidR="00DD511D" w:rsidRDefault="00DE2D8B">
      <w:pPr>
        <w:pStyle w:val="BodyText"/>
        <w:rPr>
          <w:lang w:eastAsia="zh-CN"/>
        </w:rPr>
      </w:pPr>
      <w:r>
        <w:rPr>
          <w:lang w:eastAsia="zh-CN"/>
        </w:rPr>
        <w:t>违反香港或者泰国规定</w:t>
      </w:r>
    </w:p>
    <w:p w:rsidR="00DD511D" w:rsidRDefault="00DE2D8B">
      <w:pPr>
        <w:pStyle w:val="BodyText"/>
        <w:rPr>
          <w:lang w:eastAsia="zh-CN"/>
        </w:rPr>
      </w:pPr>
      <w:r>
        <w:rPr>
          <w:lang w:eastAsia="zh-CN"/>
        </w:rPr>
        <w:t>如存在对国内法律法规或者《泰国证交会通函》或《证监会通函》规定的实质违反，基金经理须同时通知泰国证交会及证监会并立即修正有关违规行为。</w:t>
      </w:r>
    </w:p>
    <w:p w:rsidR="00DD511D" w:rsidRDefault="00DE2D8B">
      <w:pPr>
        <w:pStyle w:val="BodyText"/>
        <w:rPr>
          <w:lang w:eastAsia="zh-CN"/>
        </w:rPr>
      </w:pPr>
      <w:r>
        <w:rPr>
          <w:lang w:eastAsia="zh-CN"/>
        </w:rPr>
        <w:t>如在获得泰国证交会或者证监会授权之后，香港担保基金或者泰国担保基</w:t>
      </w:r>
      <w:r>
        <w:rPr>
          <w:lang w:eastAsia="zh-CN"/>
        </w:rPr>
        <w:t>金不再符合相关通函中载列的规定，则基金经理须立即通知相关司法权区的监管机构。该基金的单位或者股份不得再向另一司法权区的散户投资者发售且管理公司不得再接纳该司法权区的投资者的认购，但是该司法权区的监管机构事先同意的情况除外。</w:t>
      </w:r>
    </w:p>
    <w:p w:rsidR="00DD511D" w:rsidRDefault="00DE2D8B">
      <w:pPr>
        <w:pStyle w:val="BodyText"/>
        <w:rPr>
          <w:lang w:eastAsia="zh-CN"/>
        </w:rPr>
      </w:pPr>
      <w:r>
        <w:rPr>
          <w:lang w:eastAsia="zh-CN"/>
        </w:rPr>
        <w:t>停止发售香港管理基金</w:t>
      </w:r>
    </w:p>
    <w:p w:rsidR="00DD511D" w:rsidRDefault="00DE2D8B">
      <w:pPr>
        <w:pStyle w:val="BodyText"/>
        <w:rPr>
          <w:lang w:eastAsia="zh-CN"/>
        </w:rPr>
      </w:pPr>
      <w:r>
        <w:rPr>
          <w:lang w:eastAsia="zh-CN"/>
        </w:rPr>
        <w:t>泰国证交会批准香港担保基金后，如其基金管理公司不再希望向泰国散户投资者售卖该基金单位或者股份，须根据相关泰国法例法规通知泰国证交会及泰国投资者其暂停发售的意图。</w:t>
      </w:r>
    </w:p>
    <w:p w:rsidR="00DD511D" w:rsidRDefault="00DE2D8B">
      <w:pPr>
        <w:pStyle w:val="BodyText"/>
        <w:rPr>
          <w:lang w:eastAsia="zh-CN"/>
        </w:rPr>
      </w:pPr>
      <w:r>
        <w:rPr>
          <w:lang w:eastAsia="zh-CN"/>
        </w:rPr>
        <w:t>证监会授权撤回</w:t>
      </w:r>
    </w:p>
    <w:p w:rsidR="00DD511D" w:rsidRDefault="00DE2D8B">
      <w:pPr>
        <w:pStyle w:val="BodyText"/>
        <w:rPr>
          <w:lang w:eastAsia="zh-CN"/>
        </w:rPr>
      </w:pPr>
      <w:r>
        <w:rPr>
          <w:lang w:eastAsia="zh-CN"/>
        </w:rPr>
        <w:t>证监会授权泰国担保基金后，如其基金管理公司不再希望维持该只基金的授权，须申请撤回证监会对</w:t>
      </w:r>
      <w:r>
        <w:rPr>
          <w:lang w:eastAsia="zh-CN"/>
        </w:rPr>
        <w:t>该只基金的授权，并根据相关香港法例法规通知香港投资者其不打算维持该项授权的意图。</w:t>
      </w:r>
    </w:p>
    <w:p w:rsidR="00DD511D" w:rsidRDefault="00DE2D8B">
      <w:pPr>
        <w:pStyle w:val="BodyText"/>
        <w:rPr>
          <w:lang w:eastAsia="zh-CN"/>
        </w:rPr>
      </w:pPr>
      <w:r>
        <w:rPr>
          <w:lang w:eastAsia="zh-CN"/>
        </w:rPr>
        <w:t xml:space="preserve">3. </w:t>
      </w:r>
      <w:r>
        <w:rPr>
          <w:lang w:eastAsia="zh-CN"/>
        </w:rPr>
        <w:t>售卖</w:t>
      </w:r>
      <w:r>
        <w:rPr>
          <w:lang w:eastAsia="zh-CN"/>
        </w:rPr>
        <w:t>/</w:t>
      </w:r>
      <w:r>
        <w:rPr>
          <w:lang w:eastAsia="zh-CN"/>
        </w:rPr>
        <w:t>分销，基金发行文件，持续披露及广告宣传</w:t>
      </w:r>
    </w:p>
    <w:p w:rsidR="00DD511D" w:rsidRDefault="00DE2D8B">
      <w:pPr>
        <w:pStyle w:val="BodyText"/>
        <w:rPr>
          <w:lang w:eastAsia="zh-CN"/>
        </w:rPr>
      </w:pPr>
      <w:r>
        <w:rPr>
          <w:lang w:eastAsia="zh-CN"/>
        </w:rPr>
        <w:t>在香港及泰国售卖及分销基金</w:t>
      </w:r>
    </w:p>
    <w:p w:rsidR="00DD511D" w:rsidRDefault="00DE2D8B">
      <w:pPr>
        <w:pStyle w:val="BodyText"/>
        <w:rPr>
          <w:lang w:eastAsia="zh-CN"/>
        </w:rPr>
      </w:pPr>
      <w:r>
        <w:rPr>
          <w:lang w:eastAsia="zh-CN"/>
        </w:rPr>
        <w:t>在另一个司法权区售卖及分销泰国担保基金（或者香港担保基金）的单位须透过获该司法权区监管机构发牌或者注册的中介人进行，且须遵从与售卖及分销基金单位（或股份）相关联的法例法规。</w:t>
      </w:r>
    </w:p>
    <w:p w:rsidR="00DD511D" w:rsidRDefault="00DE2D8B">
      <w:pPr>
        <w:pStyle w:val="BodyText"/>
        <w:rPr>
          <w:lang w:eastAsia="zh-CN"/>
        </w:rPr>
      </w:pPr>
      <w:r>
        <w:rPr>
          <w:lang w:eastAsia="zh-CN"/>
        </w:rPr>
        <w:t>香港担保基金及泰国担保基金的发行文件</w:t>
      </w:r>
    </w:p>
    <w:p w:rsidR="00DD511D" w:rsidRDefault="00DE2D8B">
      <w:pPr>
        <w:pStyle w:val="BodyText"/>
        <w:rPr>
          <w:lang w:eastAsia="zh-CN"/>
        </w:rPr>
      </w:pPr>
      <w:r>
        <w:rPr>
          <w:lang w:eastAsia="zh-CN"/>
        </w:rPr>
        <w:t>与泰国担保基金及香港担保基金相关联的资料的披露须完整，准确，公平，清晰及有效。</w:t>
      </w:r>
    </w:p>
    <w:p w:rsidR="00DD511D" w:rsidRDefault="00DE2D8B">
      <w:pPr>
        <w:pStyle w:val="BodyText"/>
        <w:rPr>
          <w:lang w:eastAsia="zh-CN"/>
        </w:rPr>
      </w:pPr>
      <w:r>
        <w:rPr>
          <w:lang w:eastAsia="zh-CN"/>
        </w:rPr>
        <w:t>泰国担保基金（或者香港担保基金）的发行文件须为最新版本并包含必要资料使得投资者能够在充分知悉的情况下就向其建议的投资作出判断。</w:t>
      </w:r>
    </w:p>
    <w:p w:rsidR="00DD511D" w:rsidRDefault="00DE2D8B">
      <w:pPr>
        <w:pStyle w:val="BodyText"/>
        <w:rPr>
          <w:lang w:eastAsia="zh-CN"/>
        </w:rPr>
      </w:pPr>
      <w:r>
        <w:rPr>
          <w:lang w:eastAsia="zh-CN"/>
        </w:rPr>
        <w:t>泰国担保基金（或者香港担保基金）可使用国内监管机构核准的招股章程。某些事宜（例如文件类型，内容，格式，更新频次以及更新程序）须遵从适用的国内法例法规以及该基金的章程文件的条文。该国内核准的招股章程可透过一份担保文件进行补充，以符合另一司法权区适用的披露规定。该招股章程须披露可能对另一司法权区投资者产生实质影响的所有资料。发行文件以及外国担保文件不得包含任何与国内监管机构核准的发行文</w:t>
      </w:r>
      <w:r>
        <w:rPr>
          <w:lang w:eastAsia="zh-CN"/>
        </w:rPr>
        <w:t>件不一致的资料以及</w:t>
      </w:r>
      <w:r>
        <w:rPr>
          <w:lang w:eastAsia="zh-CN"/>
        </w:rPr>
        <w:t>/</w:t>
      </w:r>
      <w:r>
        <w:rPr>
          <w:lang w:eastAsia="zh-CN"/>
        </w:rPr>
        <w:t>或任何关于该基金的不准确或者具误导性的资料。</w:t>
      </w:r>
    </w:p>
    <w:p w:rsidR="00DD511D" w:rsidRDefault="00DE2D8B">
      <w:pPr>
        <w:pStyle w:val="BodyText"/>
        <w:rPr>
          <w:lang w:eastAsia="zh-CN"/>
        </w:rPr>
      </w:pPr>
      <w:r>
        <w:rPr>
          <w:lang w:eastAsia="zh-CN"/>
        </w:rPr>
        <w:t>基金管理公司须采取合理步骤及措施确保任何更新的发行文件及其变更同时向泰国及香港投资者披露。</w:t>
      </w:r>
    </w:p>
    <w:p w:rsidR="00DD511D" w:rsidRDefault="00DE2D8B">
      <w:pPr>
        <w:pStyle w:val="BodyText"/>
        <w:rPr>
          <w:lang w:eastAsia="zh-CN"/>
        </w:rPr>
      </w:pPr>
      <w:r>
        <w:rPr>
          <w:lang w:eastAsia="zh-CN"/>
        </w:rPr>
        <w:t>香港及泰国的基金广告宣传</w:t>
      </w:r>
    </w:p>
    <w:p w:rsidR="00DD511D" w:rsidRDefault="00DE2D8B">
      <w:pPr>
        <w:pStyle w:val="BodyText"/>
        <w:rPr>
          <w:lang w:eastAsia="zh-CN"/>
        </w:rPr>
      </w:pPr>
      <w:r>
        <w:rPr>
          <w:lang w:eastAsia="zh-CN"/>
        </w:rPr>
        <w:lastRenderedPageBreak/>
        <w:t>与在香港发售的泰国担保基金相关联的所有广告宣传均须遵从香港法例法规，包括（尤其）证监会的《适用于根据产品守则获认可的集体投资计划的广告宣传指引》。</w:t>
      </w:r>
      <w:hyperlink w:anchor="footnote-8693-4">
        <w:r>
          <w:rPr>
            <w:vertAlign w:val="superscript"/>
            <w:lang w:eastAsia="zh-CN"/>
          </w:rPr>
          <w:t>4</w:t>
        </w:r>
      </w:hyperlink>
    </w:p>
    <w:p w:rsidR="00DD511D" w:rsidRDefault="00DE2D8B">
      <w:pPr>
        <w:pStyle w:val="BodyText"/>
        <w:rPr>
          <w:lang w:eastAsia="zh-CN"/>
        </w:rPr>
      </w:pPr>
      <w:r>
        <w:rPr>
          <w:lang w:eastAsia="zh-CN"/>
        </w:rPr>
        <w:t>与在泰国发售的香港担保基金相关联的所有广告宣传均须遵从相关泰国法例法规，包括（尤其）《证券公司广告宣传</w:t>
      </w:r>
      <w:r>
        <w:rPr>
          <w:lang w:eastAsia="zh-CN"/>
        </w:rPr>
        <w:t>及推销细则》。</w:t>
      </w:r>
    </w:p>
    <w:p w:rsidR="00DD511D" w:rsidRDefault="00DE2D8B">
      <w:pPr>
        <w:pStyle w:val="BodyText"/>
        <w:rPr>
          <w:lang w:eastAsia="zh-CN"/>
        </w:rPr>
      </w:pPr>
      <w:r>
        <w:rPr>
          <w:lang w:eastAsia="zh-CN"/>
        </w:rPr>
        <w:t>向香港及泰国投资者进行持续披露</w:t>
      </w:r>
    </w:p>
    <w:p w:rsidR="00DD511D" w:rsidRDefault="00DE2D8B">
      <w:pPr>
        <w:pStyle w:val="BodyText"/>
        <w:rPr>
          <w:lang w:eastAsia="zh-CN"/>
        </w:rPr>
      </w:pPr>
      <w:r>
        <w:rPr>
          <w:lang w:eastAsia="zh-CN"/>
        </w:rPr>
        <w:t>基金管理公司亦须采取合理步骤及措施确保同时向泰国及香港投资者披露与担保基金（例如定期财务报告，通知及公告）相关的资料（考虑到时区及公众假日，在合理切实可行范围内）。如暂停买卖，基金管理公司须立即通知另一司法权区的法定机构。泰国担保基金及香港担保基金须分别遵从《证监会通函》及《泰国证交会通函》附录</w:t>
      </w:r>
      <w:r>
        <w:rPr>
          <w:lang w:eastAsia="zh-CN"/>
        </w:rPr>
        <w:t>A</w:t>
      </w:r>
      <w:r>
        <w:rPr>
          <w:lang w:eastAsia="zh-CN"/>
        </w:rPr>
        <w:t>中载列的规定。担保基金亦须持续披露可能对另一司法权区投资者产生实质影响的任何其他资料。</w:t>
      </w:r>
    </w:p>
    <w:p w:rsidR="00DD511D" w:rsidRDefault="00DE2D8B">
      <w:pPr>
        <w:pStyle w:val="BodyText"/>
        <w:rPr>
          <w:lang w:eastAsia="zh-CN"/>
        </w:rPr>
      </w:pPr>
      <w:r>
        <w:rPr>
          <w:lang w:eastAsia="zh-CN"/>
        </w:rPr>
        <w:t>语言</w:t>
      </w:r>
    </w:p>
    <w:p w:rsidR="00DD511D" w:rsidRDefault="00DE2D8B">
      <w:pPr>
        <w:pStyle w:val="BodyText"/>
        <w:rPr>
          <w:lang w:eastAsia="zh-CN"/>
        </w:rPr>
      </w:pPr>
      <w:r>
        <w:rPr>
          <w:lang w:eastAsia="zh-CN"/>
        </w:rPr>
        <w:t>泰国担保基金的发行文件及向其香港投资者发送的通知均须以中英文双语提供。不</w:t>
      </w:r>
      <w:r>
        <w:rPr>
          <w:lang w:eastAsia="zh-CN"/>
        </w:rPr>
        <w:t>过，泰国担保基金的章程文件及财务报告均可以英文或者中文提供。</w:t>
      </w:r>
    </w:p>
    <w:p w:rsidR="00DD511D" w:rsidRDefault="00DE2D8B">
      <w:pPr>
        <w:pStyle w:val="BodyText"/>
        <w:rPr>
          <w:lang w:eastAsia="zh-CN"/>
        </w:rPr>
      </w:pPr>
      <w:r>
        <w:rPr>
          <w:lang w:eastAsia="zh-CN"/>
        </w:rPr>
        <w:t>香港担保基金的发行文件及向其泰国投资者发送的通知及其章程文件及财务报告均须以英文或者泰语提供。</w:t>
      </w:r>
    </w:p>
    <w:p w:rsidR="00DD511D" w:rsidRDefault="00DE2D8B" w:rsidP="003502DC">
      <w:pPr>
        <w:pStyle w:val="BodyText"/>
        <w:jc w:val="left"/>
        <w:rPr>
          <w:lang w:eastAsia="zh-CN"/>
        </w:rPr>
      </w:pPr>
      <w:hyperlink w:anchor="footnote-8693-1-backlink">
        <w:r>
          <w:rPr>
            <w:lang w:eastAsia="zh-CN"/>
          </w:rPr>
          <w:t>1</w:t>
        </w:r>
      </w:hyperlink>
      <w:r>
        <w:rPr>
          <w:lang w:eastAsia="zh-CN"/>
        </w:rPr>
        <w:t xml:space="preserve"> </w:t>
      </w:r>
      <w:r>
        <w:rPr>
          <w:lang w:eastAsia="zh-CN"/>
        </w:rPr>
        <w:t>证监会及泰国证交会。</w:t>
      </w:r>
      <w:r>
        <w:rPr>
          <w:lang w:eastAsia="zh-CN"/>
        </w:rPr>
        <w:t>2021</w:t>
      </w:r>
      <w:r>
        <w:rPr>
          <w:lang w:eastAsia="zh-CN"/>
        </w:rPr>
        <w:t>年</w:t>
      </w:r>
      <w:r>
        <w:rPr>
          <w:lang w:eastAsia="zh-CN"/>
        </w:rPr>
        <w:t>1</w:t>
      </w:r>
      <w:r>
        <w:rPr>
          <w:lang w:eastAsia="zh-CN"/>
        </w:rPr>
        <w:t>月。《证监会与泰国证交会关于担保基金及担保管理公司互认以及相关合作的谅解备忘录》。载列于：</w:t>
      </w:r>
      <w:r>
        <w:rPr>
          <w:lang w:eastAsia="zh-CN"/>
        </w:rPr>
        <w:t xml:space="preserve"> </w:t>
      </w:r>
      <w:hyperlink r:id="rId9">
        <w:r>
          <w:rPr>
            <w:lang w:eastAsia="zh-CN"/>
          </w:rPr>
          <w:t>https://www.sfc.hk/-/media/EN/files/ER/MOU/MoU-and-Appendices_20210120_Thai.pdf</w:t>
        </w:r>
      </w:hyperlink>
    </w:p>
    <w:p w:rsidR="00DD511D" w:rsidRDefault="00DE2D8B" w:rsidP="003502DC">
      <w:pPr>
        <w:pStyle w:val="BodyText"/>
        <w:jc w:val="left"/>
        <w:rPr>
          <w:lang w:eastAsia="zh-CN"/>
        </w:rPr>
      </w:pPr>
      <w:hyperlink w:anchor="footnote-8693-2-backlink">
        <w:r>
          <w:rPr>
            <w:lang w:eastAsia="zh-CN"/>
          </w:rPr>
          <w:t>2</w:t>
        </w:r>
      </w:hyperlink>
      <w:r>
        <w:rPr>
          <w:lang w:eastAsia="zh-CN"/>
        </w:rPr>
        <w:t xml:space="preserve"> </w:t>
      </w:r>
      <w:r>
        <w:rPr>
          <w:lang w:eastAsia="zh-CN"/>
        </w:rPr>
        <w:t>泰国证交会。</w:t>
      </w:r>
      <w:r>
        <w:rPr>
          <w:lang w:eastAsia="zh-CN"/>
        </w:rPr>
        <w:t>2021</w:t>
      </w:r>
      <w:r>
        <w:rPr>
          <w:lang w:eastAsia="zh-CN"/>
        </w:rPr>
        <w:t>年</w:t>
      </w:r>
      <w:r>
        <w:rPr>
          <w:lang w:eastAsia="zh-CN"/>
        </w:rPr>
        <w:t>1</w:t>
      </w:r>
      <w:r>
        <w:rPr>
          <w:lang w:eastAsia="zh-CN"/>
        </w:rPr>
        <w:t>月。《香港与泰国基金互认》。载列于：</w:t>
      </w:r>
      <w:r>
        <w:rPr>
          <w:lang w:eastAsia="zh-CN"/>
        </w:rPr>
        <w:t xml:space="preserve"> </w:t>
      </w:r>
      <w:hyperlink r:id="rId10">
        <w:r>
          <w:rPr>
            <w:lang w:eastAsia="zh-CN"/>
          </w:rPr>
          <w:t>https://www.sec.or.th/TH/Documents/LawsandRegulations/MRF/HK-TH-MRF_SEC-Circular.pdf</w:t>
        </w:r>
      </w:hyperlink>
    </w:p>
    <w:p w:rsidR="00DD511D" w:rsidRDefault="00DE2D8B" w:rsidP="003502DC">
      <w:pPr>
        <w:pStyle w:val="BodyText"/>
        <w:jc w:val="left"/>
        <w:rPr>
          <w:lang w:eastAsia="zh-CN"/>
        </w:rPr>
      </w:pPr>
      <w:hyperlink w:anchor="footnote-8693-3-backlink">
        <w:r>
          <w:rPr>
            <w:lang w:eastAsia="zh-CN"/>
          </w:rPr>
          <w:t>3</w:t>
        </w:r>
      </w:hyperlink>
      <w:r>
        <w:rPr>
          <w:lang w:eastAsia="zh-CN"/>
        </w:rPr>
        <w:t xml:space="preserve"> </w:t>
      </w:r>
      <w:r>
        <w:rPr>
          <w:lang w:eastAsia="zh-CN"/>
        </w:rPr>
        <w:t>证监会。</w:t>
      </w:r>
      <w:r>
        <w:rPr>
          <w:lang w:eastAsia="zh-CN"/>
        </w:rPr>
        <w:t>2021</w:t>
      </w:r>
      <w:r>
        <w:rPr>
          <w:lang w:eastAsia="zh-CN"/>
        </w:rPr>
        <w:t>年</w:t>
      </w:r>
      <w:r>
        <w:rPr>
          <w:lang w:eastAsia="zh-CN"/>
        </w:rPr>
        <w:t>1</w:t>
      </w:r>
      <w:r>
        <w:rPr>
          <w:lang w:eastAsia="zh-CN"/>
        </w:rPr>
        <w:t>月。《有关泰国与香港基金互认的通函》。载列于：</w:t>
      </w:r>
      <w:hyperlink r:id="rId11">
        <w:r>
          <w:rPr>
            <w:lang w:eastAsia="zh-CN"/>
          </w:rPr>
          <w:t>https://apps.sfc.hk/edistributionWeb/gateway/TC/circular/doc?refNo=21EC1</w:t>
        </w:r>
      </w:hyperlink>
      <w:bookmarkStart w:id="0" w:name="_GoBack"/>
      <w:bookmarkEnd w:id="0"/>
    </w:p>
    <w:p w:rsidR="00DD511D" w:rsidRDefault="00DE2D8B" w:rsidP="003502DC">
      <w:pPr>
        <w:pStyle w:val="BodyText"/>
        <w:jc w:val="left"/>
        <w:rPr>
          <w:lang w:eastAsia="zh-CN"/>
        </w:rPr>
      </w:pPr>
      <w:hyperlink w:anchor="footnote-8693-4-backlink">
        <w:r>
          <w:rPr>
            <w:lang w:eastAsia="zh-CN"/>
          </w:rPr>
          <w:t>4</w:t>
        </w:r>
      </w:hyperlink>
      <w:r>
        <w:rPr>
          <w:lang w:eastAsia="zh-CN"/>
        </w:rPr>
        <w:t xml:space="preserve"> </w:t>
      </w:r>
      <w:r>
        <w:rPr>
          <w:lang w:eastAsia="zh-CN"/>
        </w:rPr>
        <w:t>证监会。</w:t>
      </w:r>
      <w:r>
        <w:rPr>
          <w:lang w:eastAsia="zh-CN"/>
        </w:rPr>
        <w:t>2013</w:t>
      </w:r>
      <w:r>
        <w:rPr>
          <w:lang w:eastAsia="zh-CN"/>
        </w:rPr>
        <w:t>年</w:t>
      </w:r>
      <w:r>
        <w:rPr>
          <w:lang w:eastAsia="zh-CN"/>
        </w:rPr>
        <w:t>4</w:t>
      </w:r>
      <w:r>
        <w:rPr>
          <w:lang w:eastAsia="zh-CN"/>
        </w:rPr>
        <w:t>月。《适用于根据产品守则获认可的集体投资计划的广告宣传指引》。载列于：</w:t>
      </w:r>
      <w:hyperlink r:id="rId12">
        <w:r>
          <w:rPr>
            <w:lang w:eastAsia="zh-CN"/>
          </w:rPr>
          <w:t>https://www.sfc.hk/-/media/TC/assets/components/codes/files-current/zh-hant/guidelines/advertising-guidelines-applicable-to-collective-investment-schemes/Advertising-Guidelines--Applicable-to-Collective-Investment-Schemes-Authorized-under-</w:t>
        </w:r>
        <w:r>
          <w:rPr>
            <w:lang w:eastAsia="zh-CN"/>
          </w:rPr>
          <w:t>the-Product-Cod.pdf</w:t>
        </w:r>
      </w:hyperlink>
    </w:p>
    <w:p w:rsidR="00DD511D" w:rsidRDefault="00DE2D8B">
      <w:pPr>
        <w:pStyle w:val="DisclaimerBold"/>
        <w:rPr>
          <w:lang w:eastAsia="zh-CN"/>
        </w:rPr>
      </w:pPr>
      <w:r>
        <w:rPr>
          <w:lang w:eastAsia="zh-CN"/>
        </w:rPr>
        <w:t>此法讯仅为提供相关资料信息之用，其内容并</w:t>
      </w:r>
    </w:p>
    <w:p w:rsidR="00DD511D" w:rsidRDefault="00DE2D8B">
      <w:pPr>
        <w:pStyle w:val="Disclaimer"/>
        <w:rPr>
          <w:lang w:eastAsia="zh-CN"/>
        </w:rPr>
      </w:pPr>
      <w:r>
        <w:rPr>
          <w:lang w:eastAsia="zh-CN"/>
        </w:rPr>
        <w:t>不构成法律建议及个案的法律分析。</w:t>
      </w:r>
    </w:p>
    <w:p w:rsidR="00DD511D" w:rsidRDefault="00DE2D8B">
      <w:pPr>
        <w:pStyle w:val="Disclaimer"/>
        <w:rPr>
          <w:lang w:eastAsia="zh-CN"/>
        </w:rPr>
      </w:pPr>
      <w:r>
        <w:rPr>
          <w:lang w:eastAsia="zh-CN"/>
        </w:rPr>
        <w:t>此法讯的发送并不是为了在易周律师行与用户或浏览者之间建立一种律师与客户之关系。</w:t>
      </w:r>
    </w:p>
    <w:p w:rsidR="00DD511D" w:rsidRDefault="00DE2D8B">
      <w:pPr>
        <w:pStyle w:val="Disclaimer"/>
        <w:rPr>
          <w:lang w:eastAsia="zh-CN"/>
        </w:rPr>
      </w:pPr>
      <w:r>
        <w:rPr>
          <w:lang w:eastAsia="zh-CN"/>
        </w:rPr>
        <w:t>易周律师行并不对可从互联网获得的任何第三方内容负责。</w:t>
      </w:r>
    </w:p>
    <w:p w:rsidR="00DD511D" w:rsidRDefault="00DE2D8B">
      <w:pPr>
        <w:pStyle w:val="Disclaimer"/>
        <w:rPr>
          <w:lang w:eastAsia="zh-CN"/>
        </w:rPr>
      </w:pPr>
      <w:r>
        <w:rPr>
          <w:lang w:eastAsia="zh-CN"/>
        </w:rPr>
        <w:t>如你不希望再收到易周法讯，请发送电邮至</w:t>
      </w:r>
      <w:r>
        <w:rPr>
          <w:lang w:eastAsia="zh-CN"/>
        </w:rPr>
        <w:t xml:space="preserve">  </w:t>
      </w:r>
      <w:hyperlink r:id="rId13">
        <w:r>
          <w:rPr>
            <w:lang w:eastAsia="zh-CN"/>
          </w:rPr>
          <w:t>unsubscribe@charlto</w:t>
        </w:r>
        <w:r>
          <w:rPr>
            <w:lang w:eastAsia="zh-CN"/>
          </w:rPr>
          <w:t>nslaw.com</w:t>
        </w:r>
      </w:hyperlink>
    </w:p>
    <w:p w:rsidR="00DD511D" w:rsidRDefault="00DE2D8B">
      <w:pPr>
        <w:pStyle w:val="BlackStrips"/>
      </w:pPr>
      <w:r>
        <w:t xml:space="preserve">Charltons - </w:t>
      </w:r>
      <w:r>
        <w:t>香港法律</w:t>
      </w:r>
      <w:r>
        <w:t xml:space="preserve"> - 2021</w:t>
      </w:r>
      <w:r>
        <w:t>年</w:t>
      </w:r>
      <w:r>
        <w:t>11</w:t>
      </w:r>
      <w:r>
        <w:t>月</w:t>
      </w:r>
      <w:r>
        <w:t>26</w:t>
      </w:r>
      <w:r>
        <w:t>日</w:t>
      </w:r>
    </w:p>
    <w:sectPr w:rsidR="00DD511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D8B" w:rsidRDefault="00DE2D8B">
      <w:pPr>
        <w:spacing w:after="0"/>
      </w:pPr>
      <w:r>
        <w:separator/>
      </w:r>
    </w:p>
  </w:endnote>
  <w:endnote w:type="continuationSeparator" w:id="0">
    <w:p w:rsidR="00DE2D8B" w:rsidRDefault="00DE2D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D8B" w:rsidRDefault="00DE2D8B">
      <w:r>
        <w:separator/>
      </w:r>
    </w:p>
  </w:footnote>
  <w:footnote w:type="continuationSeparator" w:id="0">
    <w:p w:rsidR="00DE2D8B" w:rsidRDefault="00DE2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F52ACF5A"/>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FAD6AE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C824977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3502DC"/>
    <w:rsid w:val="004E29B3"/>
    <w:rsid w:val="00590D07"/>
    <w:rsid w:val="00784D58"/>
    <w:rsid w:val="008D6863"/>
    <w:rsid w:val="00B86B75"/>
    <w:rsid w:val="00BC48D5"/>
    <w:rsid w:val="00C36279"/>
    <w:rsid w:val="00DD511D"/>
    <w:rsid w:val="00DE2D8B"/>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F1237-A9BA-4B76-9A90-E7C38F23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TC/Regulatory-functions/Products/List-of-publicly-offered-investment-products/Mutual-recognition-of-funds-arrangements"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xiang-gang-yu-tai-guo-ji-jin-hu-ren-an-pai-de-shi-shi" TargetMode="External"/><Relationship Id="rId12" Type="http://schemas.openxmlformats.org/officeDocument/2006/relationships/hyperlink" Target="https://www.sfc.hk/-/media/TC/assets/components/codes/files-current/zh-hant/guidelines/advertising-guidelines-applicable-to-collective-investment-schemes/Advertising-Guidelines--Applicable-to-Collective-Investment-Schemes-Authorized-under-the-Product-C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gateway/TC/circular/doc?refNo=21EC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ec.or.th/TH/Documents/LawsandRegulations/MRF/HK-TH-MRF_SEC-Circular.pdf" TargetMode="External"/><Relationship Id="rId4" Type="http://schemas.openxmlformats.org/officeDocument/2006/relationships/webSettings" Target="webSettings.xml"/><Relationship Id="rId9" Type="http://schemas.openxmlformats.org/officeDocument/2006/relationships/hyperlink" Target="https://www.sfc.hk/-/media/EN/files/ER/MOU/MoU-and-Appendices_20210120_Thai.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895</Words>
  <Characters>5105</Characters>
  <Application>Microsoft Office Word</Application>
  <DocSecurity>0</DocSecurity>
  <Lines>42</Lines>
  <Paragraphs>11</Paragraphs>
  <ScaleCrop>false</ScaleCrop>
  <Company>Charltons</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2021-11-26T07:11:00Z</dcterms:created>
  <dcterms:modified xsi:type="dcterms:W3CDTF">2021-11-26T07:19:00Z</dcterms:modified>
</cp:coreProperties>
</file>