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74" w:rsidRDefault="009808DB">
      <w:pPr>
        <w:pStyle w:val="BlackStrips"/>
      </w:pPr>
      <w:r>
        <w:t xml:space="preserve">Charltons - </w:t>
      </w:r>
      <w:r>
        <w:t>香港法律</w:t>
      </w:r>
      <w:r>
        <w:t xml:space="preserve"> - 2021</w:t>
      </w:r>
      <w:r>
        <w:t>年</w:t>
      </w:r>
      <w:r>
        <w:t>12</w:t>
      </w:r>
      <w:r>
        <w:t>月</w:t>
      </w:r>
      <w:r>
        <w:t>1</w:t>
      </w:r>
      <w:r>
        <w:t>日</w:t>
      </w:r>
    </w:p>
    <w:p w:rsidR="00C45474" w:rsidRDefault="009808DB">
      <w:pPr>
        <w:pStyle w:val="ReadOnline"/>
        <w:rPr>
          <w:lang w:eastAsia="zh-CN"/>
        </w:rPr>
      </w:pPr>
      <w:hyperlink r:id="rId7">
        <w:r>
          <w:rPr>
            <w:lang w:eastAsia="zh-CN"/>
          </w:rPr>
          <w:t>online version</w:t>
        </w:r>
      </w:hyperlink>
    </w:p>
    <w:p w:rsidR="00C45474" w:rsidRDefault="009808DB">
      <w:pPr>
        <w:pStyle w:val="Title"/>
        <w:rPr>
          <w:lang w:eastAsia="zh-CN"/>
        </w:rPr>
      </w:pPr>
      <w:r>
        <w:rPr>
          <w:lang w:eastAsia="zh-CN"/>
        </w:rPr>
        <w:t>香港证监会将于</w:t>
      </w:r>
      <w:r>
        <w:rPr>
          <w:lang w:eastAsia="zh-CN"/>
        </w:rPr>
        <w:t>2022</w:t>
      </w:r>
      <w:r>
        <w:rPr>
          <w:lang w:eastAsia="zh-CN"/>
        </w:rPr>
        <w:t>年</w:t>
      </w:r>
      <w:r>
        <w:rPr>
          <w:lang w:eastAsia="zh-CN"/>
        </w:rPr>
        <w:t>1</w:t>
      </w:r>
      <w:r>
        <w:rPr>
          <w:lang w:eastAsia="zh-CN"/>
        </w:rPr>
        <w:t>月</w:t>
      </w:r>
      <w:r>
        <w:rPr>
          <w:lang w:eastAsia="zh-CN"/>
        </w:rPr>
        <w:t>1</w:t>
      </w:r>
      <w:r>
        <w:rPr>
          <w:lang w:eastAsia="zh-CN"/>
        </w:rPr>
        <w:t>日起提高持牌中介人及个人的胜任能力标准</w:t>
      </w:r>
    </w:p>
    <w:p w:rsidR="00C45474" w:rsidRDefault="009808DB">
      <w:pPr>
        <w:pStyle w:val="FirstParagraph"/>
        <w:rPr>
          <w:lang w:eastAsia="zh-CN"/>
        </w:rPr>
      </w:pPr>
      <w:r>
        <w:rPr>
          <w:lang w:eastAsia="zh-CN"/>
        </w:rPr>
        <w:t>2021</w:t>
      </w:r>
      <w:r>
        <w:rPr>
          <w:lang w:eastAsia="zh-CN"/>
        </w:rPr>
        <w:t>年</w:t>
      </w:r>
      <w:r>
        <w:rPr>
          <w:lang w:eastAsia="zh-CN"/>
        </w:rPr>
        <w:t>06</w:t>
      </w:r>
      <w:r>
        <w:rPr>
          <w:lang w:eastAsia="zh-CN"/>
        </w:rPr>
        <w:t>月</w:t>
      </w:r>
      <w:r>
        <w:rPr>
          <w:lang w:eastAsia="zh-CN"/>
        </w:rPr>
        <w:t>18</w:t>
      </w:r>
      <w:r>
        <w:rPr>
          <w:lang w:eastAsia="zh-CN"/>
        </w:rPr>
        <w:t>日，证券及期货事务监察委员会（</w:t>
      </w:r>
      <w:r>
        <w:rPr>
          <w:b/>
          <w:lang w:eastAsia="zh-CN"/>
        </w:rPr>
        <w:t>证监会</w:t>
      </w:r>
      <w:r>
        <w:rPr>
          <w:lang w:eastAsia="zh-CN"/>
        </w:rPr>
        <w:t>）刊登了其《有关建议优化适用于中介人及个人从业人员的胜任能力框架的咨询总结》</w:t>
      </w:r>
      <w:hyperlink w:anchor="footnote-8693-1">
        <w:r>
          <w:rPr>
            <w:vertAlign w:val="superscript"/>
            <w:lang w:eastAsia="zh-CN"/>
          </w:rPr>
          <w:t>1</w:t>
        </w:r>
      </w:hyperlink>
      <w:r>
        <w:rPr>
          <w:lang w:eastAsia="zh-CN"/>
        </w:rPr>
        <w:t>（</w:t>
      </w:r>
      <w:r>
        <w:rPr>
          <w:b/>
          <w:lang w:eastAsia="zh-CN"/>
        </w:rPr>
        <w:t>咨询总结</w:t>
      </w:r>
      <w:r>
        <w:rPr>
          <w:lang w:eastAsia="zh-CN"/>
        </w:rPr>
        <w:t>）。该《咨询总结》是为回应证监会在</w:t>
      </w:r>
      <w:r>
        <w:rPr>
          <w:lang w:eastAsia="zh-CN"/>
        </w:rPr>
        <w:t>2020</w:t>
      </w:r>
      <w:r>
        <w:rPr>
          <w:lang w:eastAsia="zh-CN"/>
        </w:rPr>
        <w:t>年</w:t>
      </w:r>
      <w:r>
        <w:rPr>
          <w:lang w:eastAsia="zh-CN"/>
        </w:rPr>
        <w:t>12</w:t>
      </w:r>
      <w:r>
        <w:rPr>
          <w:lang w:eastAsia="zh-CN"/>
        </w:rPr>
        <w:t>月发布的咨询文件</w:t>
      </w:r>
      <w:hyperlink w:anchor="footnote-8693-2">
        <w:r>
          <w:rPr>
            <w:vertAlign w:val="superscript"/>
            <w:lang w:eastAsia="zh-CN"/>
          </w:rPr>
          <w:t>2</w:t>
        </w:r>
      </w:hyperlink>
      <w:r>
        <w:rPr>
          <w:lang w:eastAsia="zh-CN"/>
        </w:rPr>
        <w:t>（</w:t>
      </w:r>
      <w:r>
        <w:rPr>
          <w:b/>
          <w:lang w:eastAsia="zh-CN"/>
        </w:rPr>
        <w:t>咨询文件</w:t>
      </w:r>
      <w:r>
        <w:rPr>
          <w:lang w:eastAsia="zh-CN"/>
        </w:rPr>
        <w:t>）中提出的建议而作出，旨在更新牌照申请人入行要求及个人从业人员的持续胜</w:t>
      </w:r>
      <w:r>
        <w:rPr>
          <w:lang w:eastAsia="zh-CN"/>
        </w:rPr>
        <w:t>任能力标准。该等变更适用于获证监会持牌法团的负责人员及持牌代表，以及由香港金融管理局（</w:t>
      </w:r>
      <w:r>
        <w:rPr>
          <w:b/>
          <w:lang w:eastAsia="zh-CN"/>
        </w:rPr>
        <w:t>金管局</w:t>
      </w:r>
      <w:r>
        <w:rPr>
          <w:lang w:eastAsia="zh-CN"/>
        </w:rPr>
        <w:t>）注册的认可机构的主管人员及相关个人。有关该份《咨询文件》的详细摘要，请参阅本所法讯《证监会就持牌中介人及个人胜任能力规定的变更进行咨询》。</w:t>
      </w:r>
      <w:hyperlink w:anchor="footnote-8693-3">
        <w:r>
          <w:rPr>
            <w:vertAlign w:val="superscript"/>
            <w:lang w:eastAsia="zh-CN"/>
          </w:rPr>
          <w:t>3</w:t>
        </w:r>
      </w:hyperlink>
    </w:p>
    <w:p w:rsidR="00C45474" w:rsidRDefault="009808DB">
      <w:pPr>
        <w:pStyle w:val="BodyText"/>
        <w:rPr>
          <w:lang w:eastAsia="zh-CN"/>
        </w:rPr>
      </w:pPr>
      <w:r>
        <w:rPr>
          <w:lang w:eastAsia="zh-CN"/>
        </w:rPr>
        <w:t>该等新规定将于</w:t>
      </w:r>
      <w:r>
        <w:rPr>
          <w:lang w:eastAsia="zh-CN"/>
        </w:rPr>
        <w:t>2022</w:t>
      </w:r>
      <w:r>
        <w:rPr>
          <w:lang w:eastAsia="zh-CN"/>
        </w:rPr>
        <w:t>年</w:t>
      </w:r>
      <w:r>
        <w:rPr>
          <w:lang w:eastAsia="zh-CN"/>
        </w:rPr>
        <w:t>01</w:t>
      </w:r>
      <w:r>
        <w:rPr>
          <w:lang w:eastAsia="zh-CN"/>
        </w:rPr>
        <w:t>月</w:t>
      </w:r>
      <w:r>
        <w:rPr>
          <w:lang w:eastAsia="zh-CN"/>
        </w:rPr>
        <w:t>01</w:t>
      </w:r>
      <w:r>
        <w:rPr>
          <w:lang w:eastAsia="zh-CN"/>
        </w:rPr>
        <w:t>日生效。经修订的《胜任能力的指引》及《持续培训的指引》（</w:t>
      </w:r>
      <w:r>
        <w:rPr>
          <w:b/>
          <w:lang w:eastAsia="zh-CN"/>
        </w:rPr>
        <w:t>持续培训指引</w:t>
      </w:r>
      <w:r>
        <w:rPr>
          <w:lang w:eastAsia="zh-CN"/>
        </w:rPr>
        <w:t>）分别载列于该《咨询总结》的附录</w:t>
      </w:r>
      <w:bookmarkStart w:id="0" w:name="_GoBack"/>
      <w:bookmarkEnd w:id="0"/>
      <w:r>
        <w:rPr>
          <w:lang w:eastAsia="zh-CN"/>
        </w:rPr>
        <w:t>B</w:t>
      </w:r>
      <w:r>
        <w:rPr>
          <w:lang w:eastAsia="zh-CN"/>
        </w:rPr>
        <w:t>及附录</w:t>
      </w:r>
      <w:r>
        <w:rPr>
          <w:lang w:eastAsia="zh-CN"/>
        </w:rPr>
        <w:t>C</w:t>
      </w:r>
      <w:r>
        <w:rPr>
          <w:lang w:eastAsia="zh-CN"/>
        </w:rPr>
        <w:t>中。</w:t>
      </w:r>
    </w:p>
    <w:p w:rsidR="00C45474" w:rsidRDefault="009808DB">
      <w:pPr>
        <w:pStyle w:val="BodyText"/>
        <w:rPr>
          <w:lang w:eastAsia="zh-CN"/>
        </w:rPr>
      </w:pPr>
      <w:r>
        <w:rPr>
          <w:lang w:eastAsia="zh-CN"/>
        </w:rPr>
        <w:t>胜任能力规定的主要变更有：</w:t>
      </w:r>
    </w:p>
    <w:p w:rsidR="00C45474" w:rsidRDefault="009808DB">
      <w:pPr>
        <w:pStyle w:val="Compact"/>
        <w:numPr>
          <w:ilvl w:val="0"/>
          <w:numId w:val="3"/>
        </w:numPr>
        <w:rPr>
          <w:lang w:eastAsia="zh-CN"/>
        </w:rPr>
      </w:pPr>
      <w:r>
        <w:rPr>
          <w:lang w:eastAsia="zh-CN"/>
        </w:rPr>
        <w:t>提高个人牌照申请人的最</w:t>
      </w:r>
      <w:r>
        <w:rPr>
          <w:lang w:eastAsia="zh-CN"/>
        </w:rPr>
        <w:t>低学术资格规定，及认可更广泛的学术资格；</w:t>
      </w:r>
    </w:p>
    <w:p w:rsidR="00C45474" w:rsidRDefault="009808DB">
      <w:pPr>
        <w:pStyle w:val="Compact"/>
        <w:numPr>
          <w:ilvl w:val="0"/>
          <w:numId w:val="3"/>
        </w:numPr>
        <w:rPr>
          <w:lang w:eastAsia="zh-CN"/>
        </w:rPr>
      </w:pPr>
      <w:r>
        <w:rPr>
          <w:lang w:eastAsia="zh-CN"/>
        </w:rPr>
        <w:t>就符合行业资格及监管考试规定给予申请人更多的灵活性；</w:t>
      </w:r>
    </w:p>
    <w:p w:rsidR="00C45474" w:rsidRDefault="009808DB">
      <w:pPr>
        <w:pStyle w:val="Compact"/>
        <w:numPr>
          <w:ilvl w:val="0"/>
          <w:numId w:val="3"/>
        </w:numPr>
        <w:rPr>
          <w:lang w:eastAsia="zh-CN"/>
        </w:rPr>
      </w:pPr>
      <w:r>
        <w:rPr>
          <w:lang w:eastAsia="zh-CN"/>
        </w:rPr>
        <w:t>豁免短期牌照申请人须取得认可行业资格的规定；</w:t>
      </w:r>
    </w:p>
    <w:p w:rsidR="00C45474" w:rsidRDefault="009808DB">
      <w:pPr>
        <w:pStyle w:val="Compact"/>
        <w:numPr>
          <w:ilvl w:val="0"/>
          <w:numId w:val="3"/>
        </w:numPr>
        <w:rPr>
          <w:lang w:eastAsia="zh-CN"/>
        </w:rPr>
      </w:pPr>
      <w:r>
        <w:rPr>
          <w:lang w:eastAsia="zh-CN"/>
        </w:rPr>
        <w:t>就相关行业经验规定加以阐释；</w:t>
      </w:r>
    </w:p>
    <w:p w:rsidR="00C45474" w:rsidRDefault="009808DB">
      <w:pPr>
        <w:pStyle w:val="Compact"/>
        <w:numPr>
          <w:ilvl w:val="0"/>
          <w:numId w:val="3"/>
        </w:numPr>
        <w:rPr>
          <w:lang w:eastAsia="zh-CN"/>
        </w:rPr>
      </w:pPr>
      <w:r>
        <w:rPr>
          <w:lang w:eastAsia="zh-CN"/>
        </w:rPr>
        <w:t>厘清负责人员的管理经验规定；</w:t>
      </w:r>
    </w:p>
    <w:p w:rsidR="00C45474" w:rsidRDefault="009808DB">
      <w:pPr>
        <w:pStyle w:val="Compact"/>
        <w:numPr>
          <w:ilvl w:val="0"/>
          <w:numId w:val="3"/>
        </w:numPr>
        <w:rPr>
          <w:lang w:eastAsia="zh-CN"/>
        </w:rPr>
      </w:pPr>
      <w:r>
        <w:rPr>
          <w:lang w:eastAsia="zh-CN"/>
        </w:rPr>
        <w:t>提高根据新的《收购守则顾问指引》（将载列于《胜任能力的指引）附录</w:t>
      </w:r>
      <w:r>
        <w:rPr>
          <w:lang w:eastAsia="zh-CN"/>
        </w:rPr>
        <w:t>B</w:t>
      </w:r>
      <w:r>
        <w:rPr>
          <w:lang w:eastAsia="zh-CN"/>
        </w:rPr>
        <w:t>中》）就香港《收购守则》相关事宜提供意见的个人的胜任能力要求；</w:t>
      </w:r>
    </w:p>
    <w:p w:rsidR="00C45474" w:rsidRDefault="009808DB">
      <w:pPr>
        <w:pStyle w:val="Compact"/>
        <w:numPr>
          <w:ilvl w:val="0"/>
          <w:numId w:val="3"/>
        </w:numPr>
        <w:rPr>
          <w:lang w:eastAsia="zh-CN"/>
        </w:rPr>
      </w:pPr>
      <w:r>
        <w:rPr>
          <w:lang w:eastAsia="zh-CN"/>
        </w:rPr>
        <w:t>将持续培训规定的基准从「受规管活动胜任能力组别」数量简化为「按个人」；</w:t>
      </w:r>
    </w:p>
    <w:p w:rsidR="00C45474" w:rsidRDefault="009808DB">
      <w:pPr>
        <w:pStyle w:val="Compact"/>
        <w:numPr>
          <w:ilvl w:val="0"/>
          <w:numId w:val="3"/>
        </w:numPr>
        <w:rPr>
          <w:lang w:eastAsia="zh-CN"/>
        </w:rPr>
      </w:pPr>
      <w:r>
        <w:rPr>
          <w:lang w:eastAsia="zh-CN"/>
        </w:rPr>
        <w:t>要求持牌代表及相关个人每个日历年度完成</w:t>
      </w:r>
      <w:r>
        <w:rPr>
          <w:lang w:eastAsia="zh-CN"/>
        </w:rPr>
        <w:t>10</w:t>
      </w:r>
      <w:r>
        <w:rPr>
          <w:lang w:eastAsia="zh-CN"/>
        </w:rPr>
        <w:t>个持续培训时数，负责人员及主管人员每个日历年度完成</w:t>
      </w:r>
      <w:r>
        <w:rPr>
          <w:lang w:eastAsia="zh-CN"/>
        </w:rPr>
        <w:t>12</w:t>
      </w:r>
      <w:r>
        <w:rPr>
          <w:lang w:eastAsia="zh-CN"/>
        </w:rPr>
        <w:t>个持续培训时</w:t>
      </w:r>
      <w:r>
        <w:rPr>
          <w:lang w:eastAsia="zh-CN"/>
        </w:rPr>
        <w:t>数（包括就监管合规完成</w:t>
      </w:r>
      <w:r>
        <w:rPr>
          <w:lang w:eastAsia="zh-CN"/>
        </w:rPr>
        <w:t>2</w:t>
      </w:r>
      <w:r>
        <w:rPr>
          <w:lang w:eastAsia="zh-CN"/>
        </w:rPr>
        <w:t>个持续培训时数）；</w:t>
      </w:r>
    </w:p>
    <w:p w:rsidR="00C45474" w:rsidRDefault="009808DB">
      <w:pPr>
        <w:pStyle w:val="Compact"/>
        <w:numPr>
          <w:ilvl w:val="0"/>
          <w:numId w:val="3"/>
        </w:numPr>
        <w:rPr>
          <w:lang w:eastAsia="zh-CN"/>
        </w:rPr>
      </w:pPr>
      <w:r>
        <w:rPr>
          <w:lang w:eastAsia="zh-CN"/>
        </w:rPr>
        <w:t>要求个人从业人员于每个日历年度中须就与其进行的受规管活动直接相关课题参加至少</w:t>
      </w:r>
      <w:r>
        <w:rPr>
          <w:lang w:eastAsia="zh-CN"/>
        </w:rPr>
        <w:t>5</w:t>
      </w:r>
      <w:r>
        <w:rPr>
          <w:lang w:eastAsia="zh-CN"/>
        </w:rPr>
        <w:t>个持续培训时数。各个日历年度中，从事保荐人工作的人员将须完成</w:t>
      </w:r>
      <w:r>
        <w:rPr>
          <w:lang w:eastAsia="zh-CN"/>
        </w:rPr>
        <w:t>2.5</w:t>
      </w:r>
      <w:r>
        <w:rPr>
          <w:lang w:eastAsia="zh-CN"/>
        </w:rPr>
        <w:t>个与保荐人工作相关的持续培训时数，而从事《收购守则》交易的人士则须修满</w:t>
      </w:r>
      <w:r>
        <w:rPr>
          <w:lang w:eastAsia="zh-CN"/>
        </w:rPr>
        <w:t>2.5</w:t>
      </w:r>
      <w:r>
        <w:rPr>
          <w:lang w:eastAsia="zh-CN"/>
        </w:rPr>
        <w:t>个与《收购守则》相关的持续培训时数；</w:t>
      </w:r>
    </w:p>
    <w:p w:rsidR="00C45474" w:rsidRDefault="009808DB">
      <w:pPr>
        <w:pStyle w:val="Compact"/>
        <w:numPr>
          <w:ilvl w:val="0"/>
          <w:numId w:val="3"/>
        </w:numPr>
        <w:rPr>
          <w:lang w:eastAsia="zh-CN"/>
        </w:rPr>
      </w:pPr>
      <w:r>
        <w:rPr>
          <w:lang w:eastAsia="zh-CN"/>
        </w:rPr>
        <w:t>要求每名个人从业人员在每个日历年度就与职业道德或合规相关的課题至少完成</w:t>
      </w:r>
      <w:r>
        <w:rPr>
          <w:lang w:eastAsia="zh-CN"/>
        </w:rPr>
        <w:t>2</w:t>
      </w:r>
      <w:r>
        <w:rPr>
          <w:lang w:eastAsia="zh-CN"/>
        </w:rPr>
        <w:t>个持续培训时数；</w:t>
      </w:r>
    </w:p>
    <w:p w:rsidR="00C45474" w:rsidRDefault="009808DB">
      <w:pPr>
        <w:pStyle w:val="Compact"/>
        <w:numPr>
          <w:ilvl w:val="0"/>
          <w:numId w:val="3"/>
        </w:numPr>
        <w:rPr>
          <w:lang w:eastAsia="zh-CN"/>
        </w:rPr>
      </w:pPr>
      <w:r>
        <w:rPr>
          <w:lang w:eastAsia="zh-CN"/>
        </w:rPr>
        <w:t>要求每名新的个人从业人员（短期牌照持有人除外）在获发牌后</w:t>
      </w:r>
      <w:r>
        <w:rPr>
          <w:lang w:eastAsia="zh-CN"/>
        </w:rPr>
        <w:t>12</w:t>
      </w:r>
      <w:r>
        <w:rPr>
          <w:lang w:eastAsia="zh-CN"/>
        </w:rPr>
        <w:t>个月内完成有关职业道德的</w:t>
      </w:r>
      <w:r>
        <w:rPr>
          <w:lang w:eastAsia="zh-CN"/>
        </w:rPr>
        <w:t>2</w:t>
      </w:r>
      <w:r>
        <w:rPr>
          <w:lang w:eastAsia="zh-CN"/>
        </w:rPr>
        <w:t>个持续培训时数，此为一项非经常性规</w:t>
      </w:r>
      <w:r>
        <w:rPr>
          <w:lang w:eastAsia="zh-CN"/>
        </w:rPr>
        <w:t>定；及</w:t>
      </w:r>
    </w:p>
    <w:p w:rsidR="00C45474" w:rsidRDefault="009808DB">
      <w:pPr>
        <w:pStyle w:val="Compact"/>
        <w:numPr>
          <w:ilvl w:val="0"/>
          <w:numId w:val="3"/>
        </w:numPr>
        <w:rPr>
          <w:lang w:eastAsia="zh-CN"/>
        </w:rPr>
      </w:pPr>
      <w:r>
        <w:rPr>
          <w:lang w:eastAsia="zh-CN"/>
        </w:rPr>
        <w:t>要求拟从事香港《收购守则》交易的持牌代表及相关个人通过《收购守则》的一项考试（《证券及期货从业员资格考试卷</w:t>
      </w:r>
      <w:r>
        <w:rPr>
          <w:lang w:eastAsia="zh-CN"/>
        </w:rPr>
        <w:t>17</w:t>
      </w:r>
      <w:r>
        <w:rPr>
          <w:lang w:eastAsia="zh-CN"/>
        </w:rPr>
        <w:t>》）。在</w:t>
      </w:r>
      <w:r>
        <w:rPr>
          <w:lang w:eastAsia="zh-CN"/>
        </w:rPr>
        <w:t>2022</w:t>
      </w:r>
      <w:r>
        <w:rPr>
          <w:lang w:eastAsia="zh-CN"/>
        </w:rPr>
        <w:t>年</w:t>
      </w:r>
      <w:r>
        <w:rPr>
          <w:lang w:eastAsia="zh-CN"/>
        </w:rPr>
        <w:t>01</w:t>
      </w:r>
      <w:r>
        <w:rPr>
          <w:lang w:eastAsia="zh-CN"/>
        </w:rPr>
        <w:t>月</w:t>
      </w:r>
      <w:r>
        <w:rPr>
          <w:lang w:eastAsia="zh-CN"/>
        </w:rPr>
        <w:t>01</w:t>
      </w:r>
      <w:r>
        <w:rPr>
          <w:lang w:eastAsia="zh-CN"/>
        </w:rPr>
        <w:t>日之前的</w:t>
      </w:r>
      <w:r>
        <w:rPr>
          <w:lang w:eastAsia="zh-CN"/>
        </w:rPr>
        <w:t>3</w:t>
      </w:r>
      <w:r>
        <w:rPr>
          <w:lang w:eastAsia="zh-CN"/>
        </w:rPr>
        <w:t>年内曾参与一项已完成的收购交易的任何现有第</w:t>
      </w:r>
      <w:r>
        <w:rPr>
          <w:lang w:eastAsia="zh-CN"/>
        </w:rPr>
        <w:t>6</w:t>
      </w:r>
      <w:r>
        <w:rPr>
          <w:lang w:eastAsia="zh-CN"/>
        </w:rPr>
        <w:t>类持牌</w:t>
      </w:r>
      <w:r>
        <w:rPr>
          <w:lang w:eastAsia="zh-CN"/>
        </w:rPr>
        <w:t>/</w:t>
      </w:r>
      <w:r>
        <w:rPr>
          <w:lang w:eastAsia="zh-CN"/>
        </w:rPr>
        <w:t>注册个人可获豁免。</w:t>
      </w:r>
    </w:p>
    <w:p w:rsidR="00C45474" w:rsidRDefault="009808DB">
      <w:pPr>
        <w:pStyle w:val="FirstParagraph"/>
        <w:rPr>
          <w:lang w:eastAsia="zh-CN"/>
        </w:rPr>
      </w:pPr>
      <w:r>
        <w:rPr>
          <w:lang w:eastAsia="zh-CN"/>
        </w:rPr>
        <w:t>就胜任能力规定而言，证监会在该份《咨询总结》中回应的要点有：</w:t>
      </w:r>
    </w:p>
    <w:p w:rsidR="00C45474" w:rsidRDefault="009808DB">
      <w:pPr>
        <w:pStyle w:val="Compact"/>
        <w:numPr>
          <w:ilvl w:val="0"/>
          <w:numId w:val="4"/>
        </w:numPr>
        <w:rPr>
          <w:lang w:eastAsia="zh-CN"/>
        </w:rPr>
      </w:pPr>
      <w:r>
        <w:rPr>
          <w:lang w:eastAsia="zh-CN"/>
        </w:rPr>
        <w:t>证监会同意有条件地认可选择</w:t>
      </w:r>
      <w:r>
        <w:rPr>
          <w:lang w:eastAsia="zh-CN"/>
        </w:rPr>
        <w:t>A</w:t>
      </w:r>
      <w:r>
        <w:rPr>
          <w:lang w:eastAsia="zh-CN"/>
        </w:rPr>
        <w:t>中指定领域的深造文凭或者证书；</w:t>
      </w:r>
    </w:p>
    <w:p w:rsidR="00C45474" w:rsidRDefault="009808DB">
      <w:pPr>
        <w:pStyle w:val="Compact"/>
        <w:numPr>
          <w:ilvl w:val="0"/>
          <w:numId w:val="4"/>
        </w:numPr>
        <w:rPr>
          <w:lang w:eastAsia="zh-CN"/>
        </w:rPr>
      </w:pPr>
      <w:r>
        <w:rPr>
          <w:lang w:eastAsia="zh-CN"/>
        </w:rPr>
        <w:t>证监会厘清在金融行业取得的管理经验将获接纳；</w:t>
      </w:r>
    </w:p>
    <w:p w:rsidR="00C45474" w:rsidRDefault="009808DB">
      <w:pPr>
        <w:pStyle w:val="Compact"/>
        <w:numPr>
          <w:ilvl w:val="0"/>
          <w:numId w:val="4"/>
        </w:numPr>
        <w:rPr>
          <w:lang w:eastAsia="zh-CN"/>
        </w:rPr>
      </w:pPr>
      <w:r>
        <w:rPr>
          <w:lang w:eastAsia="zh-CN"/>
        </w:rPr>
        <w:t>证监会厘清有意以独立行事身份就与《收购守则》相关的事宜提供意见的负责人员或者主管人员须在紧接其申请日期之前拥有连续</w:t>
      </w:r>
      <w:r>
        <w:rPr>
          <w:lang w:eastAsia="zh-CN"/>
        </w:rPr>
        <w:t>5</w:t>
      </w:r>
      <w:r>
        <w:rPr>
          <w:lang w:eastAsia="zh-CN"/>
        </w:rPr>
        <w:t>年的机构融资经验。</w:t>
      </w:r>
    </w:p>
    <w:p w:rsidR="00C45474" w:rsidRDefault="009808DB">
      <w:pPr>
        <w:pStyle w:val="Compact"/>
        <w:numPr>
          <w:ilvl w:val="0"/>
          <w:numId w:val="4"/>
        </w:numPr>
        <w:rPr>
          <w:lang w:eastAsia="zh-CN"/>
        </w:rPr>
      </w:pPr>
      <w:r>
        <w:rPr>
          <w:lang w:eastAsia="zh-CN"/>
        </w:rPr>
        <w:lastRenderedPageBreak/>
        <w:t>就持续培训规定而言，证监会接纳有关意见，将环境，社会及管治事宜纳入为持续培训目的的相关专题内。</w:t>
      </w:r>
    </w:p>
    <w:p w:rsidR="00C45474" w:rsidRDefault="009808DB">
      <w:pPr>
        <w:pStyle w:val="FirstParagraph"/>
        <w:rPr>
          <w:lang w:eastAsia="zh-CN"/>
        </w:rPr>
      </w:pPr>
      <w:r>
        <w:rPr>
          <w:lang w:eastAsia="zh-CN"/>
        </w:rPr>
        <w:t>目前针对持牌代表及负责人员的胜任能力测试</w:t>
      </w:r>
    </w:p>
    <w:p w:rsidR="00C45474" w:rsidRDefault="009808DB">
      <w:pPr>
        <w:pStyle w:val="BodyText"/>
        <w:rPr>
          <w:lang w:eastAsia="zh-CN"/>
        </w:rPr>
      </w:pPr>
      <w:r>
        <w:rPr>
          <w:lang w:eastAsia="zh-CN"/>
        </w:rPr>
        <w:t>就通过针对获证监会持牌代表及负责人员的胜任能力测试而言，目前有</w:t>
      </w:r>
      <w:r>
        <w:rPr>
          <w:lang w:eastAsia="zh-CN"/>
        </w:rPr>
        <w:t>3</w:t>
      </w:r>
      <w:r>
        <w:rPr>
          <w:lang w:eastAsia="zh-CN"/>
        </w:rPr>
        <w:t>种不同选择：</w:t>
      </w:r>
    </w:p>
    <w:p w:rsidR="00C45474" w:rsidRDefault="009808DB">
      <w:pPr>
        <w:pStyle w:val="Compact"/>
        <w:numPr>
          <w:ilvl w:val="0"/>
          <w:numId w:val="5"/>
        </w:numPr>
        <w:rPr>
          <w:lang w:eastAsia="zh-CN"/>
        </w:rPr>
      </w:pPr>
      <w:r>
        <w:rPr>
          <w:lang w:eastAsia="zh-CN"/>
        </w:rPr>
        <w:t>选择</w:t>
      </w:r>
      <w:r>
        <w:rPr>
          <w:lang w:eastAsia="zh-CN"/>
        </w:rPr>
        <w:t>1</w:t>
      </w:r>
      <w:r>
        <w:rPr>
          <w:lang w:eastAsia="zh-CN"/>
        </w:rPr>
        <w:t>针对的是拥有指定领域（即会计，工商管理，经济学，金融财务及法律）的学位，持有在指定领域至少有两门课程取得合格成绩的其他学位或者国际认可专业资格的人士。</w:t>
      </w:r>
    </w:p>
    <w:p w:rsidR="00C45474" w:rsidRDefault="009808DB">
      <w:pPr>
        <w:pStyle w:val="Compact"/>
        <w:numPr>
          <w:ilvl w:val="0"/>
          <w:numId w:val="5"/>
        </w:numPr>
        <w:rPr>
          <w:lang w:eastAsia="zh-CN"/>
        </w:rPr>
      </w:pPr>
      <w:r>
        <w:rPr>
          <w:lang w:eastAsia="zh-CN"/>
        </w:rPr>
        <w:t>选择</w:t>
      </w:r>
      <w:r>
        <w:rPr>
          <w:lang w:eastAsia="zh-CN"/>
        </w:rPr>
        <w:t>2</w:t>
      </w:r>
      <w:r>
        <w:rPr>
          <w:lang w:eastAsia="zh-CN"/>
        </w:rPr>
        <w:t>适用于在香港中学会考取得英文或中文科及数学科合格或以上的成绩或具备同等学历的人员。</w:t>
      </w:r>
    </w:p>
    <w:p w:rsidR="00C45474" w:rsidRDefault="009808DB">
      <w:pPr>
        <w:pStyle w:val="Compact"/>
        <w:numPr>
          <w:ilvl w:val="0"/>
          <w:numId w:val="5"/>
        </w:numPr>
        <w:rPr>
          <w:lang w:eastAsia="zh-CN"/>
        </w:rPr>
      </w:pPr>
      <w:r>
        <w:rPr>
          <w:lang w:eastAsia="zh-CN"/>
        </w:rPr>
        <w:t>选择</w:t>
      </w:r>
      <w:r>
        <w:rPr>
          <w:lang w:eastAsia="zh-CN"/>
        </w:rPr>
        <w:t>3</w:t>
      </w:r>
      <w:r>
        <w:rPr>
          <w:lang w:eastAsia="zh-CN"/>
        </w:rPr>
        <w:t>适用于不具备任何学术资格的人士（包括不能提供证据证明其学术资格的人士）。</w:t>
      </w:r>
    </w:p>
    <w:p w:rsidR="00C45474" w:rsidRDefault="009808DB">
      <w:pPr>
        <w:pStyle w:val="FirstParagraph"/>
        <w:rPr>
          <w:lang w:eastAsia="zh-CN"/>
        </w:rPr>
      </w:pPr>
      <w:r>
        <w:rPr>
          <w:lang w:eastAsia="zh-CN"/>
        </w:rPr>
        <w:t>持牌代表及负责人员胜任能力测试的变更</w:t>
      </w:r>
    </w:p>
    <w:p w:rsidR="00C45474" w:rsidRDefault="009808DB">
      <w:pPr>
        <w:pStyle w:val="BodyText"/>
        <w:rPr>
          <w:lang w:eastAsia="zh-CN"/>
        </w:rPr>
      </w:pPr>
      <w:r>
        <w:rPr>
          <w:lang w:eastAsia="zh-CN"/>
        </w:rPr>
        <w:t xml:space="preserve">1. </w:t>
      </w:r>
      <w:r>
        <w:rPr>
          <w:lang w:eastAsia="zh-CN"/>
        </w:rPr>
        <w:t>提高个人最低学术资格要求，扩大认可学术资格范围</w:t>
      </w:r>
    </w:p>
    <w:p w:rsidR="00C45474" w:rsidRDefault="009808DB">
      <w:pPr>
        <w:pStyle w:val="BodyText"/>
        <w:rPr>
          <w:lang w:eastAsia="zh-CN"/>
        </w:rPr>
      </w:pPr>
      <w:r>
        <w:rPr>
          <w:lang w:eastAsia="zh-CN"/>
        </w:rPr>
        <w:t>将最低学术资格要求提高至在香港中学文凭考试中获得英文或中文科以及数学科</w:t>
      </w:r>
      <w:r>
        <w:rPr>
          <w:lang w:eastAsia="zh-CN"/>
        </w:rPr>
        <w:t>2</w:t>
      </w:r>
      <w:r>
        <w:rPr>
          <w:lang w:eastAsia="zh-CN"/>
        </w:rPr>
        <w:t>级的成绩或同等学历</w:t>
      </w:r>
    </w:p>
    <w:p w:rsidR="00C45474" w:rsidRDefault="009808DB">
      <w:pPr>
        <w:pStyle w:val="BodyText"/>
        <w:rPr>
          <w:lang w:eastAsia="zh-CN"/>
        </w:rPr>
      </w:pPr>
      <w:r>
        <w:rPr>
          <w:lang w:eastAsia="zh-CN"/>
        </w:rPr>
        <w:t>证监会将个人牌照申请人的最低学术资格要求提高至在香港中学文凭考试中获得英文或中文科以及数学科</w:t>
      </w:r>
      <w:r>
        <w:rPr>
          <w:lang w:eastAsia="zh-CN"/>
        </w:rPr>
        <w:t>2</w:t>
      </w:r>
      <w:r>
        <w:rPr>
          <w:lang w:eastAsia="zh-CN"/>
        </w:rPr>
        <w:t>级的成绩或同等学历的建议获得压倒性支持。香港中学文凭考试同等学历包括之前的香港中学会考及可据其入读大学的本地或海外证书或文凭，惟该类证书</w:t>
      </w:r>
      <w:r>
        <w:rPr>
          <w:lang w:eastAsia="zh-CN"/>
        </w:rPr>
        <w:t>/</w:t>
      </w:r>
      <w:r>
        <w:rPr>
          <w:lang w:eastAsia="zh-CN"/>
        </w:rPr>
        <w:t>文凭持有人须取得</w:t>
      </w:r>
      <w:r>
        <w:rPr>
          <w:lang w:eastAsia="zh-CN"/>
        </w:rPr>
        <w:t>英文或中文科以及数学科合格成绩。</w:t>
      </w:r>
    </w:p>
    <w:p w:rsidR="00C45474" w:rsidRDefault="009808DB">
      <w:pPr>
        <w:pStyle w:val="BodyText"/>
        <w:rPr>
          <w:lang w:eastAsia="zh-CN"/>
        </w:rPr>
      </w:pPr>
      <w:r>
        <w:rPr>
          <w:lang w:eastAsia="zh-CN"/>
        </w:rPr>
        <w:t>作为对回应者提出问题的回应，证监会确认：</w:t>
      </w:r>
    </w:p>
    <w:p w:rsidR="00C45474" w:rsidRDefault="009808DB">
      <w:pPr>
        <w:pStyle w:val="Compact"/>
        <w:numPr>
          <w:ilvl w:val="0"/>
          <w:numId w:val="6"/>
        </w:numPr>
        <w:rPr>
          <w:lang w:eastAsia="zh-CN"/>
        </w:rPr>
      </w:pPr>
      <w:r>
        <w:rPr>
          <w:lang w:eastAsia="zh-CN"/>
        </w:rPr>
        <w:t>普通教育文憑普通程度一直获认可为与香港中学会考等同；及</w:t>
      </w:r>
    </w:p>
    <w:p w:rsidR="00C45474" w:rsidRDefault="009808DB">
      <w:pPr>
        <w:pStyle w:val="Compact"/>
        <w:numPr>
          <w:ilvl w:val="0"/>
          <w:numId w:val="6"/>
        </w:numPr>
        <w:rPr>
          <w:lang w:eastAsia="zh-CN"/>
        </w:rPr>
      </w:pPr>
      <w:r>
        <w:rPr>
          <w:lang w:eastAsia="zh-CN"/>
        </w:rPr>
        <w:t>香港中学会考的「合格成绩」应更改为「取得</w:t>
      </w:r>
      <w:r>
        <w:rPr>
          <w:lang w:eastAsia="zh-CN"/>
        </w:rPr>
        <w:t>E</w:t>
      </w:r>
      <w:r>
        <w:rPr>
          <w:lang w:eastAsia="zh-CN"/>
        </w:rPr>
        <w:t>等级或以上成绩」。</w:t>
      </w:r>
    </w:p>
    <w:p w:rsidR="00C45474" w:rsidRDefault="009808DB">
      <w:pPr>
        <w:pStyle w:val="FirstParagraph"/>
        <w:rPr>
          <w:lang w:eastAsia="zh-CN"/>
        </w:rPr>
      </w:pPr>
      <w:r>
        <w:rPr>
          <w:lang w:eastAsia="zh-CN"/>
        </w:rPr>
        <w:t>认可其他学科之学位持有人的学术资格</w:t>
      </w:r>
    </w:p>
    <w:p w:rsidR="00C45474" w:rsidRDefault="009808DB">
      <w:pPr>
        <w:pStyle w:val="BodyText"/>
        <w:rPr>
          <w:lang w:eastAsia="zh-CN"/>
        </w:rPr>
      </w:pPr>
      <w:r>
        <w:rPr>
          <w:lang w:eastAsia="zh-CN"/>
        </w:rPr>
        <w:t>证监会将认可尚未完成指定领域内两门课程的其他学科</w:t>
      </w:r>
      <w:r>
        <w:rPr>
          <w:b/>
          <w:lang w:eastAsia="zh-CN"/>
        </w:rPr>
        <w:t>之</w:t>
      </w:r>
      <w:r>
        <w:rPr>
          <w:lang w:eastAsia="zh-CN"/>
        </w:rPr>
        <w:t>学位持有人的学术资格，前提是其符合某些条件。</w:t>
      </w:r>
    </w:p>
    <w:p w:rsidR="00C45474" w:rsidRDefault="009808DB">
      <w:pPr>
        <w:pStyle w:val="BodyText"/>
        <w:rPr>
          <w:lang w:eastAsia="zh-CN"/>
        </w:rPr>
      </w:pPr>
      <w:r>
        <w:rPr>
          <w:lang w:eastAsia="zh-CN"/>
        </w:rPr>
        <w:t>证监会持牌代表申请人须符合的额外条件是：</w:t>
      </w:r>
    </w:p>
    <w:p w:rsidR="00C45474" w:rsidRDefault="009808DB">
      <w:pPr>
        <w:pStyle w:val="Compact"/>
        <w:numPr>
          <w:ilvl w:val="0"/>
          <w:numId w:val="7"/>
        </w:numPr>
        <w:rPr>
          <w:lang w:eastAsia="zh-CN"/>
        </w:rPr>
      </w:pPr>
      <w:r>
        <w:rPr>
          <w:lang w:eastAsia="zh-CN"/>
        </w:rPr>
        <w:t>在过去</w:t>
      </w:r>
      <w:r>
        <w:rPr>
          <w:lang w:eastAsia="zh-CN"/>
        </w:rPr>
        <w:t>5</w:t>
      </w:r>
      <w:r>
        <w:rPr>
          <w:lang w:eastAsia="zh-CN"/>
        </w:rPr>
        <w:t>年中拥有</w:t>
      </w:r>
      <w:r>
        <w:rPr>
          <w:lang w:eastAsia="zh-CN"/>
        </w:rPr>
        <w:t>2</w:t>
      </w:r>
      <w:r>
        <w:rPr>
          <w:lang w:eastAsia="zh-CN"/>
        </w:rPr>
        <w:t>年相关行业经验；</w:t>
      </w:r>
    </w:p>
    <w:p w:rsidR="00C45474" w:rsidRDefault="009808DB">
      <w:pPr>
        <w:pStyle w:val="Compact"/>
        <w:numPr>
          <w:ilvl w:val="0"/>
          <w:numId w:val="7"/>
        </w:numPr>
        <w:rPr>
          <w:lang w:eastAsia="zh-CN"/>
        </w:rPr>
      </w:pPr>
      <w:r>
        <w:rPr>
          <w:lang w:eastAsia="zh-CN"/>
        </w:rPr>
        <w:t>拥有相关认可行业资格；或</w:t>
      </w:r>
    </w:p>
    <w:p w:rsidR="00C45474" w:rsidRDefault="009808DB">
      <w:pPr>
        <w:pStyle w:val="Compact"/>
        <w:numPr>
          <w:ilvl w:val="0"/>
          <w:numId w:val="7"/>
        </w:numPr>
        <w:rPr>
          <w:lang w:eastAsia="zh-CN"/>
        </w:rPr>
      </w:pPr>
      <w:r>
        <w:rPr>
          <w:lang w:eastAsia="zh-CN"/>
        </w:rPr>
        <w:t>作为一次性规定，于提交每项牌照申请之前的</w:t>
      </w:r>
      <w:r>
        <w:rPr>
          <w:lang w:eastAsia="zh-CN"/>
        </w:rPr>
        <w:t>6</w:t>
      </w:r>
      <w:r>
        <w:rPr>
          <w:lang w:eastAsia="zh-CN"/>
        </w:rPr>
        <w:t>个月内，就其申请的各项受规管活动中均已完成额外</w:t>
      </w:r>
      <w:r>
        <w:rPr>
          <w:lang w:eastAsia="zh-CN"/>
        </w:rPr>
        <w:t>5</w:t>
      </w:r>
      <w:r>
        <w:rPr>
          <w:lang w:eastAsia="zh-CN"/>
        </w:rPr>
        <w:t>个持续培训时数（</w:t>
      </w:r>
      <w:r>
        <w:rPr>
          <w:b/>
          <w:lang w:eastAsia="zh-CN"/>
        </w:rPr>
        <w:t>额外持续培训</w:t>
      </w:r>
      <w:r>
        <w:rPr>
          <w:lang w:eastAsia="zh-CN"/>
        </w:rPr>
        <w:t>）。</w:t>
      </w:r>
    </w:p>
    <w:p w:rsidR="00C45474" w:rsidRDefault="009808DB">
      <w:pPr>
        <w:pStyle w:val="FirstParagraph"/>
        <w:rPr>
          <w:lang w:eastAsia="zh-CN"/>
        </w:rPr>
      </w:pPr>
      <w:r>
        <w:rPr>
          <w:lang w:eastAsia="zh-CN"/>
        </w:rPr>
        <w:t>证监会负责人员申请人须符合的额外条件是：</w:t>
      </w:r>
    </w:p>
    <w:p w:rsidR="00C45474" w:rsidRDefault="009808DB">
      <w:pPr>
        <w:pStyle w:val="Compact"/>
        <w:numPr>
          <w:ilvl w:val="0"/>
          <w:numId w:val="8"/>
        </w:numPr>
        <w:rPr>
          <w:lang w:eastAsia="zh-CN"/>
        </w:rPr>
      </w:pPr>
      <w:r>
        <w:rPr>
          <w:lang w:eastAsia="zh-CN"/>
        </w:rPr>
        <w:t>在过去</w:t>
      </w:r>
      <w:r>
        <w:rPr>
          <w:lang w:eastAsia="zh-CN"/>
        </w:rPr>
        <w:t>6</w:t>
      </w:r>
      <w:r>
        <w:rPr>
          <w:lang w:eastAsia="zh-CN"/>
        </w:rPr>
        <w:t>年中拥有至少</w:t>
      </w:r>
      <w:r>
        <w:rPr>
          <w:lang w:eastAsia="zh-CN"/>
        </w:rPr>
        <w:t>3</w:t>
      </w:r>
      <w:r>
        <w:rPr>
          <w:lang w:eastAsia="zh-CN"/>
        </w:rPr>
        <w:t>年相关行业经验；及</w:t>
      </w:r>
    </w:p>
    <w:p w:rsidR="00C45474" w:rsidRDefault="009808DB">
      <w:pPr>
        <w:pStyle w:val="Compact"/>
        <w:numPr>
          <w:ilvl w:val="0"/>
          <w:numId w:val="8"/>
        </w:numPr>
        <w:rPr>
          <w:lang w:eastAsia="zh-CN"/>
        </w:rPr>
      </w:pPr>
      <w:r>
        <w:rPr>
          <w:lang w:eastAsia="zh-CN"/>
        </w:rPr>
        <w:t>已</w:t>
      </w:r>
      <w:r>
        <w:rPr>
          <w:lang w:eastAsia="zh-CN"/>
        </w:rPr>
        <w:t>(1)</w:t>
      </w:r>
      <w:r>
        <w:rPr>
          <w:lang w:eastAsia="zh-CN"/>
        </w:rPr>
        <w:t>取得相关认可行业资格；或者</w:t>
      </w:r>
      <w:r>
        <w:rPr>
          <w:lang w:eastAsia="zh-CN"/>
        </w:rPr>
        <w:t>(2)</w:t>
      </w:r>
      <w:r>
        <w:rPr>
          <w:lang w:eastAsia="zh-CN"/>
        </w:rPr>
        <w:t>完成额外持续培训。</w:t>
      </w:r>
    </w:p>
    <w:p w:rsidR="00C45474" w:rsidRDefault="009808DB">
      <w:pPr>
        <w:pStyle w:val="FirstParagraph"/>
        <w:rPr>
          <w:lang w:eastAsia="zh-CN"/>
        </w:rPr>
      </w:pPr>
      <w:r>
        <w:rPr>
          <w:lang w:eastAsia="zh-CN"/>
        </w:rPr>
        <w:t>至于完成额外持续培训中将涉及的课题，证监会阐明参加的持续培训须与所申请的受规管活动相关。个人须保留能够证明其曾参加或者已完成持续培训活动的记录，例如课程提供方签发的出席证明以及考试成绩。个人自行作出的证明是不够的。</w:t>
      </w:r>
    </w:p>
    <w:p w:rsidR="00C45474" w:rsidRDefault="009808DB">
      <w:pPr>
        <w:pStyle w:val="BodyText"/>
        <w:rPr>
          <w:lang w:eastAsia="zh-CN"/>
        </w:rPr>
      </w:pPr>
      <w:r>
        <w:rPr>
          <w:lang w:eastAsia="zh-CN"/>
        </w:rPr>
        <w:t>一名回应者提出了认可选择</w:t>
      </w:r>
      <w:r>
        <w:rPr>
          <w:lang w:eastAsia="zh-CN"/>
        </w:rPr>
        <w:t>A</w:t>
      </w:r>
      <w:r>
        <w:rPr>
          <w:lang w:eastAsia="zh-CN"/>
        </w:rPr>
        <w:t>中</w:t>
      </w:r>
      <w:r>
        <w:rPr>
          <w:lang w:eastAsia="zh-CN"/>
        </w:rPr>
        <w:t>深造课程的可能性。在回应中，证监会表示其将在选择</w:t>
      </w:r>
      <w:r>
        <w:rPr>
          <w:lang w:eastAsia="zh-CN"/>
        </w:rPr>
        <w:t>A</w:t>
      </w:r>
      <w:r>
        <w:rPr>
          <w:lang w:eastAsia="zh-CN"/>
        </w:rPr>
        <w:t>中认可指定领域的深造文凭或者证书持有人（或者至少完成两门属指定领域课程的证书持有人），惟该深造文凭或者证书为：</w:t>
      </w:r>
    </w:p>
    <w:p w:rsidR="00C45474" w:rsidRDefault="009808DB">
      <w:pPr>
        <w:pStyle w:val="Compact"/>
        <w:numPr>
          <w:ilvl w:val="0"/>
          <w:numId w:val="9"/>
        </w:numPr>
        <w:rPr>
          <w:lang w:eastAsia="zh-CN"/>
        </w:rPr>
      </w:pPr>
      <w:r>
        <w:rPr>
          <w:lang w:eastAsia="zh-CN"/>
        </w:rPr>
        <w:lastRenderedPageBreak/>
        <w:t>由本地或者海外大学或者其他类似大专院校签发；或</w:t>
      </w:r>
    </w:p>
    <w:p w:rsidR="00C45474" w:rsidRDefault="009808DB">
      <w:pPr>
        <w:pStyle w:val="Compact"/>
        <w:numPr>
          <w:ilvl w:val="0"/>
          <w:numId w:val="9"/>
        </w:numPr>
        <w:rPr>
          <w:lang w:eastAsia="zh-CN"/>
        </w:rPr>
      </w:pPr>
      <w:r>
        <w:rPr>
          <w:lang w:eastAsia="zh-CN"/>
        </w:rPr>
        <w:t>根据香港的资历框架获认可为</w:t>
      </w:r>
      <w:r>
        <w:rPr>
          <w:lang w:eastAsia="zh-CN"/>
        </w:rPr>
        <w:t>6</w:t>
      </w:r>
      <w:r>
        <w:rPr>
          <w:lang w:eastAsia="zh-CN"/>
        </w:rPr>
        <w:t>级或者以上水平。</w:t>
      </w:r>
    </w:p>
    <w:p w:rsidR="00C45474" w:rsidRDefault="009808DB">
      <w:pPr>
        <w:pStyle w:val="FirstParagraph"/>
        <w:rPr>
          <w:lang w:eastAsia="zh-CN"/>
        </w:rPr>
      </w:pPr>
      <w:r>
        <w:rPr>
          <w:lang w:eastAsia="zh-CN"/>
        </w:rPr>
        <w:t>豁免安排</w:t>
      </w:r>
    </w:p>
    <w:p w:rsidR="00C45474" w:rsidRDefault="009808DB">
      <w:pPr>
        <w:pStyle w:val="BodyText"/>
        <w:rPr>
          <w:lang w:eastAsia="zh-CN"/>
        </w:rPr>
      </w:pPr>
      <w:r>
        <w:rPr>
          <w:lang w:eastAsia="zh-CN"/>
        </w:rPr>
        <w:t>证监会将采纳其建议，即给予之前根据选择</w:t>
      </w:r>
      <w:r>
        <w:rPr>
          <w:lang w:eastAsia="zh-CN"/>
        </w:rPr>
        <w:t>3</w:t>
      </w:r>
      <w:r>
        <w:rPr>
          <w:lang w:eastAsia="zh-CN"/>
        </w:rPr>
        <w:t>规定属合资格但是在经修订的《胜任能力的指引》生效后不能达到新的最低学术资格规定的现有及之前的持牌人以及注册人豁免。豁免安排亦将延展至适用于该等个人申请新牌照、增加一项受规管活动或者批准担任证监会负责人员的情</w:t>
      </w:r>
      <w:r>
        <w:rPr>
          <w:lang w:eastAsia="zh-CN"/>
        </w:rPr>
        <w:t>况。如欲符合获豁免新的最低学术资格规定，个人须满足第</w:t>
      </w:r>
      <w:r>
        <w:rPr>
          <w:lang w:eastAsia="zh-CN"/>
        </w:rPr>
        <w:t>4.2.1.3</w:t>
      </w:r>
      <w:r>
        <w:rPr>
          <w:lang w:eastAsia="zh-CN"/>
        </w:rPr>
        <w:t>段（如属负责人员）及第</w:t>
      </w:r>
      <w:r>
        <w:rPr>
          <w:lang w:eastAsia="zh-CN"/>
        </w:rPr>
        <w:t>4.3.1.3</w:t>
      </w:r>
      <w:r>
        <w:rPr>
          <w:lang w:eastAsia="zh-CN"/>
        </w:rPr>
        <w:t>段（如属持牌代表）中指明的其他标准。</w:t>
      </w:r>
    </w:p>
    <w:p w:rsidR="00C45474" w:rsidRDefault="009808DB">
      <w:pPr>
        <w:pStyle w:val="BodyText"/>
        <w:rPr>
          <w:lang w:eastAsia="zh-CN"/>
        </w:rPr>
      </w:pPr>
      <w:r>
        <w:rPr>
          <w:lang w:eastAsia="zh-CN"/>
        </w:rPr>
        <w:t>针对负责人员及主管人员的经修订规定</w:t>
      </w:r>
    </w:p>
    <w:tbl>
      <w:tblPr>
        <w:tblStyle w:val="TableGrid"/>
        <w:tblW w:w="0" w:type="auto"/>
        <w:tblInd w:w="480" w:type="dxa"/>
        <w:tblLook w:val="04A0" w:firstRow="1" w:lastRow="0" w:firstColumn="1" w:lastColumn="0" w:noHBand="0" w:noVBand="1"/>
      </w:tblPr>
      <w:tblGrid>
        <w:gridCol w:w="2371"/>
        <w:gridCol w:w="2403"/>
        <w:gridCol w:w="2545"/>
        <w:gridCol w:w="1222"/>
        <w:gridCol w:w="1373"/>
      </w:tblGrid>
      <w:tr w:rsidR="00B97602" w:rsidRPr="00B827E8" w:rsidTr="00B827E8">
        <w:tc>
          <w:tcPr>
            <w:tcW w:w="2371" w:type="dxa"/>
          </w:tcPr>
          <w:p w:rsidR="00B97602" w:rsidRDefault="00B97602" w:rsidP="00B827E8">
            <w:pPr>
              <w:jc w:val="both"/>
              <w:rPr>
                <w:rFonts w:ascii="Arial" w:hAnsi="Arial" w:cs="Arial"/>
                <w:sz w:val="20"/>
                <w:szCs w:val="20"/>
                <w:lang w:eastAsia="zh-CN"/>
              </w:rPr>
            </w:pPr>
          </w:p>
        </w:tc>
        <w:tc>
          <w:tcPr>
            <w:tcW w:w="2403" w:type="dxa"/>
          </w:tcPr>
          <w:p w:rsidR="00B97602" w:rsidRPr="00B827E8" w:rsidRDefault="00B97602" w:rsidP="00B827E8">
            <w:pPr>
              <w:jc w:val="center"/>
              <w:rPr>
                <w:rFonts w:ascii="Arial" w:eastAsia="PMingLiU" w:hAnsi="Arial" w:cs="Arial"/>
                <w:sz w:val="20"/>
                <w:szCs w:val="20"/>
                <w:lang w:eastAsia="zh-TW"/>
              </w:rPr>
            </w:pPr>
            <w:r>
              <w:rPr>
                <w:rFonts w:ascii="Arial" w:hAnsi="Arial" w:cs="Arial" w:hint="eastAsia"/>
                <w:b/>
                <w:sz w:val="20"/>
                <w:szCs w:val="20"/>
                <w:lang w:eastAsia="zh-CN"/>
              </w:rPr>
              <w:t>选择</w:t>
            </w:r>
            <w:r>
              <w:rPr>
                <w:rFonts w:ascii="Arial" w:eastAsia="PMingLiU" w:hAnsi="Arial" w:cs="Arial" w:hint="eastAsia"/>
                <w:b/>
                <w:sz w:val="20"/>
                <w:szCs w:val="20"/>
                <w:lang w:eastAsia="zh-TW"/>
              </w:rPr>
              <w:t>A</w:t>
            </w:r>
          </w:p>
        </w:tc>
        <w:tc>
          <w:tcPr>
            <w:tcW w:w="2545" w:type="dxa"/>
          </w:tcPr>
          <w:p w:rsidR="00B97602" w:rsidRPr="00B827E8" w:rsidRDefault="00B97602" w:rsidP="00B827E8">
            <w:pPr>
              <w:jc w:val="center"/>
              <w:rPr>
                <w:rFonts w:ascii="Arial" w:eastAsia="PMingLiU" w:hAnsi="Arial" w:cs="Arial"/>
                <w:b/>
                <w:sz w:val="20"/>
                <w:szCs w:val="20"/>
                <w:lang w:eastAsia="zh-TW"/>
              </w:rPr>
            </w:pPr>
            <w:r>
              <w:rPr>
                <w:rFonts w:ascii="Arial" w:hAnsi="Arial" w:cs="Arial" w:hint="eastAsia"/>
                <w:b/>
                <w:sz w:val="20"/>
                <w:szCs w:val="20"/>
                <w:lang w:eastAsia="zh-CN"/>
              </w:rPr>
              <w:t>选择</w:t>
            </w:r>
            <w:r>
              <w:rPr>
                <w:rFonts w:ascii="Arial" w:eastAsia="PMingLiU" w:hAnsi="Arial" w:cs="Arial" w:hint="eastAsia"/>
                <w:b/>
                <w:sz w:val="20"/>
                <w:szCs w:val="20"/>
                <w:lang w:eastAsia="zh-TW"/>
              </w:rPr>
              <w:t>B</w:t>
            </w:r>
          </w:p>
        </w:tc>
        <w:tc>
          <w:tcPr>
            <w:tcW w:w="2595" w:type="dxa"/>
            <w:gridSpan w:val="2"/>
          </w:tcPr>
          <w:p w:rsidR="00B97602" w:rsidRPr="00B827E8" w:rsidRDefault="00B97602" w:rsidP="00B827E8">
            <w:pPr>
              <w:jc w:val="center"/>
              <w:rPr>
                <w:rFonts w:ascii="Arial" w:eastAsia="PMingLiU" w:hAnsi="Arial" w:cs="Arial"/>
                <w:b/>
                <w:sz w:val="20"/>
                <w:szCs w:val="20"/>
                <w:lang w:eastAsia="zh-TW"/>
              </w:rPr>
            </w:pPr>
            <w:r>
              <w:rPr>
                <w:rFonts w:ascii="Arial" w:hAnsi="Arial" w:cs="Arial" w:hint="eastAsia"/>
                <w:b/>
                <w:sz w:val="20"/>
                <w:szCs w:val="20"/>
                <w:lang w:eastAsia="zh-CN"/>
              </w:rPr>
              <w:t>选择</w:t>
            </w:r>
            <w:r>
              <w:rPr>
                <w:rFonts w:ascii="Arial" w:eastAsia="PMingLiU" w:hAnsi="Arial" w:cs="Arial" w:hint="eastAsia"/>
                <w:b/>
                <w:sz w:val="20"/>
                <w:szCs w:val="20"/>
                <w:lang w:eastAsia="zh-TW"/>
              </w:rPr>
              <w:t>C</w:t>
            </w:r>
          </w:p>
        </w:tc>
      </w:tr>
      <w:tr w:rsidR="00B97602" w:rsidRPr="004230E4" w:rsidTr="00B827E8">
        <w:tc>
          <w:tcPr>
            <w:tcW w:w="2371" w:type="dxa"/>
          </w:tcPr>
          <w:p w:rsidR="00B97602" w:rsidRPr="00F04C24" w:rsidRDefault="00B97602" w:rsidP="00B827E8">
            <w:pPr>
              <w:tabs>
                <w:tab w:val="left" w:pos="521"/>
              </w:tabs>
              <w:rPr>
                <w:rFonts w:ascii="Arial" w:hAnsi="Arial" w:cs="Arial"/>
                <w:b/>
                <w:sz w:val="20"/>
                <w:szCs w:val="20"/>
              </w:rPr>
            </w:pPr>
            <w:r>
              <w:rPr>
                <w:rFonts w:ascii="Arial" w:hAnsi="Arial" w:cs="Arial" w:hint="eastAsia"/>
                <w:b/>
                <w:sz w:val="20"/>
                <w:szCs w:val="20"/>
                <w:lang w:eastAsia="zh-CN"/>
              </w:rPr>
              <w:t>学术或者专业资格</w:t>
            </w:r>
          </w:p>
        </w:tc>
        <w:tc>
          <w:tcPr>
            <w:tcW w:w="2403" w:type="dxa"/>
          </w:tcPr>
          <w:p w:rsidR="00B97602" w:rsidRPr="00170D19" w:rsidRDefault="00B97602" w:rsidP="00B827E8">
            <w:pPr>
              <w:jc w:val="both"/>
              <w:rPr>
                <w:rFonts w:ascii="Arial" w:hAnsi="Arial" w:cs="Arial"/>
                <w:sz w:val="20"/>
                <w:szCs w:val="20"/>
                <w:vertAlign w:val="superscript"/>
                <w:lang w:eastAsia="zh-CN"/>
              </w:rPr>
            </w:pPr>
            <w:r>
              <w:rPr>
                <w:rFonts w:ascii="Arial" w:hAnsi="Arial" w:cs="Arial" w:hint="eastAsia"/>
                <w:sz w:val="20"/>
                <w:szCs w:val="20"/>
                <w:lang w:eastAsia="zh-CN"/>
              </w:rPr>
              <w:t>指明领域</w:t>
            </w:r>
            <w:r>
              <w:rPr>
                <w:rFonts w:ascii="Arial" w:hAnsi="Arial" w:cs="Arial"/>
                <w:sz w:val="20"/>
                <w:szCs w:val="20"/>
                <w:vertAlign w:val="superscript"/>
                <w:lang w:eastAsia="zh-CN"/>
              </w:rPr>
              <w:t>2</w:t>
            </w:r>
            <w:r w:rsidRPr="00B827E8">
              <w:rPr>
                <w:rFonts w:ascii="PMingLiU" w:eastAsia="SimSun" w:hAnsi="PMingLiU" w:cs="Arial" w:hint="eastAsia"/>
                <w:sz w:val="20"/>
                <w:szCs w:val="20"/>
                <w:lang w:eastAsia="zh-CN"/>
              </w:rPr>
              <w:t>的</w:t>
            </w:r>
            <w:r>
              <w:rPr>
                <w:rFonts w:ascii="Arial" w:hAnsi="Arial" w:cs="Arial" w:hint="eastAsia"/>
                <w:sz w:val="20"/>
                <w:szCs w:val="20"/>
                <w:lang w:eastAsia="zh-CN"/>
              </w:rPr>
              <w:t>学位</w:t>
            </w:r>
            <w:r>
              <w:rPr>
                <w:rFonts w:ascii="Arial" w:hAnsi="Arial" w:cs="Arial"/>
                <w:sz w:val="20"/>
                <w:szCs w:val="20"/>
                <w:vertAlign w:val="superscript"/>
                <w:lang w:eastAsia="zh-CN"/>
              </w:rPr>
              <w:t>1</w:t>
            </w:r>
            <w:r>
              <w:rPr>
                <w:rFonts w:ascii="Arial" w:hAnsi="Arial" w:cs="Arial" w:hint="eastAsia"/>
                <w:sz w:val="20"/>
                <w:szCs w:val="20"/>
                <w:lang w:eastAsia="zh-CN"/>
              </w:rPr>
              <w:t>；</w:t>
            </w:r>
          </w:p>
          <w:p w:rsidR="00B97602" w:rsidRDefault="00B97602" w:rsidP="00B827E8">
            <w:pPr>
              <w:jc w:val="both"/>
              <w:rPr>
                <w:rFonts w:ascii="Arial" w:hAnsi="Arial" w:cs="Arial"/>
                <w:sz w:val="20"/>
                <w:szCs w:val="20"/>
                <w:lang w:eastAsia="zh-CN"/>
              </w:rPr>
            </w:pPr>
            <w:r>
              <w:rPr>
                <w:rFonts w:ascii="Arial" w:hAnsi="Arial" w:cs="Arial" w:hint="eastAsia"/>
                <w:sz w:val="20"/>
                <w:szCs w:val="20"/>
                <w:lang w:eastAsia="zh-CN"/>
              </w:rPr>
              <w:t>其他学位</w:t>
            </w:r>
            <w:r>
              <w:rPr>
                <w:rFonts w:ascii="Arial" w:hAnsi="Arial" w:cs="Arial"/>
                <w:sz w:val="20"/>
                <w:szCs w:val="20"/>
                <w:vertAlign w:val="superscript"/>
                <w:lang w:eastAsia="zh-CN"/>
              </w:rPr>
              <w:t>1</w:t>
            </w:r>
            <w:r>
              <w:rPr>
                <w:rFonts w:ascii="Arial" w:hAnsi="Arial" w:cs="Arial" w:hint="eastAsia"/>
                <w:sz w:val="20"/>
                <w:szCs w:val="20"/>
                <w:lang w:eastAsia="zh-CN"/>
              </w:rPr>
              <w:t>（至少通过</w:t>
            </w:r>
            <w:r w:rsidRPr="00B827E8">
              <w:rPr>
                <w:rFonts w:ascii="PMingLiU" w:eastAsia="SimSun" w:hAnsi="PMingLiU" w:cs="Arial" w:hint="eastAsia"/>
                <w:sz w:val="20"/>
                <w:szCs w:val="20"/>
                <w:lang w:eastAsia="zh-CN"/>
              </w:rPr>
              <w:t>属</w:t>
            </w:r>
            <w:r>
              <w:rPr>
                <w:rFonts w:ascii="Arial" w:hAnsi="Arial" w:cs="Arial" w:hint="eastAsia"/>
                <w:sz w:val="20"/>
                <w:szCs w:val="20"/>
                <w:lang w:eastAsia="zh-CN"/>
              </w:rPr>
              <w:t>指明领域</w:t>
            </w:r>
            <w:r>
              <w:rPr>
                <w:rFonts w:ascii="Arial" w:hAnsi="Arial" w:cs="Arial"/>
                <w:sz w:val="20"/>
                <w:szCs w:val="20"/>
                <w:vertAlign w:val="superscript"/>
                <w:lang w:eastAsia="zh-CN"/>
              </w:rPr>
              <w:t>2</w:t>
            </w:r>
            <w:r>
              <w:rPr>
                <w:rFonts w:ascii="Arial" w:hAnsi="Arial" w:cs="Arial" w:hint="eastAsia"/>
                <w:sz w:val="20"/>
                <w:szCs w:val="20"/>
                <w:lang w:eastAsia="zh-CN"/>
              </w:rPr>
              <w:t>的</w:t>
            </w:r>
            <w:r>
              <w:rPr>
                <w:rFonts w:ascii="Arial" w:hAnsi="Arial" w:cs="Arial" w:hint="eastAsia"/>
                <w:sz w:val="20"/>
                <w:szCs w:val="20"/>
                <w:lang w:eastAsia="zh-CN"/>
              </w:rPr>
              <w:t>2</w:t>
            </w:r>
            <w:r>
              <w:rPr>
                <w:rFonts w:ascii="Arial" w:hAnsi="Arial" w:cs="Arial" w:hint="eastAsia"/>
                <w:sz w:val="20"/>
                <w:szCs w:val="20"/>
                <w:lang w:eastAsia="zh-CN"/>
              </w:rPr>
              <w:t>门课程）；或</w:t>
            </w:r>
            <w:r>
              <w:rPr>
                <w:rFonts w:ascii="Arial" w:hAnsi="Arial" w:cs="Arial" w:hint="eastAsia"/>
                <w:sz w:val="20"/>
                <w:szCs w:val="20"/>
                <w:lang w:eastAsia="zh-CN"/>
              </w:rPr>
              <w:t xml:space="preserve"> </w:t>
            </w:r>
          </w:p>
          <w:p w:rsidR="00B97602" w:rsidRPr="00A76EBB" w:rsidRDefault="00B97602" w:rsidP="00B827E8">
            <w:pPr>
              <w:jc w:val="both"/>
              <w:rPr>
                <w:rFonts w:ascii="Arial" w:hAnsi="Arial" w:cs="Arial"/>
                <w:sz w:val="20"/>
                <w:szCs w:val="20"/>
                <w:vertAlign w:val="superscript"/>
              </w:rPr>
            </w:pPr>
            <w:r>
              <w:rPr>
                <w:rFonts w:ascii="Arial" w:hAnsi="Arial" w:cs="Arial" w:hint="eastAsia"/>
                <w:sz w:val="20"/>
                <w:szCs w:val="20"/>
                <w:lang w:eastAsia="zh-CN"/>
              </w:rPr>
              <w:t>专业资格</w:t>
            </w:r>
            <w:r>
              <w:rPr>
                <w:rFonts w:ascii="Arial" w:hAnsi="Arial" w:cs="Arial"/>
                <w:sz w:val="20"/>
                <w:szCs w:val="20"/>
                <w:vertAlign w:val="superscript"/>
              </w:rPr>
              <w:t>3</w:t>
            </w:r>
          </w:p>
        </w:tc>
        <w:tc>
          <w:tcPr>
            <w:tcW w:w="2545" w:type="dxa"/>
          </w:tcPr>
          <w:p w:rsidR="00B97602" w:rsidRDefault="00B97602" w:rsidP="00B827E8">
            <w:pPr>
              <w:rPr>
                <w:rFonts w:ascii="Arial" w:hAnsi="Arial" w:cs="Arial"/>
                <w:sz w:val="20"/>
                <w:szCs w:val="20"/>
                <w:lang w:eastAsia="zh-CN"/>
              </w:rPr>
            </w:pPr>
            <w:r>
              <w:rPr>
                <w:rFonts w:ascii="Arial" w:hAnsi="Arial" w:cs="Arial" w:hint="eastAsia"/>
                <w:sz w:val="20"/>
                <w:szCs w:val="20"/>
                <w:lang w:eastAsia="zh-CN"/>
              </w:rPr>
              <w:t>其他学位（</w:t>
            </w:r>
            <w:r w:rsidRPr="00B827E8">
              <w:rPr>
                <w:rFonts w:ascii="PMingLiU" w:eastAsia="SimSun" w:hAnsi="PMingLiU" w:cs="Arial" w:hint="eastAsia"/>
                <w:sz w:val="20"/>
                <w:szCs w:val="20"/>
                <w:lang w:eastAsia="zh-CN"/>
              </w:rPr>
              <w:t>无须</w:t>
            </w:r>
            <w:r>
              <w:rPr>
                <w:rFonts w:ascii="Arial" w:hAnsi="Arial" w:cs="Arial" w:hint="eastAsia"/>
                <w:sz w:val="20"/>
                <w:szCs w:val="20"/>
                <w:lang w:eastAsia="zh-CN"/>
              </w:rPr>
              <w:t>通过</w:t>
            </w:r>
            <w:r w:rsidRPr="00A53058">
              <w:rPr>
                <w:rFonts w:ascii="PMingLiU" w:eastAsia="SimSun" w:hAnsi="PMingLiU" w:cs="Arial" w:hint="eastAsia"/>
                <w:sz w:val="20"/>
                <w:szCs w:val="20"/>
                <w:lang w:eastAsia="zh-CN"/>
              </w:rPr>
              <w:t>属</w:t>
            </w:r>
            <w:r>
              <w:rPr>
                <w:rFonts w:ascii="Arial" w:hAnsi="Arial" w:cs="Arial" w:hint="eastAsia"/>
                <w:sz w:val="20"/>
                <w:szCs w:val="20"/>
                <w:lang w:eastAsia="zh-CN"/>
              </w:rPr>
              <w:t>指明领域</w:t>
            </w:r>
            <w:r>
              <w:rPr>
                <w:rFonts w:ascii="Arial" w:hAnsi="Arial" w:cs="Arial"/>
                <w:sz w:val="20"/>
                <w:szCs w:val="20"/>
                <w:vertAlign w:val="superscript"/>
                <w:lang w:eastAsia="zh-CN"/>
              </w:rPr>
              <w:t>2</w:t>
            </w:r>
            <w:r>
              <w:rPr>
                <w:rFonts w:ascii="Arial" w:hAnsi="Arial" w:cs="Arial" w:hint="eastAsia"/>
                <w:sz w:val="20"/>
                <w:szCs w:val="20"/>
                <w:lang w:eastAsia="zh-CN"/>
              </w:rPr>
              <w:t>的</w:t>
            </w:r>
            <w:r>
              <w:rPr>
                <w:rFonts w:ascii="Arial" w:hAnsi="Arial" w:cs="Arial" w:hint="eastAsia"/>
                <w:sz w:val="20"/>
                <w:szCs w:val="20"/>
                <w:lang w:eastAsia="zh-CN"/>
              </w:rPr>
              <w:t>2</w:t>
            </w:r>
            <w:r>
              <w:rPr>
                <w:rFonts w:ascii="Arial" w:hAnsi="Arial" w:cs="Arial" w:hint="eastAsia"/>
                <w:sz w:val="20"/>
                <w:szCs w:val="20"/>
                <w:lang w:eastAsia="zh-CN"/>
              </w:rPr>
              <w:t>门课程）</w:t>
            </w:r>
          </w:p>
        </w:tc>
        <w:tc>
          <w:tcPr>
            <w:tcW w:w="2595" w:type="dxa"/>
            <w:gridSpan w:val="2"/>
          </w:tcPr>
          <w:p w:rsidR="00B97602" w:rsidRPr="004230E4" w:rsidRDefault="00B97602" w:rsidP="00B827E8">
            <w:pPr>
              <w:jc w:val="both"/>
              <w:rPr>
                <w:rFonts w:ascii="Arial" w:hAnsi="Arial" w:cs="Arial"/>
                <w:sz w:val="20"/>
                <w:szCs w:val="20"/>
                <w:vertAlign w:val="superscript"/>
                <w:lang w:eastAsia="zh-CN"/>
              </w:rPr>
            </w:pPr>
            <w:r w:rsidRPr="00B827E8">
              <w:rPr>
                <w:rFonts w:ascii="Arial" w:hAnsi="Arial" w:cs="Arial" w:hint="eastAsia"/>
                <w:sz w:val="20"/>
                <w:szCs w:val="20"/>
                <w:lang w:eastAsia="zh-CN"/>
              </w:rPr>
              <w:t>在香港中学文凭考试中获得英文或中文科以及数学科</w:t>
            </w:r>
            <w:r w:rsidRPr="00B827E8">
              <w:rPr>
                <w:rFonts w:ascii="Arial" w:hAnsi="Arial" w:cs="Arial"/>
                <w:sz w:val="20"/>
                <w:szCs w:val="20"/>
                <w:lang w:eastAsia="zh-CN"/>
              </w:rPr>
              <w:t>2</w:t>
            </w:r>
            <w:r w:rsidRPr="00B827E8">
              <w:rPr>
                <w:rFonts w:ascii="Arial" w:hAnsi="Arial" w:cs="Arial" w:hint="eastAsia"/>
                <w:sz w:val="20"/>
                <w:szCs w:val="20"/>
                <w:lang w:eastAsia="zh-CN"/>
              </w:rPr>
              <w:t>级的成绩或同等</w:t>
            </w:r>
            <w:r w:rsidRPr="003C7F90">
              <w:rPr>
                <w:rFonts w:ascii="Arial" w:hAnsi="Arial" w:cs="Arial" w:hint="eastAsia"/>
                <w:sz w:val="20"/>
                <w:szCs w:val="20"/>
                <w:lang w:eastAsia="zh-CN"/>
              </w:rPr>
              <w:t>学历</w:t>
            </w:r>
            <w:r>
              <w:rPr>
                <w:rFonts w:ascii="Arial" w:hAnsi="Arial" w:cs="Arial"/>
                <w:sz w:val="20"/>
                <w:szCs w:val="20"/>
                <w:vertAlign w:val="superscript"/>
                <w:lang w:eastAsia="zh-CN"/>
              </w:rPr>
              <w:t>4</w:t>
            </w:r>
          </w:p>
        </w:tc>
      </w:tr>
      <w:tr w:rsidR="00B97602" w:rsidTr="00B827E8">
        <w:tc>
          <w:tcPr>
            <w:tcW w:w="2371" w:type="dxa"/>
          </w:tcPr>
          <w:p w:rsidR="00B97602" w:rsidRPr="00F04C24" w:rsidRDefault="00B97602" w:rsidP="00B827E8">
            <w:pPr>
              <w:jc w:val="both"/>
              <w:rPr>
                <w:rFonts w:ascii="Arial" w:hAnsi="Arial" w:cs="Arial"/>
                <w:b/>
                <w:sz w:val="20"/>
                <w:szCs w:val="20"/>
              </w:rPr>
            </w:pPr>
            <w:r>
              <w:rPr>
                <w:rFonts w:ascii="Arial" w:hAnsi="Arial" w:cs="Arial" w:hint="eastAsia"/>
                <w:b/>
                <w:sz w:val="20"/>
                <w:szCs w:val="20"/>
                <w:lang w:eastAsia="zh-CN"/>
              </w:rPr>
              <w:t>相关行业经验</w:t>
            </w:r>
          </w:p>
        </w:tc>
        <w:tc>
          <w:tcPr>
            <w:tcW w:w="2403" w:type="dxa"/>
          </w:tcPr>
          <w:p w:rsidR="00B97602" w:rsidRDefault="00B97602" w:rsidP="00B827E8">
            <w:pPr>
              <w:rPr>
                <w:rFonts w:ascii="Arial" w:hAnsi="Arial" w:cs="Arial"/>
                <w:sz w:val="20"/>
                <w:szCs w:val="20"/>
              </w:rPr>
            </w:pPr>
            <w:r>
              <w:rPr>
                <w:rFonts w:ascii="Arial" w:hAnsi="Arial" w:cs="Arial" w:hint="eastAsia"/>
                <w:sz w:val="20"/>
                <w:szCs w:val="20"/>
                <w:lang w:eastAsia="zh-CN"/>
              </w:rPr>
              <w:t>过去</w:t>
            </w:r>
            <w:r>
              <w:rPr>
                <w:rFonts w:ascii="Arial" w:hAnsi="Arial" w:cs="Arial" w:hint="eastAsia"/>
                <w:sz w:val="20"/>
                <w:szCs w:val="20"/>
                <w:lang w:eastAsia="zh-CN"/>
              </w:rPr>
              <w:t>6</w:t>
            </w:r>
            <w:r>
              <w:rPr>
                <w:rFonts w:ascii="Arial" w:hAnsi="Arial" w:cs="Arial" w:hint="eastAsia"/>
                <w:sz w:val="20"/>
                <w:szCs w:val="20"/>
                <w:lang w:eastAsia="zh-CN"/>
              </w:rPr>
              <w:t>年中至少</w:t>
            </w:r>
            <w:r>
              <w:rPr>
                <w:rFonts w:ascii="Arial" w:hAnsi="Arial" w:cs="Arial" w:hint="eastAsia"/>
                <w:sz w:val="20"/>
                <w:szCs w:val="20"/>
                <w:lang w:eastAsia="zh-CN"/>
              </w:rPr>
              <w:t>3</w:t>
            </w:r>
            <w:r>
              <w:rPr>
                <w:rFonts w:ascii="Arial" w:hAnsi="Arial" w:cs="Arial" w:hint="eastAsia"/>
                <w:sz w:val="20"/>
                <w:szCs w:val="20"/>
                <w:lang w:eastAsia="zh-CN"/>
              </w:rPr>
              <w:t>年</w:t>
            </w:r>
          </w:p>
        </w:tc>
        <w:tc>
          <w:tcPr>
            <w:tcW w:w="2545" w:type="dxa"/>
          </w:tcPr>
          <w:p w:rsidR="00B97602" w:rsidRDefault="00B97602" w:rsidP="00B827E8">
            <w:pPr>
              <w:rPr>
                <w:rFonts w:ascii="Arial" w:hAnsi="Arial" w:cs="Arial"/>
                <w:sz w:val="20"/>
                <w:szCs w:val="20"/>
              </w:rPr>
            </w:pPr>
            <w:r>
              <w:rPr>
                <w:rFonts w:ascii="Arial" w:hAnsi="Arial" w:cs="Arial" w:hint="eastAsia"/>
                <w:sz w:val="20"/>
                <w:szCs w:val="20"/>
                <w:lang w:eastAsia="zh-CN"/>
              </w:rPr>
              <w:t>过去</w:t>
            </w:r>
            <w:r>
              <w:rPr>
                <w:rFonts w:ascii="Arial" w:hAnsi="Arial" w:cs="Arial" w:hint="eastAsia"/>
                <w:sz w:val="20"/>
                <w:szCs w:val="20"/>
                <w:lang w:eastAsia="zh-CN"/>
              </w:rPr>
              <w:t>6</w:t>
            </w:r>
            <w:r>
              <w:rPr>
                <w:rFonts w:ascii="Arial" w:hAnsi="Arial" w:cs="Arial" w:hint="eastAsia"/>
                <w:sz w:val="20"/>
                <w:szCs w:val="20"/>
                <w:lang w:eastAsia="zh-CN"/>
              </w:rPr>
              <w:t>年中至少</w:t>
            </w:r>
            <w:r>
              <w:rPr>
                <w:rFonts w:ascii="Arial" w:hAnsi="Arial" w:cs="Arial" w:hint="eastAsia"/>
                <w:sz w:val="20"/>
                <w:szCs w:val="20"/>
                <w:lang w:eastAsia="zh-CN"/>
              </w:rPr>
              <w:t>3</w:t>
            </w:r>
            <w:r>
              <w:rPr>
                <w:rFonts w:ascii="Arial" w:hAnsi="Arial" w:cs="Arial" w:hint="eastAsia"/>
                <w:sz w:val="20"/>
                <w:szCs w:val="20"/>
                <w:lang w:eastAsia="zh-CN"/>
              </w:rPr>
              <w:t>年</w:t>
            </w:r>
          </w:p>
        </w:tc>
        <w:tc>
          <w:tcPr>
            <w:tcW w:w="1222" w:type="dxa"/>
          </w:tcPr>
          <w:p w:rsidR="00B97602" w:rsidRDefault="00B97602" w:rsidP="00B827E8">
            <w:pPr>
              <w:jc w:val="both"/>
              <w:rPr>
                <w:rFonts w:ascii="Arial" w:hAnsi="Arial" w:cs="Arial"/>
                <w:sz w:val="20"/>
                <w:szCs w:val="20"/>
              </w:rPr>
            </w:pPr>
            <w:r>
              <w:rPr>
                <w:rFonts w:ascii="Arial" w:hAnsi="Arial" w:cs="Arial" w:hint="eastAsia"/>
                <w:sz w:val="20"/>
                <w:szCs w:val="20"/>
                <w:lang w:eastAsia="zh-CN"/>
              </w:rPr>
              <w:t>过去</w:t>
            </w:r>
            <w:r>
              <w:rPr>
                <w:rFonts w:ascii="Arial" w:hAnsi="Arial" w:cs="Arial" w:hint="eastAsia"/>
                <w:sz w:val="20"/>
                <w:szCs w:val="20"/>
                <w:lang w:eastAsia="zh-CN"/>
              </w:rPr>
              <w:t>6</w:t>
            </w:r>
            <w:r>
              <w:rPr>
                <w:rFonts w:ascii="Arial" w:hAnsi="Arial" w:cs="Arial" w:hint="eastAsia"/>
                <w:sz w:val="20"/>
                <w:szCs w:val="20"/>
                <w:lang w:eastAsia="zh-CN"/>
              </w:rPr>
              <w:t>年中至少</w:t>
            </w:r>
            <w:r>
              <w:rPr>
                <w:rFonts w:ascii="Arial" w:hAnsi="Arial" w:cs="Arial" w:hint="eastAsia"/>
                <w:sz w:val="20"/>
                <w:szCs w:val="20"/>
                <w:lang w:eastAsia="zh-CN"/>
              </w:rPr>
              <w:t>3</w:t>
            </w:r>
            <w:r>
              <w:rPr>
                <w:rFonts w:ascii="Arial" w:hAnsi="Arial" w:cs="Arial" w:hint="eastAsia"/>
                <w:sz w:val="20"/>
                <w:szCs w:val="20"/>
                <w:lang w:eastAsia="zh-CN"/>
              </w:rPr>
              <w:t>年</w:t>
            </w:r>
          </w:p>
        </w:tc>
        <w:tc>
          <w:tcPr>
            <w:tcW w:w="1373" w:type="dxa"/>
          </w:tcPr>
          <w:p w:rsidR="00B97602" w:rsidRDefault="00B97602" w:rsidP="00B827E8">
            <w:pPr>
              <w:jc w:val="both"/>
              <w:rPr>
                <w:rFonts w:ascii="Arial" w:hAnsi="Arial" w:cs="Arial"/>
                <w:sz w:val="20"/>
                <w:szCs w:val="20"/>
              </w:rPr>
            </w:pPr>
            <w:r>
              <w:rPr>
                <w:rFonts w:ascii="Arial" w:hAnsi="Arial" w:cs="Arial" w:hint="eastAsia"/>
                <w:sz w:val="20"/>
                <w:szCs w:val="20"/>
                <w:lang w:eastAsia="zh-CN"/>
              </w:rPr>
              <w:t>过去</w:t>
            </w:r>
            <w:r>
              <w:rPr>
                <w:rFonts w:ascii="Arial" w:hAnsi="Arial" w:cs="Arial" w:hint="eastAsia"/>
                <w:sz w:val="20"/>
                <w:szCs w:val="20"/>
                <w:lang w:eastAsia="zh-CN"/>
              </w:rPr>
              <w:t>8</w:t>
            </w:r>
            <w:r>
              <w:rPr>
                <w:rFonts w:ascii="Arial" w:hAnsi="Arial" w:cs="Arial" w:hint="eastAsia"/>
                <w:sz w:val="20"/>
                <w:szCs w:val="20"/>
                <w:lang w:eastAsia="zh-CN"/>
              </w:rPr>
              <w:t>年中至少</w:t>
            </w:r>
            <w:r>
              <w:rPr>
                <w:rFonts w:ascii="Arial" w:hAnsi="Arial" w:cs="Arial" w:hint="eastAsia"/>
                <w:sz w:val="20"/>
                <w:szCs w:val="20"/>
                <w:lang w:eastAsia="zh-CN"/>
              </w:rPr>
              <w:t>5</w:t>
            </w:r>
            <w:r>
              <w:rPr>
                <w:rFonts w:ascii="Arial" w:hAnsi="Arial" w:cs="Arial" w:hint="eastAsia"/>
                <w:sz w:val="20"/>
                <w:szCs w:val="20"/>
                <w:lang w:eastAsia="zh-CN"/>
              </w:rPr>
              <w:t>年</w:t>
            </w:r>
          </w:p>
        </w:tc>
      </w:tr>
      <w:tr w:rsidR="00B97602" w:rsidTr="00B827E8">
        <w:tc>
          <w:tcPr>
            <w:tcW w:w="2371" w:type="dxa"/>
          </w:tcPr>
          <w:p w:rsidR="00B97602" w:rsidRPr="00F04C24" w:rsidRDefault="00B97602" w:rsidP="00B97602">
            <w:pPr>
              <w:jc w:val="both"/>
              <w:rPr>
                <w:rFonts w:ascii="Arial" w:hAnsi="Arial" w:cs="Arial"/>
                <w:b/>
                <w:sz w:val="20"/>
                <w:szCs w:val="20"/>
                <w:lang w:eastAsia="zh-CN"/>
              </w:rPr>
            </w:pPr>
            <w:r>
              <w:rPr>
                <w:rFonts w:ascii="Arial" w:hAnsi="Arial" w:cs="Arial" w:hint="eastAsia"/>
                <w:b/>
                <w:sz w:val="20"/>
                <w:szCs w:val="20"/>
                <w:lang w:eastAsia="zh-CN"/>
              </w:rPr>
              <w:t>认可行业资格或额外持续培训</w:t>
            </w:r>
          </w:p>
        </w:tc>
        <w:tc>
          <w:tcPr>
            <w:tcW w:w="2403" w:type="dxa"/>
          </w:tcPr>
          <w:p w:rsidR="00B97602" w:rsidRDefault="00B97602" w:rsidP="00B97602">
            <w:pPr>
              <w:jc w:val="center"/>
              <w:rPr>
                <w:rFonts w:ascii="Arial" w:hAnsi="Arial" w:cs="Arial"/>
                <w:sz w:val="20"/>
                <w:szCs w:val="20"/>
                <w:lang w:eastAsia="zh-CN"/>
              </w:rPr>
            </w:pPr>
          </w:p>
          <w:p w:rsidR="00B97602" w:rsidRDefault="00B97602" w:rsidP="00B97602">
            <w:pPr>
              <w:jc w:val="center"/>
              <w:rPr>
                <w:rFonts w:ascii="Arial" w:hAnsi="Arial" w:cs="Arial"/>
                <w:sz w:val="20"/>
                <w:szCs w:val="20"/>
              </w:rPr>
            </w:pPr>
            <w:r>
              <w:rPr>
                <w:rFonts w:ascii="Arial" w:hAnsi="Arial" w:cs="Arial"/>
                <w:sz w:val="20"/>
                <w:szCs w:val="20"/>
              </w:rPr>
              <w:t>-</w:t>
            </w:r>
          </w:p>
        </w:tc>
        <w:tc>
          <w:tcPr>
            <w:tcW w:w="2545" w:type="dxa"/>
          </w:tcPr>
          <w:p w:rsidR="00B97602" w:rsidRDefault="00B97602" w:rsidP="00B97602">
            <w:pPr>
              <w:rPr>
                <w:rFonts w:ascii="Arial" w:hAnsi="Arial" w:cs="Arial"/>
                <w:sz w:val="20"/>
                <w:szCs w:val="20"/>
                <w:lang w:eastAsia="zh-CN"/>
              </w:rPr>
            </w:pPr>
            <w:r>
              <w:rPr>
                <w:rFonts w:ascii="Arial" w:hAnsi="Arial" w:cs="Arial" w:hint="eastAsia"/>
                <w:sz w:val="20"/>
                <w:szCs w:val="20"/>
                <w:lang w:eastAsia="zh-CN"/>
              </w:rPr>
              <w:t>取得相关认可行业资格或者完成额外持续培训</w:t>
            </w:r>
          </w:p>
        </w:tc>
        <w:tc>
          <w:tcPr>
            <w:tcW w:w="1222" w:type="dxa"/>
          </w:tcPr>
          <w:p w:rsidR="00B97602" w:rsidRDefault="00B97602" w:rsidP="00B97602">
            <w:pPr>
              <w:jc w:val="both"/>
              <w:rPr>
                <w:rFonts w:ascii="Arial" w:hAnsi="Arial" w:cs="Arial"/>
                <w:sz w:val="20"/>
                <w:szCs w:val="20"/>
                <w:lang w:eastAsia="zh-CN"/>
              </w:rPr>
            </w:pPr>
            <w:r>
              <w:rPr>
                <w:rFonts w:ascii="Arial" w:hAnsi="Arial" w:cs="Arial" w:hint="eastAsia"/>
                <w:sz w:val="20"/>
                <w:szCs w:val="20"/>
                <w:lang w:eastAsia="zh-CN"/>
              </w:rPr>
              <w:t>取得相关认可行业资格</w:t>
            </w:r>
          </w:p>
        </w:tc>
        <w:tc>
          <w:tcPr>
            <w:tcW w:w="1373" w:type="dxa"/>
          </w:tcPr>
          <w:p w:rsidR="00B97602" w:rsidRPr="00B97602" w:rsidRDefault="00B97602" w:rsidP="00B97602">
            <w:pPr>
              <w:jc w:val="both"/>
              <w:rPr>
                <w:rFonts w:ascii="Arial" w:eastAsiaTheme="minorEastAsia" w:hAnsi="Arial" w:cs="Arial"/>
                <w:sz w:val="20"/>
                <w:szCs w:val="20"/>
                <w:lang w:eastAsia="zh-CN"/>
              </w:rPr>
            </w:pPr>
            <w:r>
              <w:rPr>
                <w:rFonts w:ascii="Arial" w:eastAsiaTheme="minorEastAsia" w:hAnsi="Arial" w:cs="Arial" w:hint="eastAsia"/>
                <w:sz w:val="20"/>
                <w:szCs w:val="20"/>
                <w:lang w:eastAsia="zh-CN"/>
              </w:rPr>
              <w:t>完成相关额外持续培训</w:t>
            </w:r>
          </w:p>
        </w:tc>
      </w:tr>
      <w:tr w:rsidR="00B97602" w:rsidTr="00B827E8">
        <w:tc>
          <w:tcPr>
            <w:tcW w:w="2371" w:type="dxa"/>
          </w:tcPr>
          <w:p w:rsidR="00B97602" w:rsidRPr="00F04C24" w:rsidRDefault="00B97602" w:rsidP="00B97602">
            <w:pPr>
              <w:jc w:val="both"/>
              <w:rPr>
                <w:rFonts w:ascii="Arial" w:hAnsi="Arial" w:cs="Arial"/>
                <w:b/>
                <w:sz w:val="20"/>
                <w:szCs w:val="20"/>
              </w:rPr>
            </w:pPr>
            <w:r>
              <w:rPr>
                <w:rFonts w:ascii="Arial" w:hAnsi="Arial" w:cs="Arial" w:hint="eastAsia"/>
                <w:b/>
                <w:sz w:val="20"/>
                <w:szCs w:val="20"/>
                <w:lang w:eastAsia="zh-CN"/>
              </w:rPr>
              <w:t>管理经验</w:t>
            </w:r>
          </w:p>
        </w:tc>
        <w:tc>
          <w:tcPr>
            <w:tcW w:w="2403" w:type="dxa"/>
          </w:tcPr>
          <w:p w:rsidR="00B97602" w:rsidRDefault="00B97602" w:rsidP="00B97602">
            <w:pPr>
              <w:jc w:val="center"/>
              <w:rPr>
                <w:rFonts w:ascii="Arial" w:hAnsi="Arial" w:cs="Arial"/>
                <w:sz w:val="20"/>
                <w:szCs w:val="20"/>
              </w:rPr>
            </w:pPr>
            <w:r>
              <w:rPr>
                <w:rFonts w:ascii="Arial" w:hAnsi="Arial" w:cs="Arial"/>
                <w:sz w:val="20"/>
                <w:szCs w:val="20"/>
              </w:rPr>
              <w:t>2</w:t>
            </w:r>
            <w:r>
              <w:rPr>
                <w:rFonts w:ascii="Arial" w:hAnsi="Arial" w:cs="Arial" w:hint="eastAsia"/>
                <w:sz w:val="20"/>
                <w:szCs w:val="20"/>
                <w:lang w:eastAsia="zh-CN"/>
              </w:rPr>
              <w:t>年</w:t>
            </w:r>
          </w:p>
        </w:tc>
        <w:tc>
          <w:tcPr>
            <w:tcW w:w="2545" w:type="dxa"/>
          </w:tcPr>
          <w:p w:rsidR="00B97602" w:rsidRDefault="00B97602" w:rsidP="00B97602">
            <w:pPr>
              <w:jc w:val="center"/>
              <w:rPr>
                <w:rFonts w:ascii="Arial" w:hAnsi="Arial" w:cs="Arial"/>
                <w:sz w:val="20"/>
                <w:szCs w:val="20"/>
              </w:rPr>
            </w:pPr>
            <w:r>
              <w:rPr>
                <w:rFonts w:ascii="Arial" w:hAnsi="Arial" w:cs="Arial"/>
                <w:sz w:val="20"/>
                <w:szCs w:val="20"/>
              </w:rPr>
              <w:t>2</w:t>
            </w:r>
            <w:r>
              <w:rPr>
                <w:rFonts w:ascii="Arial" w:hAnsi="Arial" w:cs="Arial" w:hint="eastAsia"/>
                <w:sz w:val="20"/>
                <w:szCs w:val="20"/>
                <w:lang w:eastAsia="zh-CN"/>
              </w:rPr>
              <w:t>年</w:t>
            </w:r>
          </w:p>
        </w:tc>
        <w:tc>
          <w:tcPr>
            <w:tcW w:w="2595" w:type="dxa"/>
            <w:gridSpan w:val="2"/>
          </w:tcPr>
          <w:p w:rsidR="00B97602" w:rsidRDefault="00B97602" w:rsidP="00B97602">
            <w:pPr>
              <w:jc w:val="center"/>
              <w:rPr>
                <w:rFonts w:ascii="Arial" w:hAnsi="Arial" w:cs="Arial"/>
                <w:sz w:val="20"/>
                <w:szCs w:val="20"/>
              </w:rPr>
            </w:pPr>
            <w:r>
              <w:rPr>
                <w:rFonts w:ascii="Arial" w:hAnsi="Arial" w:cs="Arial"/>
                <w:sz w:val="20"/>
                <w:szCs w:val="20"/>
              </w:rPr>
              <w:t>2</w:t>
            </w:r>
            <w:r>
              <w:rPr>
                <w:rFonts w:ascii="Arial" w:hAnsi="Arial" w:cs="Arial" w:hint="eastAsia"/>
                <w:sz w:val="20"/>
                <w:szCs w:val="20"/>
                <w:lang w:eastAsia="zh-CN"/>
              </w:rPr>
              <w:t>年</w:t>
            </w:r>
          </w:p>
        </w:tc>
      </w:tr>
      <w:tr w:rsidR="00B97602" w:rsidTr="00B827E8">
        <w:tc>
          <w:tcPr>
            <w:tcW w:w="2371" w:type="dxa"/>
          </w:tcPr>
          <w:p w:rsidR="00B97602" w:rsidRPr="00F04C24" w:rsidRDefault="00B97602" w:rsidP="00B97602">
            <w:pPr>
              <w:jc w:val="both"/>
              <w:rPr>
                <w:rFonts w:ascii="Arial" w:hAnsi="Arial" w:cs="Arial"/>
                <w:b/>
                <w:sz w:val="20"/>
                <w:szCs w:val="20"/>
              </w:rPr>
            </w:pPr>
            <w:r>
              <w:rPr>
                <w:rFonts w:ascii="Arial" w:hAnsi="Arial" w:cs="Arial" w:hint="eastAsia"/>
                <w:b/>
                <w:sz w:val="20"/>
                <w:szCs w:val="20"/>
                <w:lang w:eastAsia="zh-CN"/>
              </w:rPr>
              <w:t>本地监管框架考试</w:t>
            </w:r>
          </w:p>
        </w:tc>
        <w:tc>
          <w:tcPr>
            <w:tcW w:w="2403" w:type="dxa"/>
          </w:tcPr>
          <w:p w:rsidR="00B97602" w:rsidRDefault="00B97602" w:rsidP="00B97602">
            <w:pPr>
              <w:jc w:val="center"/>
              <w:rPr>
                <w:rFonts w:ascii="Arial" w:hAnsi="Arial" w:cs="Arial"/>
                <w:sz w:val="20"/>
                <w:szCs w:val="20"/>
              </w:rPr>
            </w:pPr>
            <w:r>
              <w:rPr>
                <w:rFonts w:ascii="Arial" w:hAnsi="Arial" w:cs="Arial" w:hint="eastAsia"/>
                <w:sz w:val="20"/>
                <w:szCs w:val="20"/>
                <w:lang w:eastAsia="zh-CN"/>
              </w:rPr>
              <w:t>合格</w:t>
            </w:r>
          </w:p>
        </w:tc>
        <w:tc>
          <w:tcPr>
            <w:tcW w:w="2545" w:type="dxa"/>
          </w:tcPr>
          <w:p w:rsidR="00B97602" w:rsidRDefault="00B97602" w:rsidP="00B97602">
            <w:pPr>
              <w:jc w:val="center"/>
              <w:rPr>
                <w:rFonts w:ascii="Arial" w:hAnsi="Arial" w:cs="Arial"/>
                <w:sz w:val="20"/>
                <w:szCs w:val="20"/>
              </w:rPr>
            </w:pPr>
            <w:r>
              <w:rPr>
                <w:rFonts w:ascii="Arial" w:hAnsi="Arial" w:cs="Arial" w:hint="eastAsia"/>
                <w:sz w:val="20"/>
                <w:szCs w:val="20"/>
                <w:lang w:eastAsia="zh-CN"/>
              </w:rPr>
              <w:t>合格</w:t>
            </w:r>
          </w:p>
        </w:tc>
        <w:tc>
          <w:tcPr>
            <w:tcW w:w="2595" w:type="dxa"/>
            <w:gridSpan w:val="2"/>
          </w:tcPr>
          <w:p w:rsidR="00B97602" w:rsidRDefault="00B97602" w:rsidP="00B97602">
            <w:pPr>
              <w:jc w:val="center"/>
              <w:rPr>
                <w:rFonts w:ascii="Arial" w:hAnsi="Arial" w:cs="Arial"/>
                <w:sz w:val="20"/>
                <w:szCs w:val="20"/>
              </w:rPr>
            </w:pPr>
            <w:r>
              <w:rPr>
                <w:rFonts w:ascii="Arial" w:hAnsi="Arial" w:cs="Arial" w:hint="eastAsia"/>
                <w:sz w:val="20"/>
                <w:szCs w:val="20"/>
                <w:lang w:eastAsia="zh-CN"/>
              </w:rPr>
              <w:t>合格</w:t>
            </w:r>
          </w:p>
        </w:tc>
      </w:tr>
    </w:tbl>
    <w:p w:rsidR="00B97602" w:rsidRPr="00B97602" w:rsidRDefault="00B97602">
      <w:pPr>
        <w:pStyle w:val="BodyText"/>
        <w:rPr>
          <w:rFonts w:eastAsiaTheme="minorEastAsia" w:hint="eastAsia"/>
          <w:lang w:eastAsia="zh-CN"/>
        </w:rPr>
      </w:pPr>
    </w:p>
    <w:p w:rsidR="00C45474" w:rsidRDefault="009808DB">
      <w:pPr>
        <w:pStyle w:val="BodyText"/>
        <w:rPr>
          <w:lang w:eastAsia="zh-CN"/>
        </w:rPr>
      </w:pPr>
      <w:r>
        <w:rPr>
          <w:lang w:eastAsia="zh-CN"/>
        </w:rPr>
        <w:t>针对持牌代表及相关个人的经修订规定</w:t>
      </w:r>
    </w:p>
    <w:tbl>
      <w:tblPr>
        <w:tblStyle w:val="TableGrid"/>
        <w:tblW w:w="0" w:type="auto"/>
        <w:tblInd w:w="480" w:type="dxa"/>
        <w:tblLook w:val="04A0" w:firstRow="1" w:lastRow="0" w:firstColumn="1" w:lastColumn="0" w:noHBand="0" w:noVBand="1"/>
      </w:tblPr>
      <w:tblGrid>
        <w:gridCol w:w="2365"/>
        <w:gridCol w:w="2390"/>
        <w:gridCol w:w="1191"/>
        <w:gridCol w:w="1373"/>
        <w:gridCol w:w="1222"/>
        <w:gridCol w:w="1373"/>
      </w:tblGrid>
      <w:tr w:rsidR="00B97602" w:rsidRPr="00B827E8" w:rsidTr="00B827E8">
        <w:trPr>
          <w:trHeight w:val="401"/>
        </w:trPr>
        <w:tc>
          <w:tcPr>
            <w:tcW w:w="2365" w:type="dxa"/>
          </w:tcPr>
          <w:p w:rsidR="00B97602" w:rsidRDefault="00B97602" w:rsidP="00B827E8">
            <w:pPr>
              <w:jc w:val="both"/>
              <w:rPr>
                <w:rFonts w:ascii="Arial" w:hAnsi="Arial" w:cs="Arial"/>
                <w:sz w:val="20"/>
                <w:szCs w:val="20"/>
                <w:lang w:eastAsia="zh-CN"/>
              </w:rPr>
            </w:pPr>
          </w:p>
        </w:tc>
        <w:tc>
          <w:tcPr>
            <w:tcW w:w="2390" w:type="dxa"/>
          </w:tcPr>
          <w:p w:rsidR="00B97602" w:rsidRPr="00B827E8" w:rsidRDefault="00B97602" w:rsidP="00B827E8">
            <w:pPr>
              <w:jc w:val="center"/>
              <w:rPr>
                <w:rFonts w:ascii="Arial" w:eastAsia="PMingLiU" w:hAnsi="Arial" w:cs="Arial"/>
                <w:sz w:val="20"/>
                <w:szCs w:val="20"/>
                <w:lang w:eastAsia="zh-TW"/>
              </w:rPr>
            </w:pPr>
            <w:r>
              <w:rPr>
                <w:rFonts w:ascii="Arial" w:hAnsi="Arial" w:cs="Arial" w:hint="eastAsia"/>
                <w:b/>
                <w:sz w:val="20"/>
                <w:szCs w:val="20"/>
                <w:lang w:eastAsia="zh-CN"/>
              </w:rPr>
              <w:t>选择</w:t>
            </w:r>
            <w:r>
              <w:rPr>
                <w:rFonts w:ascii="Arial" w:eastAsia="PMingLiU" w:hAnsi="Arial" w:cs="Arial" w:hint="eastAsia"/>
                <w:b/>
                <w:sz w:val="20"/>
                <w:szCs w:val="20"/>
                <w:lang w:eastAsia="zh-TW"/>
              </w:rPr>
              <w:t>A</w:t>
            </w:r>
          </w:p>
        </w:tc>
        <w:tc>
          <w:tcPr>
            <w:tcW w:w="2564" w:type="dxa"/>
            <w:gridSpan w:val="2"/>
          </w:tcPr>
          <w:p w:rsidR="00B97602" w:rsidRPr="00B827E8" w:rsidRDefault="00B97602" w:rsidP="00B827E8">
            <w:pPr>
              <w:jc w:val="center"/>
              <w:rPr>
                <w:rFonts w:ascii="Arial" w:eastAsia="PMingLiU" w:hAnsi="Arial" w:cs="Arial"/>
                <w:b/>
                <w:sz w:val="20"/>
                <w:szCs w:val="20"/>
                <w:lang w:eastAsia="zh-TW"/>
              </w:rPr>
            </w:pPr>
            <w:r>
              <w:rPr>
                <w:rFonts w:ascii="Arial" w:hAnsi="Arial" w:cs="Arial" w:hint="eastAsia"/>
                <w:b/>
                <w:sz w:val="20"/>
                <w:szCs w:val="20"/>
                <w:lang w:eastAsia="zh-CN"/>
              </w:rPr>
              <w:t>选择</w:t>
            </w:r>
            <w:r>
              <w:rPr>
                <w:rFonts w:ascii="Arial" w:eastAsia="PMingLiU" w:hAnsi="Arial" w:cs="Arial" w:hint="eastAsia"/>
                <w:b/>
                <w:sz w:val="20"/>
                <w:szCs w:val="20"/>
                <w:lang w:eastAsia="zh-TW"/>
              </w:rPr>
              <w:t>B</w:t>
            </w:r>
          </w:p>
        </w:tc>
        <w:tc>
          <w:tcPr>
            <w:tcW w:w="2595" w:type="dxa"/>
            <w:gridSpan w:val="2"/>
          </w:tcPr>
          <w:p w:rsidR="00B97602" w:rsidRPr="00B827E8" w:rsidRDefault="00B97602" w:rsidP="00B827E8">
            <w:pPr>
              <w:jc w:val="center"/>
              <w:rPr>
                <w:rFonts w:ascii="Arial" w:eastAsia="PMingLiU" w:hAnsi="Arial" w:cs="Arial"/>
                <w:b/>
                <w:sz w:val="20"/>
                <w:szCs w:val="20"/>
                <w:lang w:eastAsia="zh-TW"/>
              </w:rPr>
            </w:pPr>
            <w:r>
              <w:rPr>
                <w:rFonts w:ascii="Arial" w:hAnsi="Arial" w:cs="Arial" w:hint="eastAsia"/>
                <w:b/>
                <w:sz w:val="20"/>
                <w:szCs w:val="20"/>
                <w:lang w:eastAsia="zh-CN"/>
              </w:rPr>
              <w:t>选择</w:t>
            </w:r>
            <w:r>
              <w:rPr>
                <w:rFonts w:ascii="Arial" w:eastAsia="PMingLiU" w:hAnsi="Arial" w:cs="Arial" w:hint="eastAsia"/>
                <w:b/>
                <w:sz w:val="20"/>
                <w:szCs w:val="20"/>
                <w:lang w:eastAsia="zh-TW"/>
              </w:rPr>
              <w:t>C</w:t>
            </w:r>
          </w:p>
        </w:tc>
      </w:tr>
      <w:tr w:rsidR="00B97602" w:rsidRPr="004230E4" w:rsidTr="00B827E8">
        <w:trPr>
          <w:trHeight w:val="1773"/>
        </w:trPr>
        <w:tc>
          <w:tcPr>
            <w:tcW w:w="2365" w:type="dxa"/>
          </w:tcPr>
          <w:p w:rsidR="00B97602" w:rsidRDefault="00B97602" w:rsidP="00B827E8">
            <w:pPr>
              <w:tabs>
                <w:tab w:val="left" w:pos="521"/>
              </w:tabs>
              <w:rPr>
                <w:rFonts w:ascii="Arial" w:hAnsi="Arial" w:cs="Arial"/>
                <w:sz w:val="20"/>
                <w:szCs w:val="20"/>
              </w:rPr>
            </w:pPr>
            <w:r w:rsidRPr="00396432">
              <w:rPr>
                <w:rFonts w:ascii="Arial" w:hAnsi="Arial" w:cs="Arial" w:hint="eastAsia"/>
                <w:sz w:val="20"/>
                <w:szCs w:val="20"/>
                <w:lang w:eastAsia="zh-CN"/>
              </w:rPr>
              <w:t>学术或者专业资格</w:t>
            </w:r>
          </w:p>
        </w:tc>
        <w:tc>
          <w:tcPr>
            <w:tcW w:w="2390" w:type="dxa"/>
          </w:tcPr>
          <w:p w:rsidR="00B97602" w:rsidRPr="00170D19" w:rsidRDefault="00B97602" w:rsidP="00B827E8">
            <w:pPr>
              <w:jc w:val="both"/>
              <w:rPr>
                <w:rFonts w:ascii="Arial" w:hAnsi="Arial" w:cs="Arial"/>
                <w:sz w:val="20"/>
                <w:szCs w:val="20"/>
                <w:vertAlign w:val="superscript"/>
                <w:lang w:eastAsia="zh-CN"/>
              </w:rPr>
            </w:pPr>
            <w:r>
              <w:rPr>
                <w:rFonts w:ascii="Arial" w:hAnsi="Arial" w:cs="Arial" w:hint="eastAsia"/>
                <w:sz w:val="20"/>
                <w:szCs w:val="20"/>
                <w:lang w:eastAsia="zh-CN"/>
              </w:rPr>
              <w:t>指明领域</w:t>
            </w:r>
            <w:r>
              <w:rPr>
                <w:rFonts w:ascii="Arial" w:hAnsi="Arial" w:cs="Arial"/>
                <w:sz w:val="20"/>
                <w:szCs w:val="20"/>
                <w:vertAlign w:val="superscript"/>
                <w:lang w:eastAsia="zh-CN"/>
              </w:rPr>
              <w:t>2</w:t>
            </w:r>
            <w:r w:rsidRPr="00A53058">
              <w:rPr>
                <w:rFonts w:ascii="PMingLiU" w:eastAsia="SimSun" w:hAnsi="PMingLiU" w:cs="Arial" w:hint="eastAsia"/>
                <w:sz w:val="20"/>
                <w:szCs w:val="20"/>
                <w:lang w:eastAsia="zh-CN"/>
              </w:rPr>
              <w:t>的</w:t>
            </w:r>
            <w:r>
              <w:rPr>
                <w:rFonts w:ascii="Arial" w:hAnsi="Arial" w:cs="Arial" w:hint="eastAsia"/>
                <w:sz w:val="20"/>
                <w:szCs w:val="20"/>
                <w:lang w:eastAsia="zh-CN"/>
              </w:rPr>
              <w:t>学位</w:t>
            </w:r>
            <w:r>
              <w:rPr>
                <w:rFonts w:ascii="Arial" w:hAnsi="Arial" w:cs="Arial"/>
                <w:sz w:val="20"/>
                <w:szCs w:val="20"/>
                <w:vertAlign w:val="superscript"/>
                <w:lang w:eastAsia="zh-CN"/>
              </w:rPr>
              <w:t>1</w:t>
            </w:r>
            <w:r>
              <w:rPr>
                <w:rFonts w:ascii="Arial" w:hAnsi="Arial" w:cs="Arial" w:hint="eastAsia"/>
                <w:sz w:val="20"/>
                <w:szCs w:val="20"/>
                <w:lang w:eastAsia="zh-CN"/>
              </w:rPr>
              <w:t>；</w:t>
            </w:r>
            <w:r w:rsidRPr="00170D19">
              <w:rPr>
                <w:rFonts w:ascii="Arial" w:hAnsi="Arial" w:cs="Arial" w:hint="eastAsia"/>
                <w:sz w:val="20"/>
                <w:szCs w:val="20"/>
                <w:vertAlign w:val="superscript"/>
                <w:lang w:eastAsia="zh-CN"/>
              </w:rPr>
              <w:t xml:space="preserve"> </w:t>
            </w:r>
          </w:p>
          <w:p w:rsidR="00B97602" w:rsidRDefault="00B97602" w:rsidP="00B827E8">
            <w:pPr>
              <w:jc w:val="both"/>
              <w:rPr>
                <w:rFonts w:ascii="Arial" w:hAnsi="Arial" w:cs="Arial"/>
                <w:sz w:val="20"/>
                <w:szCs w:val="20"/>
                <w:lang w:eastAsia="zh-CN"/>
              </w:rPr>
            </w:pPr>
            <w:r>
              <w:rPr>
                <w:rFonts w:ascii="Arial" w:hAnsi="Arial" w:cs="Arial" w:hint="eastAsia"/>
                <w:sz w:val="20"/>
                <w:szCs w:val="20"/>
                <w:lang w:eastAsia="zh-CN"/>
              </w:rPr>
              <w:t>其他学位</w:t>
            </w:r>
            <w:r>
              <w:rPr>
                <w:rFonts w:ascii="Arial" w:hAnsi="Arial" w:cs="Arial"/>
                <w:sz w:val="20"/>
                <w:szCs w:val="20"/>
                <w:vertAlign w:val="superscript"/>
                <w:lang w:eastAsia="zh-CN"/>
              </w:rPr>
              <w:t>1</w:t>
            </w:r>
            <w:r>
              <w:rPr>
                <w:rFonts w:ascii="Arial" w:hAnsi="Arial" w:cs="Arial" w:hint="eastAsia"/>
                <w:sz w:val="20"/>
                <w:szCs w:val="20"/>
                <w:lang w:eastAsia="zh-CN"/>
              </w:rPr>
              <w:t>（至少通过</w:t>
            </w:r>
            <w:r w:rsidRPr="00A53058">
              <w:rPr>
                <w:rFonts w:ascii="PMingLiU" w:eastAsia="SimSun" w:hAnsi="PMingLiU" w:cs="Arial" w:hint="eastAsia"/>
                <w:sz w:val="20"/>
                <w:szCs w:val="20"/>
                <w:lang w:eastAsia="zh-CN"/>
              </w:rPr>
              <w:t>属</w:t>
            </w:r>
            <w:r>
              <w:rPr>
                <w:rFonts w:ascii="Arial" w:hAnsi="Arial" w:cs="Arial" w:hint="eastAsia"/>
                <w:sz w:val="20"/>
                <w:szCs w:val="20"/>
                <w:lang w:eastAsia="zh-CN"/>
              </w:rPr>
              <w:t>指明领域的</w:t>
            </w:r>
            <w:r>
              <w:rPr>
                <w:rFonts w:ascii="Arial" w:hAnsi="Arial" w:cs="Arial" w:hint="eastAsia"/>
                <w:sz w:val="20"/>
                <w:szCs w:val="20"/>
                <w:lang w:eastAsia="zh-CN"/>
              </w:rPr>
              <w:t>2</w:t>
            </w:r>
            <w:r>
              <w:rPr>
                <w:rFonts w:ascii="Arial" w:hAnsi="Arial" w:cs="Arial" w:hint="eastAsia"/>
                <w:sz w:val="20"/>
                <w:szCs w:val="20"/>
                <w:lang w:eastAsia="zh-CN"/>
              </w:rPr>
              <w:t>门课程）；或</w:t>
            </w:r>
          </w:p>
          <w:p w:rsidR="00B97602" w:rsidRPr="00A76EBB" w:rsidRDefault="00B97602" w:rsidP="00B827E8">
            <w:pPr>
              <w:jc w:val="both"/>
              <w:rPr>
                <w:rFonts w:ascii="Arial" w:hAnsi="Arial" w:cs="Arial"/>
                <w:sz w:val="20"/>
                <w:szCs w:val="20"/>
                <w:vertAlign w:val="superscript"/>
              </w:rPr>
            </w:pPr>
            <w:r>
              <w:rPr>
                <w:rFonts w:ascii="Arial" w:hAnsi="Arial" w:cs="Arial" w:hint="eastAsia"/>
                <w:sz w:val="20"/>
                <w:szCs w:val="20"/>
                <w:lang w:eastAsia="zh-CN"/>
              </w:rPr>
              <w:t>专业资格</w:t>
            </w:r>
            <w:r>
              <w:rPr>
                <w:rFonts w:ascii="Arial" w:hAnsi="Arial" w:cs="Arial"/>
                <w:sz w:val="20"/>
                <w:szCs w:val="20"/>
                <w:vertAlign w:val="superscript"/>
              </w:rPr>
              <w:t>3</w:t>
            </w:r>
          </w:p>
        </w:tc>
        <w:tc>
          <w:tcPr>
            <w:tcW w:w="2564" w:type="dxa"/>
            <w:gridSpan w:val="2"/>
          </w:tcPr>
          <w:p w:rsidR="00B97602" w:rsidRDefault="00B97602" w:rsidP="00B827E8">
            <w:pPr>
              <w:rPr>
                <w:rFonts w:ascii="Arial" w:hAnsi="Arial" w:cs="Arial"/>
                <w:sz w:val="20"/>
                <w:szCs w:val="20"/>
                <w:lang w:eastAsia="zh-CN"/>
              </w:rPr>
            </w:pPr>
            <w:r>
              <w:rPr>
                <w:rFonts w:ascii="Arial" w:hAnsi="Arial" w:cs="Arial" w:hint="eastAsia"/>
                <w:sz w:val="20"/>
                <w:szCs w:val="20"/>
                <w:lang w:eastAsia="zh-CN"/>
              </w:rPr>
              <w:t>其他学位（</w:t>
            </w:r>
            <w:r w:rsidRPr="00A53058">
              <w:rPr>
                <w:rFonts w:ascii="PMingLiU" w:eastAsia="SimSun" w:hAnsi="PMingLiU" w:cs="Arial" w:hint="eastAsia"/>
                <w:sz w:val="20"/>
                <w:szCs w:val="20"/>
                <w:lang w:eastAsia="zh-CN"/>
              </w:rPr>
              <w:t>无须</w:t>
            </w:r>
            <w:r>
              <w:rPr>
                <w:rFonts w:ascii="Arial" w:hAnsi="Arial" w:cs="Arial" w:hint="eastAsia"/>
                <w:sz w:val="20"/>
                <w:szCs w:val="20"/>
                <w:lang w:eastAsia="zh-CN"/>
              </w:rPr>
              <w:t>通过</w:t>
            </w:r>
            <w:r w:rsidRPr="00A53058">
              <w:rPr>
                <w:rFonts w:ascii="PMingLiU" w:eastAsia="SimSun" w:hAnsi="PMingLiU" w:cs="Arial" w:hint="eastAsia"/>
                <w:sz w:val="20"/>
                <w:szCs w:val="20"/>
                <w:lang w:eastAsia="zh-CN"/>
              </w:rPr>
              <w:t>属</w:t>
            </w:r>
            <w:r>
              <w:rPr>
                <w:rFonts w:ascii="Arial" w:hAnsi="Arial" w:cs="Arial" w:hint="eastAsia"/>
                <w:sz w:val="20"/>
                <w:szCs w:val="20"/>
                <w:lang w:eastAsia="zh-CN"/>
              </w:rPr>
              <w:t>指明领域</w:t>
            </w:r>
            <w:r>
              <w:rPr>
                <w:rFonts w:ascii="Arial" w:hAnsi="Arial" w:cs="Arial"/>
                <w:sz w:val="20"/>
                <w:szCs w:val="20"/>
                <w:vertAlign w:val="superscript"/>
                <w:lang w:eastAsia="zh-CN"/>
              </w:rPr>
              <w:t>2</w:t>
            </w:r>
            <w:r>
              <w:rPr>
                <w:rFonts w:ascii="Arial" w:hAnsi="Arial" w:cs="Arial" w:hint="eastAsia"/>
                <w:sz w:val="20"/>
                <w:szCs w:val="20"/>
                <w:lang w:eastAsia="zh-CN"/>
              </w:rPr>
              <w:t>的</w:t>
            </w:r>
            <w:r>
              <w:rPr>
                <w:rFonts w:ascii="Arial" w:hAnsi="Arial" w:cs="Arial" w:hint="eastAsia"/>
                <w:sz w:val="20"/>
                <w:szCs w:val="20"/>
                <w:lang w:eastAsia="zh-CN"/>
              </w:rPr>
              <w:t>2</w:t>
            </w:r>
            <w:r>
              <w:rPr>
                <w:rFonts w:ascii="Arial" w:hAnsi="Arial" w:cs="Arial" w:hint="eastAsia"/>
                <w:sz w:val="20"/>
                <w:szCs w:val="20"/>
                <w:lang w:eastAsia="zh-CN"/>
              </w:rPr>
              <w:t>门课程）</w:t>
            </w:r>
          </w:p>
        </w:tc>
        <w:tc>
          <w:tcPr>
            <w:tcW w:w="2595" w:type="dxa"/>
            <w:gridSpan w:val="2"/>
          </w:tcPr>
          <w:p w:rsidR="00B97602" w:rsidRPr="004230E4" w:rsidRDefault="00B97602" w:rsidP="00B827E8">
            <w:pPr>
              <w:jc w:val="both"/>
              <w:rPr>
                <w:rFonts w:ascii="Arial" w:hAnsi="Arial" w:cs="Arial"/>
                <w:sz w:val="20"/>
                <w:szCs w:val="20"/>
                <w:vertAlign w:val="superscript"/>
                <w:lang w:eastAsia="zh-CN"/>
              </w:rPr>
            </w:pPr>
            <w:r w:rsidRPr="00B827E8">
              <w:rPr>
                <w:rFonts w:ascii="Arial" w:hAnsi="Arial" w:cs="Arial" w:hint="eastAsia"/>
                <w:sz w:val="20"/>
                <w:szCs w:val="20"/>
                <w:lang w:eastAsia="zh-CN"/>
              </w:rPr>
              <w:t>在香港中学文凭考试中获得英文或中文科以及数学科</w:t>
            </w:r>
            <w:r w:rsidRPr="00B827E8">
              <w:rPr>
                <w:rFonts w:ascii="Arial" w:hAnsi="Arial" w:cs="Arial"/>
                <w:sz w:val="20"/>
                <w:szCs w:val="20"/>
                <w:lang w:eastAsia="zh-CN"/>
              </w:rPr>
              <w:t>2</w:t>
            </w:r>
            <w:r w:rsidRPr="00B827E8">
              <w:rPr>
                <w:rFonts w:ascii="Arial" w:hAnsi="Arial" w:cs="Arial" w:hint="eastAsia"/>
                <w:sz w:val="20"/>
                <w:szCs w:val="20"/>
                <w:lang w:eastAsia="zh-CN"/>
              </w:rPr>
              <w:t>级的成绩或同等</w:t>
            </w:r>
            <w:r w:rsidRPr="003C7F90">
              <w:rPr>
                <w:rFonts w:ascii="Arial" w:hAnsi="Arial" w:cs="Arial" w:hint="eastAsia"/>
                <w:sz w:val="20"/>
                <w:szCs w:val="20"/>
                <w:lang w:eastAsia="zh-CN"/>
              </w:rPr>
              <w:t>学历</w:t>
            </w:r>
            <w:r>
              <w:rPr>
                <w:rFonts w:ascii="Arial" w:hAnsi="Arial" w:cs="Arial"/>
                <w:sz w:val="20"/>
                <w:szCs w:val="20"/>
                <w:vertAlign w:val="superscript"/>
                <w:lang w:eastAsia="zh-CN"/>
              </w:rPr>
              <w:t>4</w:t>
            </w:r>
          </w:p>
        </w:tc>
      </w:tr>
      <w:tr w:rsidR="00B97602" w:rsidTr="00B827E8">
        <w:trPr>
          <w:trHeight w:val="723"/>
        </w:trPr>
        <w:tc>
          <w:tcPr>
            <w:tcW w:w="2365" w:type="dxa"/>
          </w:tcPr>
          <w:p w:rsidR="00B97602" w:rsidRDefault="00B97602" w:rsidP="00B827E8">
            <w:pPr>
              <w:jc w:val="both"/>
              <w:rPr>
                <w:rFonts w:ascii="Arial" w:hAnsi="Arial" w:cs="Arial"/>
                <w:sz w:val="20"/>
                <w:szCs w:val="20"/>
              </w:rPr>
            </w:pPr>
            <w:r w:rsidRPr="00396432">
              <w:rPr>
                <w:rFonts w:ascii="Arial" w:hAnsi="Arial" w:cs="Arial" w:hint="eastAsia"/>
                <w:sz w:val="20"/>
                <w:szCs w:val="20"/>
                <w:lang w:eastAsia="zh-CN"/>
              </w:rPr>
              <w:t>相关行业经验</w:t>
            </w:r>
          </w:p>
        </w:tc>
        <w:tc>
          <w:tcPr>
            <w:tcW w:w="2390" w:type="dxa"/>
          </w:tcPr>
          <w:p w:rsidR="00B97602" w:rsidRDefault="00B97602" w:rsidP="00B827E8">
            <w:pPr>
              <w:rPr>
                <w:rFonts w:ascii="Arial" w:hAnsi="Arial" w:cs="Arial"/>
                <w:sz w:val="20"/>
                <w:szCs w:val="20"/>
              </w:rPr>
            </w:pPr>
          </w:p>
          <w:p w:rsidR="00B97602" w:rsidRDefault="00B97602" w:rsidP="00B827E8">
            <w:pPr>
              <w:tabs>
                <w:tab w:val="left" w:pos="1107"/>
              </w:tabs>
              <w:jc w:val="center"/>
              <w:rPr>
                <w:rFonts w:ascii="Arial" w:hAnsi="Arial" w:cs="Arial"/>
                <w:sz w:val="20"/>
                <w:szCs w:val="20"/>
              </w:rPr>
            </w:pPr>
            <w:r>
              <w:rPr>
                <w:rFonts w:ascii="Arial" w:hAnsi="Arial" w:cs="Arial"/>
                <w:sz w:val="20"/>
                <w:szCs w:val="20"/>
              </w:rPr>
              <w:t>-</w:t>
            </w:r>
          </w:p>
        </w:tc>
        <w:tc>
          <w:tcPr>
            <w:tcW w:w="1191" w:type="dxa"/>
          </w:tcPr>
          <w:p w:rsidR="00B97602" w:rsidRDefault="00B97602" w:rsidP="00B827E8">
            <w:pPr>
              <w:jc w:val="both"/>
              <w:rPr>
                <w:rFonts w:ascii="Arial" w:hAnsi="Arial" w:cs="Arial"/>
                <w:sz w:val="20"/>
                <w:szCs w:val="20"/>
              </w:rPr>
            </w:pPr>
            <w:r>
              <w:rPr>
                <w:rFonts w:ascii="Arial" w:hAnsi="Arial" w:cs="Arial" w:hint="eastAsia"/>
                <w:sz w:val="20"/>
                <w:szCs w:val="20"/>
                <w:lang w:eastAsia="zh-CN"/>
              </w:rPr>
              <w:t>过去</w:t>
            </w:r>
            <w:r>
              <w:rPr>
                <w:rFonts w:ascii="Arial" w:hAnsi="Arial" w:cs="Arial" w:hint="eastAsia"/>
                <w:sz w:val="20"/>
                <w:szCs w:val="20"/>
                <w:lang w:eastAsia="zh-CN"/>
              </w:rPr>
              <w:t>5</w:t>
            </w:r>
            <w:r>
              <w:rPr>
                <w:rFonts w:ascii="Arial" w:hAnsi="Arial" w:cs="Arial" w:hint="eastAsia"/>
                <w:sz w:val="20"/>
                <w:szCs w:val="20"/>
                <w:lang w:eastAsia="zh-CN"/>
              </w:rPr>
              <w:t>年中至少</w:t>
            </w:r>
            <w:r>
              <w:rPr>
                <w:rFonts w:ascii="Arial" w:hAnsi="Arial" w:cs="Arial" w:hint="eastAsia"/>
                <w:sz w:val="20"/>
                <w:szCs w:val="20"/>
                <w:lang w:eastAsia="zh-CN"/>
              </w:rPr>
              <w:t>2</w:t>
            </w:r>
            <w:r>
              <w:rPr>
                <w:rFonts w:ascii="Arial" w:hAnsi="Arial" w:cs="Arial" w:hint="eastAsia"/>
                <w:sz w:val="20"/>
                <w:szCs w:val="20"/>
                <w:lang w:eastAsia="zh-CN"/>
              </w:rPr>
              <w:t>年</w:t>
            </w:r>
          </w:p>
        </w:tc>
        <w:tc>
          <w:tcPr>
            <w:tcW w:w="1373" w:type="dxa"/>
          </w:tcPr>
          <w:p w:rsidR="00B97602" w:rsidRDefault="00B97602" w:rsidP="00B827E8">
            <w:pPr>
              <w:jc w:val="both"/>
              <w:rPr>
                <w:rFonts w:ascii="Arial" w:hAnsi="Arial" w:cs="Arial"/>
                <w:sz w:val="20"/>
                <w:szCs w:val="20"/>
              </w:rPr>
            </w:pPr>
          </w:p>
          <w:p w:rsidR="00B97602" w:rsidRDefault="00B97602" w:rsidP="00B827E8">
            <w:pPr>
              <w:jc w:val="center"/>
              <w:rPr>
                <w:rFonts w:ascii="Arial" w:hAnsi="Arial" w:cs="Arial"/>
                <w:sz w:val="20"/>
                <w:szCs w:val="20"/>
              </w:rPr>
            </w:pPr>
            <w:r>
              <w:rPr>
                <w:rFonts w:ascii="Arial" w:hAnsi="Arial" w:cs="Arial"/>
                <w:sz w:val="20"/>
                <w:szCs w:val="20"/>
              </w:rPr>
              <w:t>-</w:t>
            </w:r>
          </w:p>
        </w:tc>
        <w:tc>
          <w:tcPr>
            <w:tcW w:w="1222" w:type="dxa"/>
          </w:tcPr>
          <w:p w:rsidR="00B97602" w:rsidRDefault="00B97602" w:rsidP="00B827E8">
            <w:pPr>
              <w:jc w:val="both"/>
              <w:rPr>
                <w:rFonts w:ascii="Arial" w:hAnsi="Arial" w:cs="Arial"/>
                <w:sz w:val="20"/>
                <w:szCs w:val="20"/>
              </w:rPr>
            </w:pPr>
            <w:r>
              <w:rPr>
                <w:rFonts w:ascii="Arial" w:hAnsi="Arial" w:cs="Arial" w:hint="eastAsia"/>
                <w:sz w:val="20"/>
                <w:szCs w:val="20"/>
                <w:lang w:eastAsia="zh-CN"/>
              </w:rPr>
              <w:t>过去</w:t>
            </w:r>
            <w:r>
              <w:rPr>
                <w:rFonts w:ascii="Arial" w:hAnsi="Arial" w:cs="Arial" w:hint="eastAsia"/>
                <w:sz w:val="20"/>
                <w:szCs w:val="20"/>
                <w:lang w:eastAsia="zh-CN"/>
              </w:rPr>
              <w:t>5</w:t>
            </w:r>
            <w:r>
              <w:rPr>
                <w:rFonts w:ascii="Arial" w:hAnsi="Arial" w:cs="Arial" w:hint="eastAsia"/>
                <w:sz w:val="20"/>
                <w:szCs w:val="20"/>
                <w:lang w:eastAsia="zh-CN"/>
              </w:rPr>
              <w:t>年中至少</w:t>
            </w:r>
            <w:r>
              <w:rPr>
                <w:rFonts w:ascii="Arial" w:hAnsi="Arial" w:cs="Arial" w:hint="eastAsia"/>
                <w:sz w:val="20"/>
                <w:szCs w:val="20"/>
                <w:lang w:eastAsia="zh-CN"/>
              </w:rPr>
              <w:t>2</w:t>
            </w:r>
            <w:r>
              <w:rPr>
                <w:rFonts w:ascii="Arial" w:hAnsi="Arial" w:cs="Arial" w:hint="eastAsia"/>
                <w:sz w:val="20"/>
                <w:szCs w:val="20"/>
                <w:lang w:eastAsia="zh-CN"/>
              </w:rPr>
              <w:t>年</w:t>
            </w:r>
          </w:p>
        </w:tc>
        <w:tc>
          <w:tcPr>
            <w:tcW w:w="1373" w:type="dxa"/>
          </w:tcPr>
          <w:p w:rsidR="00B97602" w:rsidRDefault="00B97602" w:rsidP="00B827E8">
            <w:pPr>
              <w:jc w:val="both"/>
              <w:rPr>
                <w:rFonts w:ascii="Arial" w:hAnsi="Arial" w:cs="Arial"/>
                <w:sz w:val="20"/>
                <w:szCs w:val="20"/>
              </w:rPr>
            </w:pPr>
          </w:p>
          <w:p w:rsidR="00B97602" w:rsidRDefault="00B97602" w:rsidP="00B827E8">
            <w:pPr>
              <w:jc w:val="center"/>
              <w:rPr>
                <w:rFonts w:ascii="Arial" w:hAnsi="Arial" w:cs="Arial"/>
                <w:sz w:val="20"/>
                <w:szCs w:val="20"/>
              </w:rPr>
            </w:pPr>
            <w:r>
              <w:rPr>
                <w:rFonts w:ascii="Arial" w:hAnsi="Arial" w:cs="Arial"/>
                <w:sz w:val="20"/>
                <w:szCs w:val="20"/>
              </w:rPr>
              <w:t>-</w:t>
            </w:r>
          </w:p>
        </w:tc>
      </w:tr>
      <w:tr w:rsidR="00B97602" w:rsidTr="00B827E8">
        <w:trPr>
          <w:trHeight w:val="1113"/>
        </w:trPr>
        <w:tc>
          <w:tcPr>
            <w:tcW w:w="2365" w:type="dxa"/>
          </w:tcPr>
          <w:p w:rsidR="00B97602" w:rsidRDefault="00B97602" w:rsidP="00B827E8">
            <w:pPr>
              <w:jc w:val="both"/>
              <w:rPr>
                <w:rFonts w:ascii="Arial" w:hAnsi="Arial" w:cs="Arial"/>
                <w:sz w:val="20"/>
                <w:szCs w:val="20"/>
                <w:lang w:eastAsia="zh-CN"/>
              </w:rPr>
            </w:pPr>
            <w:r w:rsidRPr="000A64BB">
              <w:rPr>
                <w:rFonts w:ascii="Arial" w:hAnsi="Arial" w:cs="Arial" w:hint="eastAsia"/>
                <w:sz w:val="20"/>
                <w:szCs w:val="20"/>
                <w:lang w:eastAsia="zh-CN"/>
              </w:rPr>
              <w:t>认可行业资格或额外持续培训</w:t>
            </w:r>
          </w:p>
        </w:tc>
        <w:tc>
          <w:tcPr>
            <w:tcW w:w="2390" w:type="dxa"/>
          </w:tcPr>
          <w:p w:rsidR="00B97602" w:rsidRDefault="00B97602" w:rsidP="00B827E8">
            <w:pPr>
              <w:jc w:val="center"/>
              <w:rPr>
                <w:rFonts w:ascii="Arial" w:hAnsi="Arial" w:cs="Arial"/>
                <w:sz w:val="20"/>
                <w:szCs w:val="20"/>
                <w:lang w:eastAsia="zh-CN"/>
              </w:rPr>
            </w:pPr>
          </w:p>
          <w:p w:rsidR="00B97602" w:rsidRDefault="00B97602" w:rsidP="00B827E8">
            <w:pPr>
              <w:jc w:val="center"/>
              <w:rPr>
                <w:rFonts w:ascii="Arial" w:hAnsi="Arial" w:cs="Arial"/>
                <w:sz w:val="20"/>
                <w:szCs w:val="20"/>
              </w:rPr>
            </w:pPr>
            <w:r>
              <w:rPr>
                <w:rFonts w:ascii="Arial" w:hAnsi="Arial" w:cs="Arial"/>
                <w:sz w:val="20"/>
                <w:szCs w:val="20"/>
              </w:rPr>
              <w:t>-</w:t>
            </w:r>
          </w:p>
        </w:tc>
        <w:tc>
          <w:tcPr>
            <w:tcW w:w="1191" w:type="dxa"/>
          </w:tcPr>
          <w:p w:rsidR="00B97602" w:rsidRDefault="00B97602" w:rsidP="00B827E8">
            <w:pPr>
              <w:jc w:val="both"/>
              <w:rPr>
                <w:rFonts w:ascii="Arial" w:hAnsi="Arial" w:cs="Arial"/>
                <w:sz w:val="20"/>
                <w:szCs w:val="20"/>
              </w:rPr>
            </w:pPr>
          </w:p>
          <w:p w:rsidR="00B97602" w:rsidRDefault="00B97602" w:rsidP="00B827E8">
            <w:pPr>
              <w:jc w:val="center"/>
              <w:rPr>
                <w:rFonts w:ascii="Arial" w:hAnsi="Arial" w:cs="Arial"/>
                <w:sz w:val="20"/>
                <w:szCs w:val="20"/>
              </w:rPr>
            </w:pPr>
            <w:r>
              <w:rPr>
                <w:rFonts w:ascii="Arial" w:hAnsi="Arial" w:cs="Arial"/>
                <w:sz w:val="20"/>
                <w:szCs w:val="20"/>
              </w:rPr>
              <w:t>-</w:t>
            </w:r>
          </w:p>
        </w:tc>
        <w:tc>
          <w:tcPr>
            <w:tcW w:w="1373" w:type="dxa"/>
          </w:tcPr>
          <w:p w:rsidR="00B97602" w:rsidRDefault="00B97602" w:rsidP="00B827E8">
            <w:pPr>
              <w:rPr>
                <w:rFonts w:ascii="Arial" w:hAnsi="Arial" w:cs="Arial"/>
                <w:sz w:val="20"/>
                <w:szCs w:val="20"/>
                <w:lang w:eastAsia="zh-CN"/>
              </w:rPr>
            </w:pPr>
            <w:r>
              <w:rPr>
                <w:rFonts w:ascii="Arial" w:hAnsi="Arial" w:cs="Arial" w:hint="eastAsia"/>
                <w:sz w:val="20"/>
                <w:szCs w:val="20"/>
                <w:lang w:eastAsia="zh-CN"/>
              </w:rPr>
              <w:t>取得相关认可行业资格或者完成额外持续培训</w:t>
            </w:r>
          </w:p>
        </w:tc>
        <w:tc>
          <w:tcPr>
            <w:tcW w:w="1222" w:type="dxa"/>
          </w:tcPr>
          <w:p w:rsidR="00B97602" w:rsidRDefault="00B97602" w:rsidP="00B827E8">
            <w:pPr>
              <w:jc w:val="both"/>
              <w:rPr>
                <w:rFonts w:ascii="Arial" w:hAnsi="Arial" w:cs="Arial"/>
                <w:sz w:val="20"/>
                <w:szCs w:val="20"/>
                <w:lang w:eastAsia="zh-CN"/>
              </w:rPr>
            </w:pPr>
            <w:r>
              <w:rPr>
                <w:rFonts w:ascii="Arial" w:hAnsi="Arial" w:cs="Arial" w:hint="eastAsia"/>
                <w:sz w:val="20"/>
                <w:szCs w:val="20"/>
                <w:lang w:eastAsia="zh-CN"/>
              </w:rPr>
              <w:t>完成相关额外持续培训</w:t>
            </w:r>
          </w:p>
        </w:tc>
        <w:tc>
          <w:tcPr>
            <w:tcW w:w="1373" w:type="dxa"/>
          </w:tcPr>
          <w:p w:rsidR="00B97602" w:rsidRDefault="00B97602" w:rsidP="00B827E8">
            <w:pPr>
              <w:jc w:val="both"/>
              <w:rPr>
                <w:rFonts w:ascii="Arial" w:hAnsi="Arial" w:cs="Arial"/>
                <w:sz w:val="20"/>
                <w:szCs w:val="20"/>
                <w:lang w:eastAsia="zh-CN"/>
              </w:rPr>
            </w:pPr>
            <w:r>
              <w:rPr>
                <w:rFonts w:ascii="Arial" w:hAnsi="Arial" w:cs="Arial" w:hint="eastAsia"/>
                <w:sz w:val="20"/>
                <w:szCs w:val="20"/>
                <w:lang w:eastAsia="zh-CN"/>
              </w:rPr>
              <w:t>取得相关认可行业资格</w:t>
            </w:r>
          </w:p>
        </w:tc>
      </w:tr>
      <w:tr w:rsidR="00B97602" w:rsidTr="00B827E8">
        <w:trPr>
          <w:trHeight w:val="814"/>
        </w:trPr>
        <w:tc>
          <w:tcPr>
            <w:tcW w:w="2365" w:type="dxa"/>
          </w:tcPr>
          <w:p w:rsidR="00B97602" w:rsidRDefault="00B97602" w:rsidP="00B827E8">
            <w:pPr>
              <w:jc w:val="both"/>
              <w:rPr>
                <w:rFonts w:ascii="Arial" w:hAnsi="Arial" w:cs="Arial"/>
                <w:sz w:val="20"/>
                <w:szCs w:val="20"/>
              </w:rPr>
            </w:pPr>
            <w:r w:rsidRPr="000A64BB">
              <w:rPr>
                <w:rFonts w:ascii="Arial" w:hAnsi="Arial" w:cs="Arial" w:hint="eastAsia"/>
                <w:sz w:val="20"/>
                <w:szCs w:val="20"/>
                <w:lang w:eastAsia="zh-CN"/>
              </w:rPr>
              <w:t>本地监管框架考试</w:t>
            </w:r>
          </w:p>
        </w:tc>
        <w:tc>
          <w:tcPr>
            <w:tcW w:w="2390" w:type="dxa"/>
          </w:tcPr>
          <w:p w:rsidR="00B97602" w:rsidRDefault="00B97602" w:rsidP="00B827E8">
            <w:pPr>
              <w:jc w:val="center"/>
              <w:rPr>
                <w:rFonts w:ascii="Arial" w:hAnsi="Arial" w:cs="Arial"/>
                <w:sz w:val="20"/>
                <w:szCs w:val="20"/>
              </w:rPr>
            </w:pPr>
            <w:r>
              <w:rPr>
                <w:rFonts w:ascii="Arial" w:hAnsi="Arial" w:cs="Arial" w:hint="eastAsia"/>
                <w:sz w:val="20"/>
                <w:szCs w:val="20"/>
                <w:lang w:eastAsia="zh-CN"/>
              </w:rPr>
              <w:t>合格</w:t>
            </w:r>
          </w:p>
        </w:tc>
        <w:tc>
          <w:tcPr>
            <w:tcW w:w="2564" w:type="dxa"/>
            <w:gridSpan w:val="2"/>
          </w:tcPr>
          <w:p w:rsidR="00B97602" w:rsidRDefault="00B97602" w:rsidP="00B827E8">
            <w:pPr>
              <w:jc w:val="center"/>
              <w:rPr>
                <w:rFonts w:ascii="Arial" w:hAnsi="Arial" w:cs="Arial"/>
                <w:sz w:val="20"/>
                <w:szCs w:val="20"/>
              </w:rPr>
            </w:pPr>
            <w:r>
              <w:rPr>
                <w:rFonts w:ascii="Arial" w:hAnsi="Arial" w:cs="Arial" w:hint="eastAsia"/>
                <w:sz w:val="20"/>
                <w:szCs w:val="20"/>
                <w:lang w:eastAsia="zh-CN"/>
              </w:rPr>
              <w:t>合格</w:t>
            </w:r>
          </w:p>
        </w:tc>
        <w:tc>
          <w:tcPr>
            <w:tcW w:w="2595" w:type="dxa"/>
            <w:gridSpan w:val="2"/>
          </w:tcPr>
          <w:p w:rsidR="00B97602" w:rsidRDefault="00B97602" w:rsidP="00B827E8">
            <w:pPr>
              <w:jc w:val="center"/>
              <w:rPr>
                <w:rFonts w:ascii="Arial" w:hAnsi="Arial" w:cs="Arial"/>
                <w:sz w:val="20"/>
                <w:szCs w:val="20"/>
              </w:rPr>
            </w:pPr>
            <w:r>
              <w:rPr>
                <w:rFonts w:ascii="Arial" w:hAnsi="Arial" w:cs="Arial" w:hint="eastAsia"/>
                <w:sz w:val="20"/>
                <w:szCs w:val="20"/>
                <w:lang w:eastAsia="zh-CN"/>
              </w:rPr>
              <w:t>合格</w:t>
            </w:r>
          </w:p>
        </w:tc>
      </w:tr>
    </w:tbl>
    <w:p w:rsidR="00C45474" w:rsidRDefault="009808DB">
      <w:pPr>
        <w:pStyle w:val="Compact"/>
        <w:numPr>
          <w:ilvl w:val="0"/>
          <w:numId w:val="10"/>
        </w:numPr>
        <w:rPr>
          <w:lang w:eastAsia="zh-CN"/>
        </w:rPr>
      </w:pPr>
      <w:r>
        <w:rPr>
          <w:lang w:eastAsia="zh-CN"/>
        </w:rPr>
        <w:lastRenderedPageBreak/>
        <w:t>如持有学位的申请人已获得符合以下条件的深造文凭或者证书：</w:t>
      </w:r>
      <w:r>
        <w:rPr>
          <w:lang w:eastAsia="zh-CN"/>
        </w:rPr>
        <w:t>(a)</w:t>
      </w:r>
      <w:r>
        <w:rPr>
          <w:lang w:eastAsia="zh-CN"/>
        </w:rPr>
        <w:t>由香港或者其他地方的大学或者其他类似大专院校签发；或</w:t>
      </w:r>
      <w:r>
        <w:rPr>
          <w:lang w:eastAsia="zh-CN"/>
        </w:rPr>
        <w:t>(b)</w:t>
      </w:r>
      <w:r>
        <w:rPr>
          <w:lang w:eastAsia="zh-CN"/>
        </w:rPr>
        <w:t>根据香港的资历框架被认可为</w:t>
      </w:r>
      <w:r>
        <w:rPr>
          <w:lang w:eastAsia="zh-CN"/>
        </w:rPr>
        <w:t>6</w:t>
      </w:r>
      <w:r>
        <w:rPr>
          <w:lang w:eastAsia="zh-CN"/>
        </w:rPr>
        <w:t>级或者以上水平，那么在评估该申请人的胜任能力时该深造文凭或者证书亦会被纳入考量。有关香港资历框架的更多详细资料，请访问网站</w:t>
      </w:r>
      <w:r>
        <w:rPr>
          <w:lang w:eastAsia="zh-CN"/>
        </w:rPr>
        <w:t xml:space="preserve"> </w:t>
      </w:r>
      <w:hyperlink r:id="rId8">
        <w:r>
          <w:rPr>
            <w:lang w:eastAsia="zh-CN"/>
          </w:rPr>
          <w:t>https://www.hkqf.gov.hk/tc/home/index.html</w:t>
        </w:r>
      </w:hyperlink>
      <w:r>
        <w:rPr>
          <w:lang w:eastAsia="zh-CN"/>
        </w:rPr>
        <w:t>。</w:t>
      </w:r>
    </w:p>
    <w:p w:rsidR="00C45474" w:rsidRDefault="009808DB">
      <w:pPr>
        <w:pStyle w:val="Compact"/>
        <w:numPr>
          <w:ilvl w:val="0"/>
          <w:numId w:val="10"/>
        </w:numPr>
        <w:rPr>
          <w:lang w:eastAsia="zh-CN"/>
        </w:rPr>
      </w:pPr>
      <w:r>
        <w:rPr>
          <w:lang w:eastAsia="zh-CN"/>
        </w:rPr>
        <w:t>「指定领域」指的是会计，工商管理，经济学，金融财务及法律。</w:t>
      </w:r>
    </w:p>
    <w:p w:rsidR="00C45474" w:rsidRDefault="009808DB">
      <w:pPr>
        <w:pStyle w:val="Compact"/>
        <w:numPr>
          <w:ilvl w:val="0"/>
          <w:numId w:val="10"/>
        </w:numPr>
        <w:rPr>
          <w:lang w:eastAsia="zh-CN"/>
        </w:rPr>
      </w:pPr>
      <w:r>
        <w:rPr>
          <w:lang w:eastAsia="zh-CN"/>
        </w:rPr>
        <w:t>法律，会计或者金融财务领域的国际认可专业资格。金融财务领域的国际认可专业资格包括特许金融分析师，国际注册投资分析师及认可财务策划师。</w:t>
      </w:r>
    </w:p>
    <w:p w:rsidR="00C45474" w:rsidRDefault="009808DB">
      <w:pPr>
        <w:pStyle w:val="Compact"/>
        <w:numPr>
          <w:ilvl w:val="0"/>
          <w:numId w:val="10"/>
        </w:numPr>
        <w:rPr>
          <w:lang w:eastAsia="zh-CN"/>
        </w:rPr>
      </w:pPr>
      <w:r>
        <w:rPr>
          <w:lang w:eastAsia="zh-CN"/>
        </w:rPr>
        <w:t>证监会还认可以下相等于香港中学文凭考试的同等学历：</w:t>
      </w:r>
      <w:r>
        <w:rPr>
          <w:lang w:eastAsia="zh-CN"/>
        </w:rPr>
        <w:t>(a)</w:t>
      </w:r>
      <w:r>
        <w:rPr>
          <w:lang w:eastAsia="zh-CN"/>
        </w:rPr>
        <w:t>英文或中文科以及数学科在香港中学会考中取得的</w:t>
      </w:r>
      <w:r>
        <w:rPr>
          <w:lang w:eastAsia="zh-CN"/>
        </w:rPr>
        <w:t>E</w:t>
      </w:r>
      <w:r>
        <w:rPr>
          <w:lang w:eastAsia="zh-CN"/>
        </w:rPr>
        <w:t>级或以上成绩以及</w:t>
      </w:r>
      <w:r>
        <w:rPr>
          <w:lang w:eastAsia="zh-CN"/>
        </w:rPr>
        <w:t xml:space="preserve">(b) </w:t>
      </w:r>
      <w:r>
        <w:rPr>
          <w:lang w:eastAsia="zh-CN"/>
        </w:rPr>
        <w:t>在香港或者其他地方举行的其他高中公开考</w:t>
      </w:r>
      <w:r>
        <w:rPr>
          <w:lang w:eastAsia="zh-CN"/>
        </w:rPr>
        <w:t>试（例如大学入学考试）中相同科目取得合格成绩。</w:t>
      </w:r>
    </w:p>
    <w:p w:rsidR="00C45474" w:rsidRDefault="009808DB">
      <w:pPr>
        <w:pStyle w:val="FirstParagraph"/>
        <w:rPr>
          <w:lang w:eastAsia="zh-CN"/>
        </w:rPr>
      </w:pPr>
      <w:r>
        <w:rPr>
          <w:lang w:eastAsia="zh-CN"/>
        </w:rPr>
        <w:t xml:space="preserve">2. </w:t>
      </w:r>
      <w:r>
        <w:rPr>
          <w:lang w:eastAsia="zh-CN"/>
        </w:rPr>
        <w:t>完全豁免短期证监会牌照申请人须取得认可行业资格的要求</w:t>
      </w:r>
    </w:p>
    <w:p w:rsidR="00C45474" w:rsidRDefault="009808DB">
      <w:pPr>
        <w:pStyle w:val="BodyText"/>
        <w:rPr>
          <w:lang w:eastAsia="zh-CN"/>
        </w:rPr>
      </w:pPr>
      <w:r>
        <w:rPr>
          <w:lang w:eastAsia="zh-CN"/>
        </w:rPr>
        <w:t>证监会全面豁免临时牌照申请人须达到认可行业资格规定的建议获得了强有力的支持，将采纳该项建议。</w:t>
      </w:r>
    </w:p>
    <w:p w:rsidR="00C45474" w:rsidRDefault="009808DB">
      <w:pPr>
        <w:pStyle w:val="BodyText"/>
        <w:rPr>
          <w:lang w:eastAsia="zh-CN"/>
        </w:rPr>
      </w:pPr>
      <w:r>
        <w:rPr>
          <w:lang w:eastAsia="zh-CN"/>
        </w:rPr>
        <w:t>证监会还阐述道，如海外规管当局仅批出公司层面的牌照或者注册，而非直接认可有关申请人，那么该申请人将需证明其符合证监会《发牌手册》</w:t>
      </w:r>
      <w:hyperlink w:anchor="footnote-8693-4">
        <w:r>
          <w:rPr>
            <w:vertAlign w:val="superscript"/>
            <w:lang w:eastAsia="zh-CN"/>
          </w:rPr>
          <w:t>4</w:t>
        </w:r>
      </w:hyperlink>
      <w:r>
        <w:rPr>
          <w:lang w:eastAsia="zh-CN"/>
        </w:rPr>
        <w:t>第</w:t>
      </w:r>
      <w:r>
        <w:rPr>
          <w:lang w:eastAsia="zh-CN"/>
        </w:rPr>
        <w:t>5.3.7(a)(i)</w:t>
      </w:r>
      <w:r>
        <w:rPr>
          <w:lang w:eastAsia="zh-CN"/>
        </w:rPr>
        <w:t>段至第</w:t>
      </w:r>
      <w:r>
        <w:rPr>
          <w:lang w:eastAsia="zh-CN"/>
        </w:rPr>
        <w:t>(iii)</w:t>
      </w:r>
      <w:r>
        <w:rPr>
          <w:lang w:eastAsia="zh-CN"/>
        </w:rPr>
        <w:t>段中载列的规定。</w:t>
      </w:r>
    </w:p>
    <w:p w:rsidR="00C45474" w:rsidRDefault="009808DB">
      <w:pPr>
        <w:pStyle w:val="BodyText"/>
        <w:rPr>
          <w:lang w:eastAsia="zh-CN"/>
        </w:rPr>
      </w:pPr>
      <w:r>
        <w:rPr>
          <w:lang w:eastAsia="zh-CN"/>
        </w:rPr>
        <w:t xml:space="preserve">3. </w:t>
      </w:r>
      <w:r>
        <w:rPr>
          <w:lang w:eastAsia="zh-CN"/>
        </w:rPr>
        <w:t>对通过香港监管框架考试的有条件豁免的适用性进行微调</w:t>
      </w:r>
    </w:p>
    <w:p w:rsidR="00C45474" w:rsidRDefault="009808DB">
      <w:pPr>
        <w:pStyle w:val="BodyText"/>
        <w:rPr>
          <w:lang w:eastAsia="zh-CN"/>
        </w:rPr>
      </w:pPr>
      <w:r>
        <w:rPr>
          <w:lang w:eastAsia="zh-CN"/>
        </w:rPr>
        <w:t>目前的有条件豁免：通过香港监管框架考试</w:t>
      </w:r>
    </w:p>
    <w:p w:rsidR="00C45474" w:rsidRDefault="009808DB">
      <w:pPr>
        <w:pStyle w:val="BodyText"/>
        <w:rPr>
          <w:lang w:eastAsia="zh-CN"/>
        </w:rPr>
      </w:pPr>
      <w:r>
        <w:rPr>
          <w:lang w:eastAsia="zh-CN"/>
        </w:rPr>
        <w:t>目前，除非豁免适用，所有个人牌照申请人均须符合本地监管框架考试规定。有条件豁免准许持牌代表（现属持牌状态或者在过去</w:t>
      </w:r>
      <w:r>
        <w:rPr>
          <w:lang w:eastAsia="zh-CN"/>
        </w:rPr>
        <w:t>3</w:t>
      </w:r>
      <w:r>
        <w:rPr>
          <w:lang w:eastAsia="zh-CN"/>
        </w:rPr>
        <w:t>年内已获发牌）在申请成为某项有不同胜任能力要求的受规管活动持牌代表时，透过完成有关该项新受规管活动监管知识的额外</w:t>
      </w:r>
      <w:r>
        <w:rPr>
          <w:lang w:eastAsia="zh-CN"/>
        </w:rPr>
        <w:t>5</w:t>
      </w:r>
      <w:r>
        <w:rPr>
          <w:lang w:eastAsia="zh-CN"/>
        </w:rPr>
        <w:t>个持续培训时数，可获豁免参加本地监管框架考试（</w:t>
      </w:r>
      <w:r>
        <w:rPr>
          <w:lang w:eastAsia="zh-CN"/>
        </w:rPr>
        <w:t>2003</w:t>
      </w:r>
      <w:r>
        <w:rPr>
          <w:lang w:eastAsia="zh-CN"/>
        </w:rPr>
        <w:t>版本《胜任能力指引》附录</w:t>
      </w:r>
      <w:r>
        <w:rPr>
          <w:lang w:eastAsia="zh-CN"/>
        </w:rPr>
        <w:t>E</w:t>
      </w:r>
      <w:r>
        <w:rPr>
          <w:lang w:eastAsia="zh-CN"/>
        </w:rPr>
        <w:t>第</w:t>
      </w:r>
      <w:r>
        <w:rPr>
          <w:lang w:eastAsia="zh-CN"/>
        </w:rPr>
        <w:t>8</w:t>
      </w:r>
      <w:r>
        <w:rPr>
          <w:lang w:eastAsia="zh-CN"/>
        </w:rPr>
        <w:t>段）。</w:t>
      </w:r>
    </w:p>
    <w:p w:rsidR="00C45474" w:rsidRDefault="009808DB">
      <w:pPr>
        <w:pStyle w:val="BodyText"/>
        <w:rPr>
          <w:lang w:eastAsia="zh-CN"/>
        </w:rPr>
      </w:pPr>
      <w:r>
        <w:rPr>
          <w:lang w:eastAsia="zh-CN"/>
        </w:rPr>
        <w:t>除第</w:t>
      </w:r>
      <w:r>
        <w:rPr>
          <w:lang w:eastAsia="zh-CN"/>
        </w:rPr>
        <w:t>3</w:t>
      </w:r>
      <w:r>
        <w:rPr>
          <w:lang w:eastAsia="zh-CN"/>
        </w:rPr>
        <w:t>类受规管活动外，所有受规管活动的持牌代表须通过的本地监管框架均相同（即香港证券及投资学会管理的证券及期货从业员资格考试卷</w:t>
      </w:r>
      <w:r>
        <w:rPr>
          <w:lang w:eastAsia="zh-CN"/>
        </w:rPr>
        <w:t>1</w:t>
      </w:r>
      <w:r>
        <w:rPr>
          <w:lang w:eastAsia="zh-CN"/>
        </w:rPr>
        <w:t>）。就已经通过卷</w:t>
      </w:r>
      <w:r>
        <w:rPr>
          <w:lang w:eastAsia="zh-CN"/>
        </w:rPr>
        <w:t>1</w:t>
      </w:r>
      <w:r>
        <w:rPr>
          <w:lang w:eastAsia="zh-CN"/>
        </w:rPr>
        <w:t>考试的持牌代表而言，除非其就第</w:t>
      </w:r>
      <w:r>
        <w:rPr>
          <w:lang w:eastAsia="zh-CN"/>
        </w:rPr>
        <w:t>3</w:t>
      </w:r>
      <w:r>
        <w:rPr>
          <w:lang w:eastAsia="zh-CN"/>
        </w:rPr>
        <w:t>类受规管活动进行申请，否则其已经符合就另一项受规管活动申请发牌的本地监管框架考试规定，而无需完成额外的持续培训时数。</w:t>
      </w:r>
    </w:p>
    <w:p w:rsidR="00C45474" w:rsidRDefault="009808DB">
      <w:pPr>
        <w:pStyle w:val="BodyText"/>
        <w:rPr>
          <w:lang w:eastAsia="zh-CN"/>
        </w:rPr>
      </w:pPr>
      <w:r>
        <w:rPr>
          <w:lang w:eastAsia="zh-CN"/>
        </w:rPr>
        <w:t>有条件豁免的变更：通过香港监管框架考试</w:t>
      </w:r>
    </w:p>
    <w:p w:rsidR="00C45474" w:rsidRDefault="009808DB">
      <w:pPr>
        <w:pStyle w:val="BodyText"/>
        <w:rPr>
          <w:lang w:eastAsia="zh-CN"/>
        </w:rPr>
      </w:pPr>
      <w:r>
        <w:rPr>
          <w:lang w:eastAsia="zh-CN"/>
        </w:rPr>
        <w:t>证监会将采纳其修订有关有条件豁免的建议，以致其仅适用于具以下特征的证监会持牌代表：</w:t>
      </w:r>
      <w:r>
        <w:rPr>
          <w:lang w:eastAsia="zh-CN"/>
        </w:rPr>
        <w:t>(a)</w:t>
      </w:r>
      <w:r>
        <w:rPr>
          <w:lang w:eastAsia="zh-CN"/>
        </w:rPr>
        <w:t>从未报考过任何本地监管框架考试（例如因为其属在过渡安排中被转而纳入证监会制度中）但是仍须</w:t>
      </w:r>
      <w:r>
        <w:rPr>
          <w:lang w:eastAsia="zh-CN"/>
        </w:rPr>
        <w:t>符合新的受规管活动的本地监管框架考试规定；或者</w:t>
      </w:r>
      <w:r>
        <w:rPr>
          <w:lang w:eastAsia="zh-CN"/>
        </w:rPr>
        <w:t>(b)</w:t>
      </w:r>
      <w:r>
        <w:rPr>
          <w:lang w:eastAsia="zh-CN"/>
        </w:rPr>
        <w:t>已经通过一项本地监管框架考试但是还须通过另一项考试以符合该新受规管活动的规定（例如就第</w:t>
      </w:r>
      <w:r>
        <w:rPr>
          <w:lang w:eastAsia="zh-CN"/>
        </w:rPr>
        <w:t>3</w:t>
      </w:r>
      <w:r>
        <w:rPr>
          <w:lang w:eastAsia="zh-CN"/>
        </w:rPr>
        <w:t>类受规管活动申请牌照时）。</w:t>
      </w:r>
    </w:p>
    <w:p w:rsidR="00C45474" w:rsidRDefault="009808DB">
      <w:pPr>
        <w:pStyle w:val="BodyText"/>
        <w:rPr>
          <w:lang w:eastAsia="zh-CN"/>
        </w:rPr>
      </w:pPr>
      <w:r>
        <w:rPr>
          <w:lang w:eastAsia="zh-CN"/>
        </w:rPr>
        <w:t>该等个人能够就该项新受规管活动的监管知识完成额外的</w:t>
      </w:r>
      <w:r>
        <w:rPr>
          <w:lang w:eastAsia="zh-CN"/>
        </w:rPr>
        <w:t>5</w:t>
      </w:r>
      <w:r>
        <w:rPr>
          <w:lang w:eastAsia="zh-CN"/>
        </w:rPr>
        <w:t>个持续培训时数，以代替通过针对该项新的受规管活动的本地监管框架考试的要求。</w:t>
      </w:r>
    </w:p>
    <w:p w:rsidR="00C45474" w:rsidRDefault="009808DB">
      <w:pPr>
        <w:pStyle w:val="BodyText"/>
        <w:rPr>
          <w:lang w:eastAsia="zh-CN"/>
        </w:rPr>
      </w:pPr>
      <w:r>
        <w:rPr>
          <w:lang w:eastAsia="zh-CN"/>
        </w:rPr>
        <w:t>关于经修订的《胜任能力的指引》</w:t>
      </w:r>
      <w:hyperlink w:anchor="footnote-8693-5">
        <w:r>
          <w:rPr>
            <w:vertAlign w:val="superscript"/>
            <w:lang w:eastAsia="zh-CN"/>
          </w:rPr>
          <w:t>5</w:t>
        </w:r>
      </w:hyperlink>
      <w:r>
        <w:rPr>
          <w:lang w:eastAsia="zh-CN"/>
        </w:rPr>
        <w:t>，请参阅第</w:t>
      </w:r>
      <w:r>
        <w:rPr>
          <w:lang w:eastAsia="zh-CN"/>
        </w:rPr>
        <w:t>4.4.3.7</w:t>
      </w:r>
      <w:r>
        <w:rPr>
          <w:lang w:eastAsia="zh-CN"/>
        </w:rPr>
        <w:t>段。</w:t>
      </w:r>
    </w:p>
    <w:p w:rsidR="00C45474" w:rsidRDefault="009808DB">
      <w:pPr>
        <w:pStyle w:val="BodyText"/>
        <w:rPr>
          <w:lang w:eastAsia="zh-CN"/>
        </w:rPr>
      </w:pPr>
      <w:r>
        <w:rPr>
          <w:lang w:eastAsia="zh-CN"/>
        </w:rPr>
        <w:t xml:space="preserve">4. </w:t>
      </w:r>
      <w:r>
        <w:rPr>
          <w:lang w:eastAsia="zh-CN"/>
        </w:rPr>
        <w:t>证监会关于负责人员的相关行业经验规定</w:t>
      </w:r>
    </w:p>
    <w:p w:rsidR="00C45474" w:rsidRDefault="009808DB">
      <w:pPr>
        <w:pStyle w:val="BodyText"/>
        <w:rPr>
          <w:lang w:eastAsia="zh-CN"/>
        </w:rPr>
      </w:pPr>
      <w:r>
        <w:rPr>
          <w:lang w:eastAsia="zh-CN"/>
        </w:rPr>
        <w:t>考量牌照申请人在该行业内的整体职业</w:t>
      </w:r>
      <w:r>
        <w:rPr>
          <w:lang w:eastAsia="zh-CN"/>
        </w:rPr>
        <w:t>资历</w:t>
      </w:r>
    </w:p>
    <w:p w:rsidR="00C45474" w:rsidRDefault="009808DB">
      <w:pPr>
        <w:pStyle w:val="BodyText"/>
        <w:rPr>
          <w:lang w:eastAsia="zh-CN"/>
        </w:rPr>
      </w:pPr>
      <w:r>
        <w:rPr>
          <w:i/>
          <w:lang w:eastAsia="zh-CN"/>
        </w:rPr>
        <w:t>现有规定</w:t>
      </w:r>
    </w:p>
    <w:p w:rsidR="00C45474" w:rsidRDefault="009808DB">
      <w:pPr>
        <w:pStyle w:val="BodyText"/>
        <w:rPr>
          <w:lang w:eastAsia="zh-CN"/>
        </w:rPr>
      </w:pPr>
      <w:r>
        <w:rPr>
          <w:lang w:eastAsia="zh-CN"/>
        </w:rPr>
        <w:t>「近期」是在评估个人的行业经验中的一个核心要素：根据现有制度，仅在订明期间内累积的相关行业经验被才认可。例如，在选择</w:t>
      </w:r>
      <w:r>
        <w:rPr>
          <w:lang w:eastAsia="zh-CN"/>
        </w:rPr>
        <w:t>1</w:t>
      </w:r>
      <w:r>
        <w:rPr>
          <w:lang w:eastAsia="zh-CN"/>
        </w:rPr>
        <w:t>中，负责人员申请人须在过去</w:t>
      </w:r>
      <w:r>
        <w:rPr>
          <w:lang w:eastAsia="zh-CN"/>
        </w:rPr>
        <w:t>6</w:t>
      </w:r>
      <w:r>
        <w:rPr>
          <w:lang w:eastAsia="zh-CN"/>
        </w:rPr>
        <w:t>年中至少拥有</w:t>
      </w:r>
      <w:r>
        <w:rPr>
          <w:lang w:eastAsia="zh-CN"/>
        </w:rPr>
        <w:t>3</w:t>
      </w:r>
      <w:r>
        <w:rPr>
          <w:lang w:eastAsia="zh-CN"/>
        </w:rPr>
        <w:t>年相关行业经验。在该</w:t>
      </w:r>
      <w:r>
        <w:rPr>
          <w:lang w:eastAsia="zh-CN"/>
        </w:rPr>
        <w:t>6</w:t>
      </w:r>
      <w:r>
        <w:rPr>
          <w:lang w:eastAsia="zh-CN"/>
        </w:rPr>
        <w:t>年之外取得的经验可能不予计算。</w:t>
      </w:r>
    </w:p>
    <w:p w:rsidR="00C45474" w:rsidRDefault="009808DB">
      <w:pPr>
        <w:pStyle w:val="BodyText"/>
        <w:rPr>
          <w:lang w:eastAsia="zh-CN"/>
        </w:rPr>
      </w:pPr>
      <w:r>
        <w:rPr>
          <w:i/>
          <w:lang w:eastAsia="zh-CN"/>
        </w:rPr>
        <w:lastRenderedPageBreak/>
        <w:t>相关行业规定的变更</w:t>
      </w:r>
    </w:p>
    <w:p w:rsidR="00C45474" w:rsidRDefault="009808DB">
      <w:pPr>
        <w:pStyle w:val="BodyText"/>
        <w:rPr>
          <w:lang w:eastAsia="zh-CN"/>
        </w:rPr>
      </w:pPr>
      <w:r>
        <w:rPr>
          <w:lang w:eastAsia="zh-CN"/>
        </w:rPr>
        <w:t>证监会将采纳其建议，即对于不能完全符合其相关行业经验中近期要素规定的申请人，证监会还会依据个案考量其在该行业内的整体职业资历，不过早期的经验可能给予较低的比重。如证监会接纳该类早期经验的为相关经验，申请人或可获发牌照或者给予核准，但受发牌条件约束。</w:t>
      </w:r>
    </w:p>
    <w:p w:rsidR="00C45474" w:rsidRDefault="009808DB">
      <w:pPr>
        <w:pStyle w:val="BodyText"/>
        <w:rPr>
          <w:lang w:eastAsia="zh-CN"/>
        </w:rPr>
      </w:pPr>
      <w:r>
        <w:rPr>
          <w:lang w:eastAsia="zh-CN"/>
        </w:rPr>
        <w:t>证监会将严格</w:t>
      </w:r>
      <w:r>
        <w:rPr>
          <w:lang w:eastAsia="zh-CN"/>
        </w:rPr>
        <w:t>审查申请人透过仅在短期内隶属于前主事人而取得的行业经验。该等申请人可能需要就其在之前主事人担任的角色与承担的责任以及实际参与的活动提供全面的详细情况。在该份《咨询文件》中，证监会指出一些牌照申请人频繁变更主事人（例如在</w:t>
      </w:r>
      <w:r>
        <w:rPr>
          <w:lang w:eastAsia="zh-CN"/>
        </w:rPr>
        <w:t>3</w:t>
      </w:r>
      <w:r>
        <w:rPr>
          <w:lang w:eastAsia="zh-CN"/>
        </w:rPr>
        <w:t>年中曾</w:t>
      </w:r>
      <w:r>
        <w:rPr>
          <w:lang w:eastAsia="zh-CN"/>
        </w:rPr>
        <w:t>6</w:t>
      </w:r>
      <w:r>
        <w:rPr>
          <w:lang w:eastAsia="zh-CN"/>
        </w:rPr>
        <w:t>次更换隶属主事人的某位牌照申请人），且在短期内变更多家隶属主事人的模式可能会令人质疑该牌照申请人是否已累积足够的相关行业经验。</w:t>
      </w:r>
    </w:p>
    <w:p w:rsidR="00C45474" w:rsidRDefault="009808DB">
      <w:pPr>
        <w:pStyle w:val="BodyText"/>
        <w:rPr>
          <w:lang w:eastAsia="zh-CN"/>
        </w:rPr>
      </w:pPr>
      <w:r>
        <w:rPr>
          <w:lang w:eastAsia="zh-CN"/>
        </w:rPr>
        <w:t>该项建议将适用于所有申请人，包括持牌法团的负责人员及持牌代表以及注册机构的主管人员及相关个人。证监会在该份《咨询总结》中指出注册机构透过采取合理步骤使其信纳</w:t>
      </w:r>
      <w:r>
        <w:rPr>
          <w:lang w:eastAsia="zh-CN"/>
        </w:rPr>
        <w:t>其相关个人之前已经从事过相关活动的方式负责确保其相关个人具胜任能力。</w:t>
      </w:r>
    </w:p>
    <w:p w:rsidR="00C45474" w:rsidRDefault="009808DB">
      <w:pPr>
        <w:pStyle w:val="BodyText"/>
        <w:rPr>
          <w:lang w:eastAsia="zh-CN"/>
        </w:rPr>
      </w:pPr>
      <w:r>
        <w:rPr>
          <w:lang w:eastAsia="zh-CN"/>
        </w:rPr>
        <w:t>证监会还厘清了如申请被拒绝，惯常做法是以书面形式通知决定的理据。</w:t>
      </w:r>
    </w:p>
    <w:p w:rsidR="00C45474" w:rsidRDefault="009808DB">
      <w:pPr>
        <w:pStyle w:val="BodyText"/>
        <w:rPr>
          <w:lang w:eastAsia="zh-CN"/>
        </w:rPr>
      </w:pPr>
      <w:r>
        <w:rPr>
          <w:lang w:eastAsia="zh-CN"/>
        </w:rPr>
        <w:t xml:space="preserve">5. </w:t>
      </w:r>
      <w:r>
        <w:rPr>
          <w:lang w:eastAsia="zh-CN"/>
        </w:rPr>
        <w:t>证监会负责人员的管理经验规定</w:t>
      </w:r>
    </w:p>
    <w:p w:rsidR="00C45474" w:rsidRDefault="009808DB">
      <w:pPr>
        <w:pStyle w:val="BodyText"/>
        <w:rPr>
          <w:lang w:eastAsia="zh-CN"/>
        </w:rPr>
      </w:pPr>
      <w:r>
        <w:rPr>
          <w:lang w:eastAsia="zh-CN"/>
        </w:rPr>
        <w:t>《胜任能力的指引》要求负责人员申请人拥有</w:t>
      </w:r>
      <w:r>
        <w:rPr>
          <w:lang w:eastAsia="zh-CN"/>
        </w:rPr>
        <w:t>2</w:t>
      </w:r>
      <w:r>
        <w:rPr>
          <w:lang w:eastAsia="zh-CN"/>
        </w:rPr>
        <w:t>年管理经验但未订明将获接纳的管理经验的类别。证监会将采纳其建议阐明管理经验限于在业务环境中监督及管理重要的受规管职能或者项目的亲身经验，包括管理从事该等职能或者项目的职员（经修订的《胜任能力的指引》第</w:t>
      </w:r>
      <w:r>
        <w:rPr>
          <w:lang w:eastAsia="zh-CN"/>
        </w:rPr>
        <w:t>4.1.13</w:t>
      </w:r>
      <w:r>
        <w:rPr>
          <w:lang w:eastAsia="zh-CN"/>
        </w:rPr>
        <w:t>段）。</w:t>
      </w:r>
    </w:p>
    <w:p w:rsidR="00C45474" w:rsidRDefault="009808DB">
      <w:pPr>
        <w:pStyle w:val="BodyText"/>
        <w:rPr>
          <w:lang w:eastAsia="zh-CN"/>
        </w:rPr>
      </w:pPr>
      <w:r>
        <w:rPr>
          <w:lang w:eastAsia="zh-CN"/>
        </w:rPr>
        <w:t>在对行业反馈进行的回应中，证监会同意接纳在金融行业中取得的管理经验，并已对经修</w:t>
      </w:r>
      <w:r>
        <w:rPr>
          <w:lang w:eastAsia="zh-CN"/>
        </w:rPr>
        <w:t>订的《胜任能力的指引》第</w:t>
      </w:r>
      <w:r>
        <w:rPr>
          <w:lang w:eastAsia="zh-CN"/>
        </w:rPr>
        <w:t>4.1.13</w:t>
      </w:r>
      <w:r>
        <w:rPr>
          <w:lang w:eastAsia="zh-CN"/>
        </w:rPr>
        <w:t>段进行了相应的修订。证监会通常不会接纳纯粹属行政性质的管理经验（例如人力资源或者办公室行政）。</w:t>
      </w:r>
    </w:p>
    <w:p w:rsidR="00C45474" w:rsidRDefault="009808DB">
      <w:pPr>
        <w:pStyle w:val="BodyText"/>
        <w:rPr>
          <w:lang w:eastAsia="zh-CN"/>
        </w:rPr>
      </w:pPr>
      <w:r>
        <w:rPr>
          <w:lang w:eastAsia="zh-CN"/>
        </w:rPr>
        <w:t>在回应回应者提出的澄清管理经验规定的要求的过程中，证监会列出了以下将被认可为属管理经验的示例（非属详尽无遗）：</w:t>
      </w:r>
    </w:p>
    <w:p w:rsidR="00C45474" w:rsidRDefault="009808DB">
      <w:pPr>
        <w:pStyle w:val="Compact"/>
        <w:numPr>
          <w:ilvl w:val="0"/>
          <w:numId w:val="11"/>
        </w:numPr>
        <w:rPr>
          <w:lang w:eastAsia="zh-CN"/>
        </w:rPr>
      </w:pPr>
      <w:r>
        <w:rPr>
          <w:lang w:eastAsia="zh-CN"/>
        </w:rPr>
        <w:t>担任持牌法团、注册机构或者金融行业中某法团高级管理层职位监督受规管活动或者金融服务的经验；</w:t>
      </w:r>
    </w:p>
    <w:p w:rsidR="00C45474" w:rsidRDefault="009808DB">
      <w:pPr>
        <w:pStyle w:val="Compact"/>
        <w:numPr>
          <w:ilvl w:val="0"/>
          <w:numId w:val="11"/>
        </w:numPr>
        <w:rPr>
          <w:lang w:eastAsia="zh-CN"/>
        </w:rPr>
      </w:pPr>
      <w:r>
        <w:rPr>
          <w:lang w:eastAsia="zh-CN"/>
        </w:rPr>
        <w:t>监督投资团队执行投资职能（无论是否受规管）的经验；及</w:t>
      </w:r>
    </w:p>
    <w:p w:rsidR="00C45474" w:rsidRDefault="009808DB">
      <w:pPr>
        <w:pStyle w:val="Compact"/>
        <w:numPr>
          <w:ilvl w:val="0"/>
          <w:numId w:val="11"/>
        </w:numPr>
        <w:rPr>
          <w:lang w:eastAsia="zh-CN"/>
        </w:rPr>
      </w:pPr>
      <w:r>
        <w:rPr>
          <w:lang w:eastAsia="zh-CN"/>
        </w:rPr>
        <w:t>从管理另一类别受规管活动中获取的经验。</w:t>
      </w:r>
    </w:p>
    <w:p w:rsidR="00C45474" w:rsidRDefault="009808DB">
      <w:pPr>
        <w:pStyle w:val="FirstParagraph"/>
        <w:rPr>
          <w:lang w:eastAsia="zh-CN"/>
        </w:rPr>
      </w:pPr>
      <w:r>
        <w:rPr>
          <w:lang w:eastAsia="zh-CN"/>
        </w:rPr>
        <w:t xml:space="preserve">6. </w:t>
      </w:r>
      <w:r>
        <w:rPr>
          <w:lang w:eastAsia="zh-CN"/>
        </w:rPr>
        <w:t>就香港《收购守则》事宜提供意见的个人的胜任能力规定</w:t>
      </w:r>
    </w:p>
    <w:p w:rsidR="00C45474" w:rsidRDefault="009808DB">
      <w:pPr>
        <w:pStyle w:val="BodyText"/>
        <w:rPr>
          <w:lang w:eastAsia="zh-CN"/>
        </w:rPr>
      </w:pPr>
      <w:r>
        <w:rPr>
          <w:lang w:eastAsia="zh-CN"/>
        </w:rPr>
        <w:t>目前就香港《收购守则》事</w:t>
      </w:r>
      <w:r>
        <w:rPr>
          <w:lang w:eastAsia="zh-CN"/>
        </w:rPr>
        <w:t>宜提供意见的合资格标准</w:t>
      </w:r>
    </w:p>
    <w:p w:rsidR="00C45474" w:rsidRDefault="009808DB">
      <w:pPr>
        <w:pStyle w:val="BodyText"/>
        <w:rPr>
          <w:lang w:eastAsia="zh-CN"/>
        </w:rPr>
      </w:pPr>
      <w:r>
        <w:rPr>
          <w:lang w:eastAsia="zh-CN"/>
        </w:rPr>
        <w:t>就第</w:t>
      </w:r>
      <w:r>
        <w:rPr>
          <w:lang w:eastAsia="zh-CN"/>
        </w:rPr>
        <w:t>6</w:t>
      </w:r>
      <w:r>
        <w:rPr>
          <w:lang w:eastAsia="zh-CN"/>
        </w:rPr>
        <w:t>类受规管活动（就机构融资提供意见）获发牌或者注册的负责人员以及主管人员在符合以下条件的情况下有资格以独立行事身份（即其牌照无任何限制）就与香港《收购守则》相关联事宜提供意见：</w:t>
      </w:r>
    </w:p>
    <w:p w:rsidR="00C45474" w:rsidRDefault="009808DB">
      <w:pPr>
        <w:pStyle w:val="Compact"/>
        <w:numPr>
          <w:ilvl w:val="0"/>
          <w:numId w:val="12"/>
        </w:numPr>
        <w:rPr>
          <w:lang w:eastAsia="zh-CN"/>
        </w:rPr>
      </w:pPr>
      <w:r>
        <w:rPr>
          <w:lang w:eastAsia="zh-CN"/>
        </w:rPr>
        <w:t>拥有监督一项已完成的受香港《收购守则》规管的交易的经验；</w:t>
      </w:r>
    </w:p>
    <w:p w:rsidR="00C45474" w:rsidRDefault="009808DB">
      <w:pPr>
        <w:pStyle w:val="Compact"/>
        <w:numPr>
          <w:ilvl w:val="0"/>
          <w:numId w:val="12"/>
        </w:numPr>
        <w:rPr>
          <w:lang w:eastAsia="zh-CN"/>
        </w:rPr>
      </w:pPr>
      <w:r>
        <w:rPr>
          <w:lang w:eastAsia="zh-CN"/>
        </w:rPr>
        <w:t>已属香港收购及合并委员会成员（但是注意就成员须在该委员会服务的最短期间而言目前并无规定）；或者</w:t>
      </w:r>
    </w:p>
    <w:p w:rsidR="00C45474" w:rsidRDefault="009808DB">
      <w:pPr>
        <w:pStyle w:val="Compact"/>
        <w:numPr>
          <w:ilvl w:val="0"/>
          <w:numId w:val="12"/>
        </w:numPr>
        <w:rPr>
          <w:lang w:eastAsia="zh-CN"/>
        </w:rPr>
      </w:pPr>
      <w:r>
        <w:rPr>
          <w:lang w:eastAsia="zh-CN"/>
        </w:rPr>
        <w:t>已属伦敦收购委员会成员、主管人员或者借调员工。</w:t>
      </w:r>
    </w:p>
    <w:p w:rsidR="00C45474" w:rsidRDefault="009808DB">
      <w:pPr>
        <w:pStyle w:val="FirstParagraph"/>
        <w:rPr>
          <w:lang w:eastAsia="zh-CN"/>
        </w:rPr>
      </w:pPr>
      <w:r>
        <w:rPr>
          <w:lang w:eastAsia="zh-CN"/>
        </w:rPr>
        <w:t>就香港《收购守则》事宜提供意见的负责人员及主管人员的经修订合资格标准</w:t>
      </w:r>
    </w:p>
    <w:p w:rsidR="00C45474" w:rsidRDefault="009808DB">
      <w:pPr>
        <w:pStyle w:val="BodyText"/>
        <w:rPr>
          <w:lang w:eastAsia="zh-CN"/>
        </w:rPr>
      </w:pPr>
      <w:r>
        <w:rPr>
          <w:lang w:eastAsia="zh-CN"/>
        </w:rPr>
        <w:t>证监会将采纳提高合资格以独立行事身份就与香港《收购守则》相关联事宜提供意见的第</w:t>
      </w:r>
      <w:r>
        <w:rPr>
          <w:lang w:eastAsia="zh-CN"/>
        </w:rPr>
        <w:t>6</w:t>
      </w:r>
      <w:r>
        <w:rPr>
          <w:lang w:eastAsia="zh-CN"/>
        </w:rPr>
        <w:t>类受规管活动负责人员及主管人员的合资格标准。经修订的合资格规定载列于经修订的《胜任能力的</w:t>
      </w:r>
      <w:r>
        <w:rPr>
          <w:lang w:eastAsia="zh-CN"/>
        </w:rPr>
        <w:lastRenderedPageBreak/>
        <w:t>指引》附录</w:t>
      </w:r>
      <w:r>
        <w:rPr>
          <w:lang w:eastAsia="zh-CN"/>
        </w:rPr>
        <w:t>B</w:t>
      </w:r>
      <w:r>
        <w:rPr>
          <w:lang w:eastAsia="zh-CN"/>
        </w:rPr>
        <w:t>中新的《适用于进行受</w:t>
      </w:r>
      <w:r>
        <w:rPr>
          <w:lang w:eastAsia="zh-CN"/>
        </w:rPr>
        <w:t>&lt;</w:t>
      </w:r>
      <w:r>
        <w:rPr>
          <w:lang w:eastAsia="zh-CN"/>
        </w:rPr>
        <w:t>公司收购、合并及股份回购守则</w:t>
      </w:r>
      <w:r>
        <w:rPr>
          <w:lang w:eastAsia="zh-CN"/>
        </w:rPr>
        <w:t>&gt;</w:t>
      </w:r>
      <w:r>
        <w:rPr>
          <w:lang w:eastAsia="zh-CN"/>
        </w:rPr>
        <w:t>规管的事宜有关的活动的法团及个人的额外胜任能力规定》（《</w:t>
      </w:r>
      <w:r>
        <w:rPr>
          <w:b/>
          <w:lang w:eastAsia="zh-CN"/>
        </w:rPr>
        <w:t>收购守则顾问指引</w:t>
      </w:r>
      <w:r>
        <w:rPr>
          <w:lang w:eastAsia="zh-CN"/>
        </w:rPr>
        <w:t>》）第</w:t>
      </w:r>
      <w:r>
        <w:rPr>
          <w:lang w:eastAsia="zh-CN"/>
        </w:rPr>
        <w:t>2.2.1</w:t>
      </w:r>
      <w:r>
        <w:rPr>
          <w:lang w:eastAsia="zh-CN"/>
        </w:rPr>
        <w:t>段。</w:t>
      </w:r>
    </w:p>
    <w:p w:rsidR="00C45474" w:rsidRDefault="009808DB">
      <w:pPr>
        <w:pStyle w:val="BodyText"/>
        <w:rPr>
          <w:lang w:eastAsia="zh-CN"/>
        </w:rPr>
      </w:pPr>
      <w:r>
        <w:rPr>
          <w:lang w:eastAsia="zh-CN"/>
        </w:rPr>
        <w:t>该新的合资格标准规定有关人员须符合选择</w:t>
      </w:r>
      <w:r>
        <w:rPr>
          <w:lang w:eastAsia="zh-CN"/>
        </w:rPr>
        <w:t>1</w:t>
      </w:r>
      <w:r>
        <w:rPr>
          <w:lang w:eastAsia="zh-CN"/>
        </w:rPr>
        <w:t>或者选择</w:t>
      </w:r>
      <w:r>
        <w:rPr>
          <w:lang w:eastAsia="zh-CN"/>
        </w:rPr>
        <w:t>2</w:t>
      </w:r>
      <w:r>
        <w:rPr>
          <w:lang w:eastAsia="zh-CN"/>
        </w:rPr>
        <w:t>中的如下规定。</w:t>
      </w:r>
    </w:p>
    <w:p w:rsidR="00C45474" w:rsidRDefault="009808DB">
      <w:pPr>
        <w:pStyle w:val="BodyText"/>
      </w:pPr>
      <w:r>
        <w:t>选择</w:t>
      </w:r>
      <w:r>
        <w:t>1</w:t>
      </w:r>
      <w:r>
        <w:t>要求有关人员：</w:t>
      </w:r>
    </w:p>
    <w:p w:rsidR="00C45474" w:rsidRDefault="009808DB">
      <w:pPr>
        <w:pStyle w:val="Compact"/>
        <w:numPr>
          <w:ilvl w:val="0"/>
          <w:numId w:val="13"/>
        </w:numPr>
        <w:rPr>
          <w:lang w:eastAsia="zh-CN"/>
        </w:rPr>
      </w:pPr>
      <w:r>
        <w:rPr>
          <w:lang w:eastAsia="zh-CN"/>
        </w:rPr>
        <w:t>就已在香港证券交易所上市的公司拥有至少连续</w:t>
      </w:r>
      <w:r>
        <w:rPr>
          <w:lang w:eastAsia="zh-CN"/>
        </w:rPr>
        <w:t>5</w:t>
      </w:r>
      <w:r>
        <w:rPr>
          <w:lang w:eastAsia="zh-CN"/>
        </w:rPr>
        <w:t>年的机构融资经验；及</w:t>
      </w:r>
    </w:p>
    <w:p w:rsidR="00C45474" w:rsidRDefault="009808DB">
      <w:pPr>
        <w:pStyle w:val="Compact"/>
        <w:numPr>
          <w:ilvl w:val="0"/>
          <w:numId w:val="13"/>
        </w:numPr>
        <w:rPr>
          <w:lang w:eastAsia="zh-CN"/>
        </w:rPr>
      </w:pPr>
      <w:r>
        <w:rPr>
          <w:lang w:eastAsia="zh-CN"/>
        </w:rPr>
        <w:t>紧接其受委任之前的</w:t>
      </w:r>
      <w:r>
        <w:rPr>
          <w:lang w:eastAsia="zh-CN"/>
        </w:rPr>
        <w:t>5</w:t>
      </w:r>
      <w:r>
        <w:rPr>
          <w:lang w:eastAsia="zh-CN"/>
        </w:rPr>
        <w:t>年中，曾于至</w:t>
      </w:r>
      <w:r>
        <w:rPr>
          <w:lang w:eastAsia="zh-CN"/>
        </w:rPr>
        <w:t>少</w:t>
      </w:r>
      <w:r>
        <w:rPr>
          <w:lang w:eastAsia="zh-CN"/>
        </w:rPr>
        <w:t>2</w:t>
      </w:r>
      <w:r>
        <w:rPr>
          <w:lang w:eastAsia="zh-CN"/>
        </w:rPr>
        <w:t>宗己完成的收购交易中实质及相当程度地参与向要约人或者受要约公司提供意见。</w:t>
      </w:r>
    </w:p>
    <w:p w:rsidR="00C45474" w:rsidRDefault="009808DB">
      <w:pPr>
        <w:pStyle w:val="FirstParagraph"/>
        <w:rPr>
          <w:lang w:eastAsia="zh-CN"/>
        </w:rPr>
      </w:pPr>
      <w:r>
        <w:rPr>
          <w:lang w:eastAsia="zh-CN"/>
        </w:rPr>
        <w:t>选择</w:t>
      </w:r>
      <w:r>
        <w:rPr>
          <w:lang w:eastAsia="zh-CN"/>
        </w:rPr>
        <w:t>2</w:t>
      </w:r>
      <w:r>
        <w:rPr>
          <w:lang w:eastAsia="zh-CN"/>
        </w:rPr>
        <w:t>要求有关人士在之前</w:t>
      </w:r>
      <w:r>
        <w:rPr>
          <w:lang w:eastAsia="zh-CN"/>
        </w:rPr>
        <w:t>5</w:t>
      </w:r>
      <w:r>
        <w:rPr>
          <w:lang w:eastAsia="zh-CN"/>
        </w:rPr>
        <w:t>年中至少有</w:t>
      </w:r>
      <w:r>
        <w:rPr>
          <w:lang w:eastAsia="zh-CN"/>
        </w:rPr>
        <w:t>2</w:t>
      </w:r>
      <w:r>
        <w:rPr>
          <w:lang w:eastAsia="zh-CN"/>
        </w:rPr>
        <w:t>年已担任香港收购及合并委员会成员。</w:t>
      </w:r>
    </w:p>
    <w:p w:rsidR="00C45474" w:rsidRDefault="009808DB">
      <w:pPr>
        <w:pStyle w:val="BodyText"/>
        <w:rPr>
          <w:lang w:eastAsia="zh-CN"/>
        </w:rPr>
      </w:pPr>
      <w:r>
        <w:rPr>
          <w:lang w:eastAsia="zh-CN"/>
        </w:rPr>
        <w:t>选择</w:t>
      </w:r>
      <w:r>
        <w:rPr>
          <w:lang w:eastAsia="zh-CN"/>
        </w:rPr>
        <w:t>1</w:t>
      </w:r>
      <w:r>
        <w:rPr>
          <w:lang w:eastAsia="zh-CN"/>
        </w:rPr>
        <w:t>中的「实质及相当程度地」参与要求在整个《收购守则》交易过程中，有关个人在监督及执行该交易方面担任主要的领导角色（例如领导及监督尽职审查以及就与有关交易小组开展的工作相关事宜作出主要决策）。在厘定个人是否已经符合此项规定时会被纳入考量的事宜清单载列于《收购守则顾问指引》第</w:t>
      </w:r>
      <w:r>
        <w:rPr>
          <w:lang w:eastAsia="zh-CN"/>
        </w:rPr>
        <w:t>2.2.4</w:t>
      </w:r>
      <w:r>
        <w:rPr>
          <w:lang w:eastAsia="zh-CN"/>
        </w:rPr>
        <w:t>段中。</w:t>
      </w:r>
    </w:p>
    <w:p w:rsidR="00C45474" w:rsidRDefault="009808DB">
      <w:pPr>
        <w:pStyle w:val="BodyText"/>
        <w:rPr>
          <w:lang w:eastAsia="zh-CN"/>
        </w:rPr>
      </w:pPr>
      <w:r>
        <w:rPr>
          <w:lang w:eastAsia="zh-CN"/>
        </w:rPr>
        <w:t>因应回应者索求的澄清，证监会作出以下确认：</w:t>
      </w:r>
    </w:p>
    <w:p w:rsidR="00C45474" w:rsidRDefault="009808DB">
      <w:pPr>
        <w:pStyle w:val="Compact"/>
        <w:numPr>
          <w:ilvl w:val="0"/>
          <w:numId w:val="14"/>
        </w:numPr>
        <w:rPr>
          <w:lang w:eastAsia="zh-CN"/>
        </w:rPr>
      </w:pPr>
      <w:r>
        <w:rPr>
          <w:lang w:eastAsia="zh-CN"/>
        </w:rPr>
        <w:t>申请人须在紧临申请日期</w:t>
      </w:r>
      <w:r>
        <w:rPr>
          <w:lang w:eastAsia="zh-CN"/>
        </w:rPr>
        <w:t>之前至少有连续</w:t>
      </w:r>
      <w:r>
        <w:rPr>
          <w:lang w:eastAsia="zh-CN"/>
        </w:rPr>
        <w:t>5</w:t>
      </w:r>
      <w:r>
        <w:rPr>
          <w:lang w:eastAsia="zh-CN"/>
        </w:rPr>
        <w:t>年的机构融资经验。如在该</w:t>
      </w:r>
      <w:r>
        <w:rPr>
          <w:lang w:eastAsia="zh-CN"/>
        </w:rPr>
        <w:t>5</w:t>
      </w:r>
      <w:r>
        <w:rPr>
          <w:lang w:eastAsia="zh-CN"/>
        </w:rPr>
        <w:t>年期间内有职业休假的情况，证监会将依据个案考量具体申请。</w:t>
      </w:r>
    </w:p>
    <w:p w:rsidR="00C45474" w:rsidRDefault="009808DB">
      <w:pPr>
        <w:pStyle w:val="Compact"/>
        <w:numPr>
          <w:ilvl w:val="0"/>
          <w:numId w:val="14"/>
        </w:numPr>
        <w:rPr>
          <w:lang w:eastAsia="zh-CN"/>
        </w:rPr>
      </w:pPr>
      <w:r>
        <w:rPr>
          <w:lang w:eastAsia="zh-CN"/>
        </w:rPr>
        <w:t>《收购守则顾问指引》第</w:t>
      </w:r>
      <w:r>
        <w:rPr>
          <w:lang w:eastAsia="zh-CN"/>
        </w:rPr>
        <w:t>2.2.2</w:t>
      </w:r>
      <w:r>
        <w:rPr>
          <w:lang w:eastAsia="zh-CN"/>
        </w:rPr>
        <w:t>段指明会被视为机构融资经验的经验类别。在考量第</w:t>
      </w:r>
      <w:r>
        <w:rPr>
          <w:lang w:eastAsia="zh-CN"/>
        </w:rPr>
        <w:t>6</w:t>
      </w:r>
      <w:r>
        <w:rPr>
          <w:lang w:eastAsia="zh-CN"/>
        </w:rPr>
        <w:t>类受规管活动的负责人员或者主管人员是否合资格以「独立行事身份」就与《收购守则》相关联事宜提供意见时，前提是该人员须已参与并取得机构融资交易经验。已经在所需期间内就第</w:t>
      </w:r>
      <w:r>
        <w:rPr>
          <w:lang w:eastAsia="zh-CN"/>
        </w:rPr>
        <w:t>6</w:t>
      </w:r>
      <w:r>
        <w:rPr>
          <w:lang w:eastAsia="zh-CN"/>
        </w:rPr>
        <w:t>类受规管活动获发牌但是未参与机构融资交易的申请人不会被视为拥有足够机构融资经验。</w:t>
      </w:r>
    </w:p>
    <w:p w:rsidR="00C45474" w:rsidRDefault="009808DB">
      <w:pPr>
        <w:pStyle w:val="Compact"/>
        <w:numPr>
          <w:ilvl w:val="0"/>
          <w:numId w:val="14"/>
        </w:numPr>
        <w:rPr>
          <w:lang w:eastAsia="zh-CN"/>
        </w:rPr>
      </w:pPr>
      <w:r>
        <w:rPr>
          <w:lang w:eastAsia="zh-CN"/>
        </w:rPr>
        <w:t>就拥有海外经验的申请人而言，虽然其收购交易不会被计入相关规定的</w:t>
      </w:r>
      <w:r>
        <w:rPr>
          <w:lang w:eastAsia="zh-CN"/>
        </w:rPr>
        <w:t>2</w:t>
      </w:r>
      <w:r>
        <w:rPr>
          <w:lang w:eastAsia="zh-CN"/>
        </w:rPr>
        <w:t>宗已完成的《收购守则</w:t>
      </w:r>
      <w:r>
        <w:rPr>
          <w:lang w:eastAsia="zh-CN"/>
        </w:rPr>
        <w:t>》交易中，但是证监会可能会考量其在拥有与香港收购制度相若的海外司法权区的所有实质经验。该等申请人应预期其牌照或者注册（如获批准）须受到「非独立行事身份」条件所约束。</w:t>
      </w:r>
    </w:p>
    <w:p w:rsidR="00C45474" w:rsidRDefault="009808DB">
      <w:pPr>
        <w:pStyle w:val="FirstParagraph"/>
        <w:rPr>
          <w:lang w:eastAsia="zh-CN"/>
        </w:rPr>
      </w:pPr>
      <w:r>
        <w:rPr>
          <w:lang w:eastAsia="zh-CN"/>
        </w:rPr>
        <w:t>有意从事《收购守则》交易工作的持牌代表及相关个人的新考试规定</w:t>
      </w:r>
    </w:p>
    <w:p w:rsidR="00C45474" w:rsidRDefault="009808DB">
      <w:pPr>
        <w:pStyle w:val="BodyText"/>
        <w:rPr>
          <w:lang w:eastAsia="zh-CN"/>
        </w:rPr>
      </w:pPr>
      <w:r>
        <w:rPr>
          <w:lang w:eastAsia="zh-CN"/>
        </w:rPr>
        <w:t>证监会将采纳该项意见，即要求有意从事香港《收购守则》交易的持牌代表及相关个人在其受聘任之前</w:t>
      </w:r>
      <w:r>
        <w:rPr>
          <w:lang w:eastAsia="zh-CN"/>
        </w:rPr>
        <w:t>3</w:t>
      </w:r>
      <w:r>
        <w:rPr>
          <w:lang w:eastAsia="zh-CN"/>
        </w:rPr>
        <w:t>年内（含</w:t>
      </w:r>
      <w:r>
        <w:rPr>
          <w:lang w:eastAsia="zh-CN"/>
        </w:rPr>
        <w:t>3</w:t>
      </w:r>
      <w:r>
        <w:rPr>
          <w:lang w:eastAsia="zh-CN"/>
        </w:rPr>
        <w:t>年）且不晚于受聘后</w:t>
      </w:r>
      <w:r>
        <w:rPr>
          <w:lang w:eastAsia="zh-CN"/>
        </w:rPr>
        <w:t>6</w:t>
      </w:r>
      <w:r>
        <w:rPr>
          <w:lang w:eastAsia="zh-CN"/>
        </w:rPr>
        <w:t>个月内通过专门围绕香港《收购守则》进行的一场考试（香港证券及投资学会发牌考试卷</w:t>
      </w:r>
      <w:r>
        <w:rPr>
          <w:lang w:eastAsia="zh-CN"/>
        </w:rPr>
        <w:t>17</w:t>
      </w:r>
      <w:r>
        <w:rPr>
          <w:lang w:eastAsia="zh-CN"/>
        </w:rPr>
        <w:t>）。除了适用的考试规定（即须已通过香港证券及投资学会发牌考试卷</w:t>
      </w:r>
      <w:r>
        <w:rPr>
          <w:lang w:eastAsia="zh-CN"/>
        </w:rPr>
        <w:t>1</w:t>
      </w:r>
      <w:r>
        <w:rPr>
          <w:lang w:eastAsia="zh-CN"/>
        </w:rPr>
        <w:t>的规定）之外，该</w:t>
      </w:r>
      <w:r>
        <w:rPr>
          <w:lang w:eastAsia="zh-CN"/>
        </w:rPr>
        <w:t>项规定亦适用于所有持牌代表及相关个人。</w:t>
      </w:r>
    </w:p>
    <w:p w:rsidR="00C45474" w:rsidRDefault="009808DB">
      <w:pPr>
        <w:pStyle w:val="BodyText"/>
        <w:rPr>
          <w:lang w:eastAsia="zh-CN"/>
        </w:rPr>
      </w:pPr>
      <w:r>
        <w:rPr>
          <w:lang w:eastAsia="zh-CN"/>
        </w:rPr>
        <w:t>一次性的豁免安排将适用于在</w:t>
      </w:r>
      <w:r>
        <w:rPr>
          <w:lang w:eastAsia="zh-CN"/>
        </w:rPr>
        <w:t>2022</w:t>
      </w:r>
      <w:r>
        <w:rPr>
          <w:lang w:eastAsia="zh-CN"/>
        </w:rPr>
        <w:t>年</w:t>
      </w:r>
      <w:r>
        <w:rPr>
          <w:lang w:eastAsia="zh-CN"/>
        </w:rPr>
        <w:t>1</w:t>
      </w:r>
      <w:r>
        <w:rPr>
          <w:lang w:eastAsia="zh-CN"/>
        </w:rPr>
        <w:t>月</w:t>
      </w:r>
      <w:r>
        <w:rPr>
          <w:lang w:eastAsia="zh-CN"/>
        </w:rPr>
        <w:t>1</w:t>
      </w:r>
      <w:r>
        <w:rPr>
          <w:lang w:eastAsia="zh-CN"/>
        </w:rPr>
        <w:t>日之前</w:t>
      </w:r>
      <w:r>
        <w:rPr>
          <w:lang w:eastAsia="zh-CN"/>
        </w:rPr>
        <w:t>3</w:t>
      </w:r>
      <w:r>
        <w:rPr>
          <w:lang w:eastAsia="zh-CN"/>
        </w:rPr>
        <w:t>年内，曾在至少一项已完成的收购交易中，由始至终以第</w:t>
      </w:r>
      <w:r>
        <w:rPr>
          <w:lang w:eastAsia="zh-CN"/>
        </w:rPr>
        <w:t xml:space="preserve"> 6</w:t>
      </w:r>
      <w:r>
        <w:rPr>
          <w:lang w:eastAsia="zh-CN"/>
        </w:rPr>
        <w:t>类受规管活动的持牌代表的身分从事收购交易工作。该等个人将获豁免遵守须已通过香港证券及投资学会发牌考试卷</w:t>
      </w:r>
      <w:r>
        <w:rPr>
          <w:lang w:eastAsia="zh-CN"/>
        </w:rPr>
        <w:t>17</w:t>
      </w:r>
      <w:r>
        <w:rPr>
          <w:lang w:eastAsia="zh-CN"/>
        </w:rPr>
        <w:t>的规定。</w:t>
      </w:r>
    </w:p>
    <w:p w:rsidR="00C45474" w:rsidRDefault="009808DB">
      <w:pPr>
        <w:pStyle w:val="BodyText"/>
        <w:rPr>
          <w:lang w:eastAsia="zh-CN"/>
        </w:rPr>
      </w:pPr>
      <w:r>
        <w:rPr>
          <w:lang w:eastAsia="zh-CN"/>
        </w:rPr>
        <w:t>合资格以独立行事身份就与香港《收购守则》相关联事宜提供意见的第</w:t>
      </w:r>
      <w:r>
        <w:rPr>
          <w:lang w:eastAsia="zh-CN"/>
        </w:rPr>
        <w:t>6</w:t>
      </w:r>
      <w:r>
        <w:rPr>
          <w:lang w:eastAsia="zh-CN"/>
        </w:rPr>
        <w:t>类受规管活动负责人员及主管人员亦获豁免额外的考试规定。不过，能够以「非独立行事身份」就香港《收购守则》相关事宜提供意见的负责人员及主管人员将不会获豁免额外考试规定（如生效）。</w:t>
      </w:r>
    </w:p>
    <w:p w:rsidR="00C45474" w:rsidRDefault="009808DB">
      <w:pPr>
        <w:pStyle w:val="BodyText"/>
        <w:rPr>
          <w:lang w:eastAsia="zh-CN"/>
        </w:rPr>
      </w:pPr>
      <w:r>
        <w:rPr>
          <w:lang w:eastAsia="zh-CN"/>
        </w:rPr>
        <w:t>7.</w:t>
      </w:r>
      <w:r>
        <w:rPr>
          <w:lang w:eastAsia="zh-CN"/>
        </w:rPr>
        <w:t>对建议提</w:t>
      </w:r>
      <w:r>
        <w:rPr>
          <w:lang w:eastAsia="zh-CN"/>
        </w:rPr>
        <w:t>高胜任能力要求的其他回应</w:t>
      </w:r>
    </w:p>
    <w:p w:rsidR="00C45474" w:rsidRDefault="009808DB">
      <w:pPr>
        <w:pStyle w:val="BodyText"/>
        <w:rPr>
          <w:lang w:eastAsia="zh-CN"/>
        </w:rPr>
      </w:pPr>
      <w:r>
        <w:rPr>
          <w:lang w:eastAsia="zh-CN"/>
        </w:rPr>
        <w:t>3</w:t>
      </w:r>
      <w:r>
        <w:rPr>
          <w:lang w:eastAsia="zh-CN"/>
        </w:rPr>
        <w:t>名回应者建议可持续发展计划应被视为在行业中担任高级管理层职位的个人的一项核心胜任能力。证监会没有将有关提议强制订明为入行规定，而是决定在经修订的《持续培训的指引》中将环境、社会及管治视为一项针对持续培训的相关专题。</w:t>
      </w:r>
    </w:p>
    <w:p w:rsidR="00C45474" w:rsidRDefault="009808DB">
      <w:pPr>
        <w:pStyle w:val="BodyText"/>
        <w:rPr>
          <w:lang w:eastAsia="zh-CN"/>
        </w:rPr>
      </w:pPr>
      <w:r>
        <w:rPr>
          <w:lang w:eastAsia="zh-CN"/>
        </w:rPr>
        <w:lastRenderedPageBreak/>
        <w:t>关于经修订的《胜任能力的指引》第</w:t>
      </w:r>
      <w:r>
        <w:rPr>
          <w:lang w:eastAsia="zh-CN"/>
        </w:rPr>
        <w:t>4.1.8</w:t>
      </w:r>
      <w:r>
        <w:rPr>
          <w:lang w:eastAsia="zh-CN"/>
        </w:rPr>
        <w:t>段及第</w:t>
      </w:r>
      <w:r>
        <w:rPr>
          <w:lang w:eastAsia="zh-CN"/>
        </w:rPr>
        <w:t>4.1.9</w:t>
      </w:r>
      <w:r>
        <w:rPr>
          <w:lang w:eastAsia="zh-CN"/>
        </w:rPr>
        <w:t>段，证监会将「相关行业经验」解释为透过在香港从事受规管活动或者在其他地方进行类似的受规管活动而获取的实际工作经验。「相关性」包括该经验的本质是否与申请的受规管活动以及该个人将履行的职能直接相关或者至关紧要。</w:t>
      </w:r>
    </w:p>
    <w:p w:rsidR="00C45474" w:rsidRDefault="009808DB">
      <w:pPr>
        <w:pStyle w:val="BodyText"/>
        <w:rPr>
          <w:lang w:eastAsia="zh-CN"/>
        </w:rPr>
      </w:pPr>
      <w:r>
        <w:rPr>
          <w:lang w:eastAsia="zh-CN"/>
        </w:rPr>
        <w:t>证监会确认选择</w:t>
      </w:r>
      <w:r>
        <w:rPr>
          <w:lang w:eastAsia="zh-CN"/>
        </w:rPr>
        <w:t>B</w:t>
      </w:r>
      <w:r>
        <w:rPr>
          <w:lang w:eastAsia="zh-CN"/>
        </w:rPr>
        <w:t>及选择</w:t>
      </w:r>
      <w:r>
        <w:rPr>
          <w:lang w:eastAsia="zh-CN"/>
        </w:rPr>
        <w:t>C</w:t>
      </w:r>
      <w:r>
        <w:rPr>
          <w:lang w:eastAsia="zh-CN"/>
        </w:rPr>
        <w:t>申请人所适用的管理经验及相关行业经验规定的评估方式与选择</w:t>
      </w:r>
      <w:r>
        <w:rPr>
          <w:lang w:eastAsia="zh-CN"/>
        </w:rPr>
        <w:t>A</w:t>
      </w:r>
      <w:r>
        <w:rPr>
          <w:lang w:eastAsia="zh-CN"/>
        </w:rPr>
        <w:t>申请人相同。相关一般原则可于经修订的《胜任能力的指引》第</w:t>
      </w:r>
      <w:r>
        <w:rPr>
          <w:lang w:eastAsia="zh-CN"/>
        </w:rPr>
        <w:t>4.1.8</w:t>
      </w:r>
      <w:r>
        <w:rPr>
          <w:lang w:eastAsia="zh-CN"/>
        </w:rPr>
        <w:t>段至第</w:t>
      </w:r>
      <w:r>
        <w:rPr>
          <w:lang w:eastAsia="zh-CN"/>
        </w:rPr>
        <w:t>4.1.13</w:t>
      </w:r>
      <w:r>
        <w:rPr>
          <w:lang w:eastAsia="zh-CN"/>
        </w:rPr>
        <w:t>段中获取。</w:t>
      </w:r>
    </w:p>
    <w:p w:rsidR="00C45474" w:rsidRDefault="009808DB">
      <w:pPr>
        <w:pStyle w:val="BodyText"/>
        <w:rPr>
          <w:lang w:eastAsia="zh-CN"/>
        </w:rPr>
      </w:pPr>
      <w:r>
        <w:rPr>
          <w:lang w:eastAsia="zh-CN"/>
        </w:rPr>
        <w:t>持续培训规定的修订</w:t>
      </w:r>
    </w:p>
    <w:p w:rsidR="00C45474" w:rsidRDefault="009808DB">
      <w:pPr>
        <w:pStyle w:val="BodyText"/>
        <w:rPr>
          <w:lang w:eastAsia="zh-CN"/>
        </w:rPr>
      </w:pPr>
      <w:r>
        <w:rPr>
          <w:lang w:eastAsia="zh-CN"/>
        </w:rPr>
        <w:t xml:space="preserve">1. </w:t>
      </w:r>
      <w:r>
        <w:rPr>
          <w:lang w:eastAsia="zh-CN"/>
        </w:rPr>
        <w:t>透过指明每年须完成的持续培训时数厘定持续培训责任的依据</w:t>
      </w:r>
    </w:p>
    <w:p w:rsidR="00C45474" w:rsidRDefault="009808DB">
      <w:pPr>
        <w:pStyle w:val="BodyText"/>
        <w:rPr>
          <w:lang w:eastAsia="zh-CN"/>
        </w:rPr>
      </w:pPr>
      <w:r>
        <w:rPr>
          <w:lang w:eastAsia="zh-CN"/>
        </w:rPr>
        <w:t>根据该份经修订的《持续培训的指引》，每位个人从业人员均须在每个日历年度中完成一个固定数目的持续培训时数，而无论其获发牌的受规管活动的数目如何（《持续培训的指引》第</w:t>
      </w:r>
      <w:r>
        <w:rPr>
          <w:lang w:eastAsia="zh-CN"/>
        </w:rPr>
        <w:t>5.2</w:t>
      </w:r>
      <w:r>
        <w:rPr>
          <w:lang w:eastAsia="zh-CN"/>
        </w:rPr>
        <w:t>段）。</w:t>
      </w:r>
    </w:p>
    <w:p w:rsidR="00C45474" w:rsidRDefault="009808DB">
      <w:pPr>
        <w:pStyle w:val="BodyText"/>
        <w:rPr>
          <w:lang w:eastAsia="zh-CN"/>
        </w:rPr>
      </w:pPr>
      <w:r>
        <w:rPr>
          <w:lang w:eastAsia="zh-CN"/>
        </w:rPr>
        <w:t xml:space="preserve">2. </w:t>
      </w:r>
      <w:r>
        <w:rPr>
          <w:lang w:eastAsia="zh-CN"/>
        </w:rPr>
        <w:t>每个日历年度最低持续培训规定</w:t>
      </w:r>
    </w:p>
    <w:p w:rsidR="00C45474" w:rsidRDefault="009808DB">
      <w:pPr>
        <w:pStyle w:val="BodyText"/>
        <w:rPr>
          <w:lang w:eastAsia="zh-CN"/>
        </w:rPr>
      </w:pPr>
      <w:r>
        <w:rPr>
          <w:lang w:eastAsia="zh-CN"/>
        </w:rPr>
        <w:t>经修订的持续培训规定为：</w:t>
      </w:r>
    </w:p>
    <w:p w:rsidR="00C45474" w:rsidRDefault="009808DB">
      <w:pPr>
        <w:pStyle w:val="Compact"/>
        <w:numPr>
          <w:ilvl w:val="0"/>
          <w:numId w:val="15"/>
        </w:numPr>
        <w:rPr>
          <w:lang w:eastAsia="zh-CN"/>
        </w:rPr>
      </w:pPr>
      <w:r>
        <w:rPr>
          <w:lang w:eastAsia="zh-CN"/>
        </w:rPr>
        <w:t>持牌代表及相关个人每个日历年度至少</w:t>
      </w:r>
      <w:r>
        <w:rPr>
          <w:lang w:eastAsia="zh-CN"/>
        </w:rPr>
        <w:t>10</w:t>
      </w:r>
      <w:r>
        <w:rPr>
          <w:lang w:eastAsia="zh-CN"/>
        </w:rPr>
        <w:t>个持续培训时数；及</w:t>
      </w:r>
    </w:p>
    <w:p w:rsidR="00C45474" w:rsidRDefault="009808DB">
      <w:pPr>
        <w:pStyle w:val="Compact"/>
        <w:numPr>
          <w:ilvl w:val="0"/>
          <w:numId w:val="15"/>
        </w:numPr>
        <w:rPr>
          <w:lang w:eastAsia="zh-CN"/>
        </w:rPr>
      </w:pPr>
      <w:r>
        <w:rPr>
          <w:lang w:eastAsia="zh-CN"/>
        </w:rPr>
        <w:t>负责人员及主管人员每个日历年度至少</w:t>
      </w:r>
      <w:r>
        <w:rPr>
          <w:lang w:eastAsia="zh-CN"/>
        </w:rPr>
        <w:t>12</w:t>
      </w:r>
      <w:r>
        <w:rPr>
          <w:lang w:eastAsia="zh-CN"/>
        </w:rPr>
        <w:t>个持续培训时数（含与监管合规相关专题的</w:t>
      </w:r>
      <w:r>
        <w:rPr>
          <w:lang w:eastAsia="zh-CN"/>
        </w:rPr>
        <w:t>2</w:t>
      </w:r>
      <w:r>
        <w:rPr>
          <w:lang w:eastAsia="zh-CN"/>
        </w:rPr>
        <w:t>个持续培训时数）。</w:t>
      </w:r>
    </w:p>
    <w:p w:rsidR="00C45474" w:rsidRDefault="009808DB">
      <w:pPr>
        <w:pStyle w:val="FirstParagraph"/>
        <w:rPr>
          <w:lang w:eastAsia="zh-CN"/>
        </w:rPr>
      </w:pPr>
      <w:r>
        <w:rPr>
          <w:lang w:eastAsia="zh-CN"/>
        </w:rPr>
        <w:t xml:space="preserve">3. </w:t>
      </w:r>
      <w:r>
        <w:rPr>
          <w:lang w:eastAsia="zh-CN"/>
        </w:rPr>
        <w:t>与受规管活动直接相关的专题的最低持续培训规定</w:t>
      </w:r>
    </w:p>
    <w:p w:rsidR="00C45474" w:rsidRDefault="009808DB">
      <w:pPr>
        <w:pStyle w:val="BodyText"/>
        <w:rPr>
          <w:lang w:eastAsia="zh-CN"/>
        </w:rPr>
      </w:pPr>
      <w:r>
        <w:rPr>
          <w:lang w:eastAsia="zh-CN"/>
        </w:rPr>
        <w:t>根据该份经修订的《持续培训的指引》：</w:t>
      </w:r>
    </w:p>
    <w:p w:rsidR="00C45474" w:rsidRDefault="009808DB">
      <w:pPr>
        <w:pStyle w:val="Compact"/>
        <w:numPr>
          <w:ilvl w:val="0"/>
          <w:numId w:val="16"/>
        </w:numPr>
        <w:rPr>
          <w:lang w:eastAsia="zh-CN"/>
        </w:rPr>
      </w:pPr>
      <w:r>
        <w:rPr>
          <w:lang w:eastAsia="zh-CN"/>
        </w:rPr>
        <w:t>每名个人从业人员均需就与其获发牌或者注册的受规管活动直接相关的专题完成至少</w:t>
      </w:r>
      <w:r>
        <w:rPr>
          <w:lang w:eastAsia="zh-CN"/>
        </w:rPr>
        <w:t>5</w:t>
      </w:r>
      <w:r>
        <w:rPr>
          <w:lang w:eastAsia="zh-CN"/>
        </w:rPr>
        <w:t>个持续培训时数。作为一般原则，这</w:t>
      </w:r>
      <w:r>
        <w:rPr>
          <w:lang w:eastAsia="zh-CN"/>
        </w:rPr>
        <w:t>5</w:t>
      </w:r>
      <w:r>
        <w:rPr>
          <w:lang w:eastAsia="zh-CN"/>
        </w:rPr>
        <w:t>个持续培训时数须根据该名个人在其从事的各领域的作业范畴所投入的时间，按比例分配以涵盖每个实践领域。</w:t>
      </w:r>
    </w:p>
    <w:p w:rsidR="00C45474" w:rsidRDefault="009808DB">
      <w:pPr>
        <w:pStyle w:val="Compact"/>
        <w:numPr>
          <w:ilvl w:val="0"/>
          <w:numId w:val="16"/>
        </w:numPr>
        <w:rPr>
          <w:lang w:eastAsia="zh-CN"/>
        </w:rPr>
      </w:pPr>
      <w:r>
        <w:rPr>
          <w:lang w:eastAsia="zh-CN"/>
        </w:rPr>
        <w:t>从事与香港《收购守则》相关交易的个人须就与该《收购守则》</w:t>
      </w:r>
      <w:r>
        <w:rPr>
          <w:lang w:eastAsia="zh-CN"/>
        </w:rPr>
        <w:t>相关专题完成至少</w:t>
      </w:r>
      <w:r>
        <w:rPr>
          <w:lang w:eastAsia="zh-CN"/>
        </w:rPr>
        <w:t>2.5</w:t>
      </w:r>
      <w:r>
        <w:rPr>
          <w:lang w:eastAsia="zh-CN"/>
        </w:rPr>
        <w:t>个持续培训时数。该</w:t>
      </w:r>
      <w:r>
        <w:rPr>
          <w:lang w:eastAsia="zh-CN"/>
        </w:rPr>
        <w:t>2.5</w:t>
      </w:r>
      <w:r>
        <w:rPr>
          <w:lang w:eastAsia="zh-CN"/>
        </w:rPr>
        <w:t>个</w:t>
      </w:r>
      <w:r>
        <w:rPr>
          <w:lang w:eastAsia="zh-CN"/>
        </w:rPr>
        <w:t xml:space="preserve"> </w:t>
      </w:r>
      <w:r>
        <w:rPr>
          <w:lang w:eastAsia="zh-CN"/>
        </w:rPr>
        <w:t>持续培训时数可计入上文第</w:t>
      </w:r>
      <w:r>
        <w:rPr>
          <w:lang w:eastAsia="zh-CN"/>
        </w:rPr>
        <w:t>(i)</w:t>
      </w:r>
      <w:r>
        <w:rPr>
          <w:lang w:eastAsia="zh-CN"/>
        </w:rPr>
        <w:t>条中规定的</w:t>
      </w:r>
      <w:r>
        <w:rPr>
          <w:lang w:eastAsia="zh-CN"/>
        </w:rPr>
        <w:t>5</w:t>
      </w:r>
      <w:r>
        <w:rPr>
          <w:lang w:eastAsia="zh-CN"/>
        </w:rPr>
        <w:t>个持续培训时数中；</w:t>
      </w:r>
    </w:p>
    <w:p w:rsidR="00C45474" w:rsidRDefault="009808DB">
      <w:pPr>
        <w:pStyle w:val="Compact"/>
        <w:numPr>
          <w:ilvl w:val="0"/>
          <w:numId w:val="16"/>
        </w:numPr>
        <w:rPr>
          <w:lang w:eastAsia="zh-CN"/>
        </w:rPr>
      </w:pPr>
      <w:r>
        <w:rPr>
          <w:lang w:eastAsia="zh-CN"/>
        </w:rPr>
        <w:t>从事保荐人工作的个人须就与其保荐人工作相关的专题（例如监管规则及变更方面的知识）完成至少</w:t>
      </w:r>
      <w:r>
        <w:rPr>
          <w:lang w:eastAsia="zh-CN"/>
        </w:rPr>
        <w:t>2.5</w:t>
      </w:r>
      <w:r>
        <w:rPr>
          <w:lang w:eastAsia="zh-CN"/>
        </w:rPr>
        <w:t>个持续培训时数，且可计入上文第</w:t>
      </w:r>
      <w:r>
        <w:rPr>
          <w:lang w:eastAsia="zh-CN"/>
        </w:rPr>
        <w:t>(i)</w:t>
      </w:r>
      <w:r>
        <w:rPr>
          <w:lang w:eastAsia="zh-CN"/>
        </w:rPr>
        <w:t>条中规定的</w:t>
      </w:r>
      <w:r>
        <w:rPr>
          <w:lang w:eastAsia="zh-CN"/>
        </w:rPr>
        <w:t>5</w:t>
      </w:r>
      <w:r>
        <w:rPr>
          <w:lang w:eastAsia="zh-CN"/>
        </w:rPr>
        <w:t>个持续培训时数中。</w:t>
      </w:r>
    </w:p>
    <w:p w:rsidR="00C45474" w:rsidRDefault="009808DB">
      <w:pPr>
        <w:pStyle w:val="FirstParagraph"/>
        <w:rPr>
          <w:lang w:eastAsia="zh-CN"/>
        </w:rPr>
      </w:pPr>
      <w:r>
        <w:rPr>
          <w:lang w:eastAsia="zh-CN"/>
        </w:rPr>
        <w:t xml:space="preserve">4. </w:t>
      </w:r>
      <w:r>
        <w:rPr>
          <w:lang w:eastAsia="zh-CN"/>
        </w:rPr>
        <w:t>职业道德或者合规专题的最低持续培训规定</w:t>
      </w:r>
    </w:p>
    <w:p w:rsidR="00C45474" w:rsidRDefault="009808DB">
      <w:pPr>
        <w:pStyle w:val="BodyText"/>
        <w:rPr>
          <w:lang w:eastAsia="zh-CN"/>
        </w:rPr>
      </w:pPr>
      <w:r>
        <w:rPr>
          <w:lang w:eastAsia="zh-CN"/>
        </w:rPr>
        <w:t>该经修订的《持续培训的指引》亦会引进一项新规定，即个人从业人员须于每个日历年度中就职业道德或者合规相关专题完成至少</w:t>
      </w:r>
      <w:r>
        <w:rPr>
          <w:lang w:eastAsia="zh-CN"/>
        </w:rPr>
        <w:t>2</w:t>
      </w:r>
      <w:r>
        <w:rPr>
          <w:lang w:eastAsia="zh-CN"/>
        </w:rPr>
        <w:t>个持续培训时数。这</w:t>
      </w:r>
      <w:r>
        <w:rPr>
          <w:lang w:eastAsia="zh-CN"/>
        </w:rPr>
        <w:t>2</w:t>
      </w:r>
      <w:r>
        <w:rPr>
          <w:lang w:eastAsia="zh-CN"/>
        </w:rPr>
        <w:t>个培训时数将计入个人从业人员须完成的</w:t>
      </w:r>
      <w:r>
        <w:rPr>
          <w:lang w:eastAsia="zh-CN"/>
        </w:rPr>
        <w:t>10</w:t>
      </w:r>
      <w:r>
        <w:rPr>
          <w:lang w:eastAsia="zh-CN"/>
        </w:rPr>
        <w:t>个培训时数中。然</w:t>
      </w:r>
      <w:r>
        <w:rPr>
          <w:lang w:eastAsia="zh-CN"/>
        </w:rPr>
        <w:t>而，他们不能计入针对负责人员及主管人员规定的就与监管合规相关的专题完成的</w:t>
      </w:r>
      <w:r>
        <w:rPr>
          <w:lang w:eastAsia="zh-CN"/>
        </w:rPr>
        <w:t>2</w:t>
      </w:r>
      <w:r>
        <w:rPr>
          <w:lang w:eastAsia="zh-CN"/>
        </w:rPr>
        <w:t>个小时之额外持续培训中。</w:t>
      </w:r>
    </w:p>
    <w:p w:rsidR="00C45474" w:rsidRDefault="009808DB">
      <w:pPr>
        <w:pStyle w:val="BodyText"/>
        <w:rPr>
          <w:lang w:eastAsia="zh-CN"/>
        </w:rPr>
      </w:pPr>
      <w:r>
        <w:rPr>
          <w:lang w:eastAsia="zh-CN"/>
        </w:rPr>
        <w:t>香港的每位新入行的个人从业人员（短期持牌人例外）均需在其获得牌照或者进行注册后</w:t>
      </w:r>
      <w:r>
        <w:rPr>
          <w:lang w:eastAsia="zh-CN"/>
        </w:rPr>
        <w:t>12</w:t>
      </w:r>
      <w:r>
        <w:rPr>
          <w:lang w:eastAsia="zh-CN"/>
        </w:rPr>
        <w:t>个月内就与职业道德相关连专题完成至少</w:t>
      </w:r>
      <w:r>
        <w:rPr>
          <w:lang w:eastAsia="zh-CN"/>
        </w:rPr>
        <w:t>2</w:t>
      </w:r>
      <w:r>
        <w:rPr>
          <w:lang w:eastAsia="zh-CN"/>
        </w:rPr>
        <w:t>个持续培训时数。虽然针对首次获发牌的个人在一个日历年度中的其他持续培训规定能够按比例计算，但是这</w:t>
      </w:r>
      <w:r>
        <w:rPr>
          <w:lang w:eastAsia="zh-CN"/>
        </w:rPr>
        <w:t>2</w:t>
      </w:r>
      <w:r>
        <w:rPr>
          <w:lang w:eastAsia="zh-CN"/>
        </w:rPr>
        <w:t>个与职业道德相关的持续培训时数不能按比例计算。</w:t>
      </w:r>
    </w:p>
    <w:p w:rsidR="00C45474" w:rsidRDefault="009808DB">
      <w:pPr>
        <w:pStyle w:val="BodyText"/>
        <w:rPr>
          <w:lang w:eastAsia="zh-CN"/>
        </w:rPr>
      </w:pPr>
      <w:r>
        <w:rPr>
          <w:lang w:eastAsia="zh-CN"/>
        </w:rPr>
        <w:t>与「职业道德」相关的专题包括（但不限于）诚信，公平，适当的谨慎及努力，真诚，客观性，客户利益为上，公平对待客户，避免利益冲突及客户资料保密。与「合</w:t>
      </w:r>
      <w:r>
        <w:rPr>
          <w:lang w:eastAsia="zh-CN"/>
        </w:rPr>
        <w:t>规」相关的专题包括（但不限于）金融行业的法律及监管框架，行为守则及行业指引。</w:t>
      </w:r>
    </w:p>
    <w:p w:rsidR="00C45474" w:rsidRDefault="009808DB">
      <w:pPr>
        <w:pStyle w:val="BodyText"/>
        <w:rPr>
          <w:lang w:eastAsia="zh-CN"/>
        </w:rPr>
      </w:pPr>
      <w:r>
        <w:rPr>
          <w:lang w:eastAsia="zh-CN"/>
        </w:rPr>
        <w:t>如专题与指定受规管活动，监管合规及职业道德相关，则证监会给予个人及法团灵活性以厘定是否将该等持续培训时数计入该受规管活动相关的，监管合规或者职业道德规定中。但是，一项单一的持续培训活动一次只能用于满足一项持续培训规定。</w:t>
      </w:r>
    </w:p>
    <w:p w:rsidR="00C45474" w:rsidRDefault="009808DB">
      <w:pPr>
        <w:pStyle w:val="BodyText"/>
        <w:rPr>
          <w:lang w:eastAsia="zh-CN"/>
        </w:rPr>
      </w:pPr>
      <w:r>
        <w:rPr>
          <w:lang w:eastAsia="zh-CN"/>
        </w:rPr>
        <w:lastRenderedPageBreak/>
        <w:t>证监会在该份《咨询总结》中阐述道，纯粹的精神健康及个人成长，压力管理及咨询方面的培训不会被计入职业道德培训中。</w:t>
      </w:r>
    </w:p>
    <w:p w:rsidR="00C45474" w:rsidRDefault="009808DB">
      <w:pPr>
        <w:pStyle w:val="BodyText"/>
        <w:rPr>
          <w:lang w:eastAsia="zh-CN"/>
        </w:rPr>
      </w:pPr>
      <w:r>
        <w:rPr>
          <w:lang w:eastAsia="zh-CN"/>
        </w:rPr>
        <w:t>关于职业道德及合规持续培训的规定不适用于流动专业人员及短期牌照持有人。不过，这一点提示法团须确保其雇佣</w:t>
      </w:r>
      <w:r>
        <w:rPr>
          <w:lang w:eastAsia="zh-CN"/>
        </w:rPr>
        <w:t>或者委任进行交易的任何人员均须适宜。</w:t>
      </w:r>
    </w:p>
    <w:p w:rsidR="00C45474" w:rsidRDefault="009808DB">
      <w:pPr>
        <w:pStyle w:val="BodyText"/>
        <w:rPr>
          <w:lang w:eastAsia="zh-CN"/>
        </w:rPr>
      </w:pPr>
      <w:r>
        <w:rPr>
          <w:lang w:eastAsia="zh-CN"/>
        </w:rPr>
        <w:t xml:space="preserve">5. </w:t>
      </w:r>
      <w:r>
        <w:rPr>
          <w:lang w:eastAsia="zh-CN"/>
        </w:rPr>
        <w:t>持续培训专题及课程形式</w:t>
      </w:r>
    </w:p>
    <w:p w:rsidR="00C45474" w:rsidRDefault="009808DB">
      <w:pPr>
        <w:pStyle w:val="BodyText"/>
        <w:rPr>
          <w:lang w:eastAsia="zh-CN"/>
        </w:rPr>
      </w:pPr>
      <w:r>
        <w:rPr>
          <w:lang w:eastAsia="zh-CN"/>
        </w:rPr>
        <w:t>证监会强调一项事实，即经修订的《持续培训的指引》第</w:t>
      </w:r>
      <w:r>
        <w:rPr>
          <w:lang w:eastAsia="zh-CN"/>
        </w:rPr>
        <w:t>7.1</w:t>
      </w:r>
      <w:r>
        <w:rPr>
          <w:lang w:eastAsia="zh-CN"/>
        </w:rPr>
        <w:t>段已将环境，社会及管治以及金融科技纳入持续培训的相关专题中。</w:t>
      </w:r>
    </w:p>
    <w:p w:rsidR="00C45474" w:rsidRDefault="009808DB">
      <w:pPr>
        <w:pStyle w:val="BodyText"/>
        <w:rPr>
          <w:lang w:eastAsia="zh-CN"/>
        </w:rPr>
      </w:pPr>
      <w:r>
        <w:rPr>
          <w:lang w:eastAsia="zh-CN"/>
        </w:rPr>
        <w:t>在对回应者将持续培训规定延展至主管经理的建议进行的回应中，证监会提出主管经理无须符合持续培训规定，因为其可能不会获证监会发牌。</w:t>
      </w:r>
    </w:p>
    <w:p w:rsidR="00C45474" w:rsidRDefault="009808DB">
      <w:pPr>
        <w:pStyle w:val="BodyText"/>
        <w:rPr>
          <w:lang w:eastAsia="zh-CN"/>
        </w:rPr>
      </w:pPr>
      <w:r>
        <w:rPr>
          <w:lang w:eastAsia="zh-CN"/>
        </w:rPr>
        <w:t>虽然以面对面方式及虚拟形式参加课程，讲座，演讲及研讨会均获接纳，但是个人随时易于使用的在线学习课程须进行一项独立评估（例如估值或者测试）以确保该项持续培训活动包含经修订的《持续培训的指引》第</w:t>
      </w:r>
      <w:r>
        <w:rPr>
          <w:lang w:eastAsia="zh-CN"/>
        </w:rPr>
        <w:t>6.1</w:t>
      </w:r>
      <w:r>
        <w:rPr>
          <w:lang w:eastAsia="zh-CN"/>
        </w:rPr>
        <w:t>段</w:t>
      </w:r>
      <w:r>
        <w:rPr>
          <w:lang w:eastAsia="zh-CN"/>
        </w:rPr>
        <w:t>规定的互动要素。</w:t>
      </w:r>
    </w:p>
    <w:p w:rsidR="00C45474" w:rsidRDefault="009808DB">
      <w:pPr>
        <w:pStyle w:val="BodyText"/>
        <w:rPr>
          <w:lang w:eastAsia="zh-CN"/>
        </w:rPr>
      </w:pPr>
      <w:r>
        <w:rPr>
          <w:lang w:eastAsia="zh-CN"/>
        </w:rPr>
        <w:t>该等修订内容的实施时间表</w:t>
      </w:r>
    </w:p>
    <w:p w:rsidR="00C45474" w:rsidRDefault="009808DB">
      <w:pPr>
        <w:pStyle w:val="BodyText"/>
        <w:rPr>
          <w:lang w:eastAsia="zh-CN"/>
        </w:rPr>
      </w:pPr>
      <w:r>
        <w:rPr>
          <w:lang w:eastAsia="zh-CN"/>
        </w:rPr>
        <w:t>证监会经修订的《胜任能力的指引》以及《持续培训的指引》将于</w:t>
      </w:r>
      <w:r>
        <w:rPr>
          <w:lang w:eastAsia="zh-CN"/>
        </w:rPr>
        <w:t>2022</w:t>
      </w:r>
      <w:r>
        <w:rPr>
          <w:lang w:eastAsia="zh-CN"/>
        </w:rPr>
        <w:t>年</w:t>
      </w:r>
      <w:r>
        <w:rPr>
          <w:lang w:eastAsia="zh-CN"/>
        </w:rPr>
        <w:t>1</w:t>
      </w:r>
      <w:r>
        <w:rPr>
          <w:lang w:eastAsia="zh-CN"/>
        </w:rPr>
        <w:t>月</w:t>
      </w:r>
      <w:r>
        <w:rPr>
          <w:lang w:eastAsia="zh-CN"/>
        </w:rPr>
        <w:t>1</w:t>
      </w:r>
      <w:r>
        <w:rPr>
          <w:lang w:eastAsia="zh-CN"/>
        </w:rPr>
        <w:t>日生效。</w:t>
      </w:r>
    </w:p>
    <w:p w:rsidR="00C45474" w:rsidRDefault="009808DB" w:rsidP="009808DB">
      <w:pPr>
        <w:pStyle w:val="BodyText"/>
        <w:jc w:val="left"/>
        <w:rPr>
          <w:lang w:eastAsia="zh-CN"/>
        </w:rPr>
      </w:pPr>
      <w:hyperlink w:anchor="footnote-8693-1-backlink">
        <w:r>
          <w:rPr>
            <w:lang w:eastAsia="zh-CN"/>
          </w:rPr>
          <w:t>1</w:t>
        </w:r>
      </w:hyperlink>
      <w:r>
        <w:rPr>
          <w:lang w:eastAsia="zh-CN"/>
        </w:rPr>
        <w:t xml:space="preserve"> </w:t>
      </w:r>
      <w:r>
        <w:rPr>
          <w:lang w:eastAsia="zh-CN"/>
        </w:rPr>
        <w:t>证监会。《有关建议优化适用于中介人及个人从业人员的胜任能力框架的咨询总结》。</w:t>
      </w:r>
      <w:r>
        <w:rPr>
          <w:lang w:eastAsia="zh-CN"/>
        </w:rPr>
        <w:t>2021</w:t>
      </w:r>
      <w:r>
        <w:rPr>
          <w:lang w:eastAsia="zh-CN"/>
        </w:rPr>
        <w:t>年</w:t>
      </w:r>
      <w:r>
        <w:rPr>
          <w:lang w:eastAsia="zh-CN"/>
        </w:rPr>
        <w:t>06</w:t>
      </w:r>
      <w:r>
        <w:rPr>
          <w:lang w:eastAsia="zh-CN"/>
        </w:rPr>
        <w:t>月</w:t>
      </w:r>
      <w:r>
        <w:rPr>
          <w:lang w:eastAsia="zh-CN"/>
        </w:rPr>
        <w:t>18</w:t>
      </w:r>
      <w:r>
        <w:rPr>
          <w:lang w:eastAsia="zh-CN"/>
        </w:rPr>
        <w:t>日。载列于：</w:t>
      </w:r>
      <w:r>
        <w:rPr>
          <w:lang w:eastAsia="zh-CN"/>
        </w:rPr>
        <w:t xml:space="preserve"> </w:t>
      </w:r>
      <w:hyperlink r:id="rId9">
        <w:r>
          <w:rPr>
            <w:lang w:eastAsia="zh-CN"/>
          </w:rPr>
          <w:t>https://apps.sfc.hk/edistributionWeb/api/consultation/conclusion?lang=EN&amp;refNo=20CP8</w:t>
        </w:r>
      </w:hyperlink>
    </w:p>
    <w:p w:rsidR="00C45474" w:rsidRDefault="009808DB" w:rsidP="009808DB">
      <w:pPr>
        <w:pStyle w:val="BodyText"/>
        <w:jc w:val="left"/>
        <w:rPr>
          <w:lang w:eastAsia="zh-CN"/>
        </w:rPr>
      </w:pPr>
      <w:hyperlink w:anchor="footnote-8693-2-backlink">
        <w:r>
          <w:rPr>
            <w:lang w:eastAsia="zh-CN"/>
          </w:rPr>
          <w:t>2</w:t>
        </w:r>
      </w:hyperlink>
      <w:r>
        <w:rPr>
          <w:lang w:eastAsia="zh-CN"/>
        </w:rPr>
        <w:t xml:space="preserve"> </w:t>
      </w:r>
      <w:r>
        <w:rPr>
          <w:lang w:eastAsia="zh-CN"/>
        </w:rPr>
        <w:t>证监会。《有关建议优化适用于中介人及个人从业人员的胜任能力框架的咨询文件》。</w:t>
      </w:r>
      <w:r>
        <w:rPr>
          <w:lang w:eastAsia="zh-CN"/>
        </w:rPr>
        <w:t>2020</w:t>
      </w:r>
      <w:r>
        <w:rPr>
          <w:lang w:eastAsia="zh-CN"/>
        </w:rPr>
        <w:t>年</w:t>
      </w:r>
      <w:r>
        <w:rPr>
          <w:lang w:eastAsia="zh-CN"/>
        </w:rPr>
        <w:t>12</w:t>
      </w:r>
      <w:r>
        <w:rPr>
          <w:lang w:eastAsia="zh-CN"/>
        </w:rPr>
        <w:t>月</w:t>
      </w:r>
      <w:r>
        <w:rPr>
          <w:lang w:eastAsia="zh-CN"/>
        </w:rPr>
        <w:t>11</w:t>
      </w:r>
      <w:r>
        <w:rPr>
          <w:lang w:eastAsia="zh-CN"/>
        </w:rPr>
        <w:t>日。载列于</w:t>
      </w:r>
      <w:hyperlink r:id="rId10">
        <w:r>
          <w:rPr>
            <w:lang w:eastAsia="zh-CN"/>
          </w:rPr>
          <w:t>https://apps.sfc.hk/edistributionWeb/api/consultation/openFile?lang=EN&amp;refNo=20CP8</w:t>
        </w:r>
      </w:hyperlink>
    </w:p>
    <w:p w:rsidR="00C45474" w:rsidRDefault="009808DB" w:rsidP="009808DB">
      <w:pPr>
        <w:pStyle w:val="BodyText"/>
        <w:jc w:val="left"/>
        <w:rPr>
          <w:lang w:eastAsia="zh-CN"/>
        </w:rPr>
      </w:pPr>
      <w:hyperlink w:anchor="footnote-8693-3-backlink">
        <w:r>
          <w:rPr>
            <w:lang w:eastAsia="zh-CN"/>
          </w:rPr>
          <w:t>3</w:t>
        </w:r>
      </w:hyperlink>
      <w:r>
        <w:rPr>
          <w:lang w:eastAsia="zh-CN"/>
        </w:rPr>
        <w:t xml:space="preserve"> </w:t>
      </w:r>
      <w:r>
        <w:rPr>
          <w:lang w:eastAsia="zh-CN"/>
        </w:rPr>
        <w:t>易周律师行。《证监会就持牌中介人及个人技能规定的变更进行咨询》。</w:t>
      </w:r>
      <w:r>
        <w:rPr>
          <w:lang w:eastAsia="zh-CN"/>
        </w:rPr>
        <w:t>2021</w:t>
      </w:r>
      <w:r>
        <w:rPr>
          <w:lang w:eastAsia="zh-CN"/>
        </w:rPr>
        <w:t>年</w:t>
      </w:r>
      <w:r>
        <w:rPr>
          <w:lang w:eastAsia="zh-CN"/>
        </w:rPr>
        <w:t>01</w:t>
      </w:r>
      <w:r>
        <w:rPr>
          <w:lang w:eastAsia="zh-CN"/>
        </w:rPr>
        <w:t>月</w:t>
      </w:r>
      <w:r>
        <w:rPr>
          <w:lang w:eastAsia="zh-CN"/>
        </w:rPr>
        <w:t>19</w:t>
      </w:r>
      <w:r>
        <w:rPr>
          <w:lang w:eastAsia="zh-CN"/>
        </w:rPr>
        <w:t>日。载列于：</w:t>
      </w:r>
      <w:hyperlink r:id="rId11">
        <w:r>
          <w:rPr>
            <w:lang w:eastAsia="zh-CN"/>
          </w:rPr>
          <w:t>https://www.charltonslaw.com/sfc-consults-on-changes-to-competency-requirements-for-licensed-intermediaries-and-individuals/</w:t>
        </w:r>
      </w:hyperlink>
    </w:p>
    <w:p w:rsidR="00C45474" w:rsidRDefault="009808DB" w:rsidP="009808DB">
      <w:pPr>
        <w:pStyle w:val="BodyText"/>
        <w:jc w:val="left"/>
        <w:rPr>
          <w:lang w:eastAsia="zh-CN"/>
        </w:rPr>
      </w:pPr>
      <w:hyperlink w:anchor="footnote-8693-4-backlink">
        <w:r>
          <w:rPr>
            <w:lang w:eastAsia="zh-CN"/>
          </w:rPr>
          <w:t>4</w:t>
        </w:r>
      </w:hyperlink>
      <w:r>
        <w:rPr>
          <w:lang w:eastAsia="zh-CN"/>
        </w:rPr>
        <w:t xml:space="preserve"> </w:t>
      </w:r>
      <w:r>
        <w:rPr>
          <w:lang w:eastAsia="zh-CN"/>
        </w:rPr>
        <w:t>证监会。《发牌手册》</w:t>
      </w:r>
      <w:r>
        <w:rPr>
          <w:lang w:eastAsia="zh-CN"/>
        </w:rPr>
        <w:t>2020</w:t>
      </w:r>
      <w:r>
        <w:rPr>
          <w:lang w:eastAsia="zh-CN"/>
        </w:rPr>
        <w:t>版本第</w:t>
      </w:r>
      <w:r>
        <w:rPr>
          <w:lang w:eastAsia="zh-CN"/>
        </w:rPr>
        <w:t>5.3.7</w:t>
      </w:r>
      <w:r>
        <w:rPr>
          <w:lang w:eastAsia="zh-CN"/>
        </w:rPr>
        <w:t>段。载列于：</w:t>
      </w:r>
      <w:hyperlink r:id="rId12">
        <w:r>
          <w:rPr>
            <w:lang w:eastAsia="zh-CN"/>
          </w:rPr>
          <w:t>https://www.sfc.hk/-/media/EN/files/LIC/handbook/licensing-handbook.pdf</w:t>
        </w:r>
      </w:hyperlink>
    </w:p>
    <w:p w:rsidR="00C45474" w:rsidRDefault="009808DB" w:rsidP="009808DB">
      <w:pPr>
        <w:pStyle w:val="BodyText"/>
        <w:jc w:val="left"/>
        <w:rPr>
          <w:lang w:eastAsia="zh-CN"/>
        </w:rPr>
      </w:pPr>
      <w:hyperlink w:anchor="footnote-8693-5-backlink">
        <w:r>
          <w:rPr>
            <w:lang w:eastAsia="zh-CN"/>
          </w:rPr>
          <w:t>5</w:t>
        </w:r>
      </w:hyperlink>
      <w:r>
        <w:rPr>
          <w:lang w:eastAsia="zh-CN"/>
        </w:rPr>
        <w:t xml:space="preserve"> </w:t>
      </w:r>
      <w:r>
        <w:rPr>
          <w:lang w:eastAsia="zh-CN"/>
        </w:rPr>
        <w:t>证监会。经修订的《胜任能力的指引》附录</w:t>
      </w:r>
      <w:r>
        <w:rPr>
          <w:lang w:eastAsia="zh-CN"/>
        </w:rPr>
        <w:t>A</w:t>
      </w:r>
      <w:r>
        <w:rPr>
          <w:lang w:eastAsia="zh-CN"/>
        </w:rPr>
        <w:t>。</w:t>
      </w:r>
    </w:p>
    <w:p w:rsidR="00C45474" w:rsidRDefault="009808DB">
      <w:pPr>
        <w:pStyle w:val="DisclaimerBold"/>
        <w:rPr>
          <w:lang w:eastAsia="zh-CN"/>
        </w:rPr>
      </w:pPr>
      <w:r>
        <w:rPr>
          <w:lang w:eastAsia="zh-CN"/>
        </w:rPr>
        <w:t>此法讯仅为提供相关资料信息之用，其内容并</w:t>
      </w:r>
    </w:p>
    <w:p w:rsidR="00C45474" w:rsidRDefault="009808DB">
      <w:pPr>
        <w:pStyle w:val="Disclaimer"/>
        <w:rPr>
          <w:lang w:eastAsia="zh-CN"/>
        </w:rPr>
      </w:pPr>
      <w:r>
        <w:rPr>
          <w:lang w:eastAsia="zh-CN"/>
        </w:rPr>
        <w:t>不构成法律建议及个案的法律分析。</w:t>
      </w:r>
    </w:p>
    <w:p w:rsidR="00C45474" w:rsidRDefault="009808DB">
      <w:pPr>
        <w:pStyle w:val="Disclaimer"/>
        <w:rPr>
          <w:lang w:eastAsia="zh-CN"/>
        </w:rPr>
      </w:pPr>
      <w:r>
        <w:rPr>
          <w:lang w:eastAsia="zh-CN"/>
        </w:rPr>
        <w:t>此法讯的发送并不是为了在易周律师行与用户或浏览者之间建立一种律师与客户之关系。</w:t>
      </w:r>
    </w:p>
    <w:p w:rsidR="00C45474" w:rsidRDefault="009808DB">
      <w:pPr>
        <w:pStyle w:val="Disclaimer"/>
        <w:rPr>
          <w:lang w:eastAsia="zh-CN"/>
        </w:rPr>
      </w:pPr>
      <w:r>
        <w:rPr>
          <w:lang w:eastAsia="zh-CN"/>
        </w:rPr>
        <w:t>易周律师行并不对可从互联网获得的任何第三方内容负责。</w:t>
      </w:r>
    </w:p>
    <w:p w:rsidR="00C45474" w:rsidRDefault="009808DB">
      <w:pPr>
        <w:pStyle w:val="Disclaimer"/>
        <w:rPr>
          <w:lang w:eastAsia="zh-CN"/>
        </w:rPr>
      </w:pPr>
      <w:r>
        <w:rPr>
          <w:lang w:eastAsia="zh-CN"/>
        </w:rPr>
        <w:t>如你不希望再收到易周法讯，请发送电邮至</w:t>
      </w:r>
      <w:r>
        <w:rPr>
          <w:lang w:eastAsia="zh-CN"/>
        </w:rPr>
        <w:t xml:space="preserve">  </w:t>
      </w:r>
      <w:hyperlink r:id="rId13">
        <w:r>
          <w:rPr>
            <w:lang w:eastAsia="zh-CN"/>
          </w:rPr>
          <w:t>unsubscribe@charltonslaw.com</w:t>
        </w:r>
      </w:hyperlink>
    </w:p>
    <w:p w:rsidR="00C45474" w:rsidRDefault="009808DB">
      <w:pPr>
        <w:pStyle w:val="BlackStrips"/>
      </w:pPr>
      <w:r>
        <w:t xml:space="preserve">Charltons - </w:t>
      </w:r>
      <w:r>
        <w:t>香港法律</w:t>
      </w:r>
      <w:r>
        <w:t xml:space="preserve"> - 2021</w:t>
      </w:r>
      <w:r>
        <w:t>年</w:t>
      </w:r>
      <w:r>
        <w:t>12</w:t>
      </w:r>
      <w:r>
        <w:t>月</w:t>
      </w:r>
      <w:r>
        <w:t>1</w:t>
      </w:r>
      <w:r>
        <w:t>日</w:t>
      </w:r>
    </w:p>
    <w:sectPr w:rsidR="00C45474">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08DB">
      <w:pPr>
        <w:spacing w:after="0"/>
      </w:pPr>
      <w:r>
        <w:separator/>
      </w:r>
    </w:p>
  </w:endnote>
  <w:endnote w:type="continuationSeparator" w:id="0">
    <w:p w:rsidR="00000000" w:rsidRDefault="00980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474" w:rsidRDefault="009808DB">
      <w:r>
        <w:separator/>
      </w:r>
    </w:p>
  </w:footnote>
  <w:footnote w:type="continuationSeparator" w:id="0">
    <w:p w:rsidR="00C45474" w:rsidRDefault="00980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DCC29EF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B6BA9F9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865CFFB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5D76DA3A"/>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4" w15:restartNumberingAfterBreak="0">
    <w:nsid w:val="71315DCA"/>
    <w:multiLevelType w:val="multilevel"/>
    <w:tmpl w:val="DD2C75B0"/>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784D58"/>
    <w:rsid w:val="008D6863"/>
    <w:rsid w:val="009808DB"/>
    <w:rsid w:val="00B86B75"/>
    <w:rsid w:val="00B97602"/>
    <w:rsid w:val="00BC48D5"/>
    <w:rsid w:val="00C36279"/>
    <w:rsid w:val="00C45474"/>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DFB6"/>
  <w15:docId w15:val="{1E23B079-26F4-496D-A96C-A2873E47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B9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97602"/>
    <w:rPr>
      <w:sz w:val="16"/>
      <w:szCs w:val="16"/>
    </w:rPr>
  </w:style>
  <w:style w:type="paragraph" w:styleId="CommentText">
    <w:name w:val="annotation text"/>
    <w:basedOn w:val="Normal"/>
    <w:link w:val="CommentTextChar"/>
    <w:semiHidden/>
    <w:unhideWhenUsed/>
    <w:rsid w:val="00B97602"/>
    <w:rPr>
      <w:rFonts w:eastAsiaTheme="minorEastAsia"/>
      <w:sz w:val="20"/>
      <w:szCs w:val="20"/>
    </w:rPr>
  </w:style>
  <w:style w:type="character" w:customStyle="1" w:styleId="CommentTextChar">
    <w:name w:val="Comment Text Char"/>
    <w:basedOn w:val="DefaultParagraphFont"/>
    <w:link w:val="CommentText"/>
    <w:semiHidden/>
    <w:rsid w:val="00B97602"/>
    <w:rPr>
      <w:rFonts w:eastAsiaTheme="minorEastAsia"/>
      <w:color w:val="00000A"/>
      <w:szCs w:val="20"/>
    </w:rPr>
  </w:style>
  <w:style w:type="paragraph" w:styleId="BalloonText">
    <w:name w:val="Balloon Text"/>
    <w:basedOn w:val="Normal"/>
    <w:link w:val="BalloonTextChar"/>
    <w:semiHidden/>
    <w:unhideWhenUsed/>
    <w:rsid w:val="00B9760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97602"/>
    <w:rPr>
      <w:rFonts w:ascii="Segoe UI" w:hAnsi="Segoe UI" w:cs="Segoe UI"/>
      <w:color w:val="00000A"/>
      <w:sz w:val="18"/>
      <w:szCs w:val="18"/>
    </w:rPr>
  </w:style>
  <w:style w:type="paragraph" w:styleId="CommentSubject">
    <w:name w:val="annotation subject"/>
    <w:basedOn w:val="CommentText"/>
    <w:next w:val="CommentText"/>
    <w:link w:val="CommentSubjectChar"/>
    <w:semiHidden/>
    <w:unhideWhenUsed/>
    <w:rsid w:val="00B97602"/>
    <w:rPr>
      <w:rFonts w:eastAsiaTheme="minorHAnsi"/>
      <w:b/>
      <w:bCs/>
    </w:rPr>
  </w:style>
  <w:style w:type="character" w:customStyle="1" w:styleId="CommentSubjectChar">
    <w:name w:val="Comment Subject Char"/>
    <w:basedOn w:val="CommentTextChar"/>
    <w:link w:val="CommentSubject"/>
    <w:semiHidden/>
    <w:rsid w:val="00B97602"/>
    <w:rPr>
      <w:rFonts w:eastAsiaTheme="minorEastAsia"/>
      <w:b/>
      <w:bCs/>
      <w:color w:val="00000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qf.gov.hk/tc/home/index.html"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xiang-gang-zheng-jian-hui-jiang-yu-2022-nian-1-yue-1-ri-qi-ti-gao-chi-pai-zhong-jie-ren-ji-ge-ren-de-sheng-ren-neng-li-biao-zhun" TargetMode="External"/><Relationship Id="rId12" Type="http://schemas.openxmlformats.org/officeDocument/2006/relationships/hyperlink" Target="https://www.sfc.hk/-/media/EN/files/LIC/handbook/licensing-hand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rltonslaw.com/sfc-consults-on-changes-to-competency-requirements-for-licensed-intermediaries-and-individua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pps.sfc.hk/edistributionWeb/api/consultation/openFile?lang=EN&amp;refNo=20CP8" TargetMode="External"/><Relationship Id="rId4" Type="http://schemas.openxmlformats.org/officeDocument/2006/relationships/webSettings" Target="webSettings.xml"/><Relationship Id="rId9" Type="http://schemas.openxmlformats.org/officeDocument/2006/relationships/hyperlink" Target="https://apps.sfc.hk/edistributionWeb/api/consultation/conclusion?lang=EN&amp;refNo=20CP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1588</Words>
  <Characters>9058</Characters>
  <Application>Microsoft Office Word</Application>
  <DocSecurity>0</DocSecurity>
  <Lines>75</Lines>
  <Paragraphs>21</Paragraphs>
  <ScaleCrop>false</ScaleCrop>
  <Company>Charltons</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5</cp:revision>
  <dcterms:created xsi:type="dcterms:W3CDTF">2021-12-01T02:48:00Z</dcterms:created>
  <dcterms:modified xsi:type="dcterms:W3CDTF">2021-12-01T03:02:00Z</dcterms:modified>
</cp:coreProperties>
</file>