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95A" w:rsidRDefault="000806A9">
      <w:pPr>
        <w:pStyle w:val="BlackStrips"/>
      </w:pPr>
      <w:r>
        <w:t xml:space="preserve">Charltons - </w:t>
      </w:r>
      <w:r>
        <w:t>香港法律</w:t>
      </w:r>
      <w:r>
        <w:t xml:space="preserve"> - 2022</w:t>
      </w:r>
      <w:r>
        <w:t>年</w:t>
      </w:r>
      <w:r>
        <w:t>1</w:t>
      </w:r>
      <w:r>
        <w:t>月</w:t>
      </w:r>
      <w:r>
        <w:t>20</w:t>
      </w:r>
      <w:r>
        <w:t>日</w:t>
      </w:r>
    </w:p>
    <w:p w:rsidR="000B095A" w:rsidRDefault="000806A9">
      <w:pPr>
        <w:pStyle w:val="ReadOnline"/>
        <w:rPr>
          <w:lang w:eastAsia="zh-CN"/>
        </w:rPr>
      </w:pPr>
      <w:hyperlink r:id="rId7">
        <w:r>
          <w:rPr>
            <w:lang w:eastAsia="zh-CN"/>
          </w:rPr>
          <w:t>online version</w:t>
        </w:r>
      </w:hyperlink>
    </w:p>
    <w:p w:rsidR="000B095A" w:rsidRDefault="000806A9">
      <w:pPr>
        <w:pStyle w:val="Title"/>
        <w:rPr>
          <w:lang w:eastAsia="zh-CN"/>
        </w:rPr>
      </w:pPr>
      <w:r>
        <w:rPr>
          <w:lang w:eastAsia="zh-CN"/>
        </w:rPr>
        <w:t>香港证监会刊发</w:t>
      </w:r>
      <w:r>
        <w:rPr>
          <w:lang w:eastAsia="zh-CN"/>
        </w:rPr>
        <w:t>2021</w:t>
      </w:r>
      <w:r>
        <w:rPr>
          <w:lang w:eastAsia="zh-CN"/>
        </w:rPr>
        <w:t>第二季度报告</w:t>
      </w:r>
    </w:p>
    <w:p w:rsidR="000B095A" w:rsidRDefault="000806A9">
      <w:pPr>
        <w:pStyle w:val="FirstParagraph"/>
        <w:rPr>
          <w:lang w:eastAsia="zh-CN"/>
        </w:rPr>
      </w:pPr>
      <w:r>
        <w:rPr>
          <w:lang w:eastAsia="zh-CN"/>
        </w:rPr>
        <w:t>2021</w:t>
      </w:r>
      <w:r>
        <w:rPr>
          <w:lang w:eastAsia="zh-CN"/>
        </w:rPr>
        <w:t>年</w:t>
      </w:r>
      <w:r>
        <w:rPr>
          <w:lang w:eastAsia="zh-CN"/>
        </w:rPr>
        <w:t>08</w:t>
      </w:r>
      <w:r>
        <w:rPr>
          <w:lang w:eastAsia="zh-CN"/>
        </w:rPr>
        <w:t>月</w:t>
      </w:r>
      <w:r>
        <w:rPr>
          <w:lang w:eastAsia="zh-CN"/>
        </w:rPr>
        <w:t>17</w:t>
      </w:r>
      <w:r>
        <w:rPr>
          <w:lang w:eastAsia="zh-CN"/>
        </w:rPr>
        <w:t>日，香港证券及期货事务监察委员会（</w:t>
      </w:r>
      <w:r>
        <w:rPr>
          <w:b/>
          <w:lang w:eastAsia="zh-CN"/>
        </w:rPr>
        <w:t>证监会</w:t>
      </w:r>
      <w:r>
        <w:rPr>
          <w:lang w:eastAsia="zh-CN"/>
        </w:rPr>
        <w:t>）刊发了</w:t>
      </w:r>
      <w:hyperlink r:id="rId8">
        <w:r>
          <w:rPr>
            <w:lang w:eastAsia="zh-CN"/>
          </w:rPr>
          <w:t>季度报告</w:t>
        </w:r>
      </w:hyperlink>
      <w:hyperlink w:anchor="footnote-8693-1">
        <w:r>
          <w:rPr>
            <w:vertAlign w:val="superscript"/>
            <w:lang w:eastAsia="zh-CN"/>
          </w:rPr>
          <w:t>1</w:t>
        </w:r>
      </w:hyperlink>
      <w:r>
        <w:rPr>
          <w:lang w:eastAsia="zh-CN"/>
        </w:rPr>
        <w:t>，载述</w:t>
      </w:r>
      <w:r>
        <w:rPr>
          <w:lang w:eastAsia="zh-CN"/>
        </w:rPr>
        <w:t>2021</w:t>
      </w:r>
      <w:r>
        <w:rPr>
          <w:lang w:eastAsia="zh-CN"/>
        </w:rPr>
        <w:t>年</w:t>
      </w:r>
      <w:r>
        <w:rPr>
          <w:lang w:eastAsia="zh-CN"/>
        </w:rPr>
        <w:t>4</w:t>
      </w:r>
      <w:r>
        <w:rPr>
          <w:lang w:eastAsia="zh-CN"/>
        </w:rPr>
        <w:t>月至</w:t>
      </w:r>
      <w:r>
        <w:rPr>
          <w:lang w:eastAsia="zh-CN"/>
        </w:rPr>
        <w:t>6</w:t>
      </w:r>
      <w:r>
        <w:rPr>
          <w:lang w:eastAsia="zh-CN"/>
        </w:rPr>
        <w:t>月期间的工作。</w:t>
      </w:r>
    </w:p>
    <w:p w:rsidR="000B095A" w:rsidRDefault="000806A9">
      <w:pPr>
        <w:pStyle w:val="BodyText"/>
      </w:pPr>
      <w:r>
        <w:t>报告主要摘要内容有：</w:t>
      </w:r>
    </w:p>
    <w:p w:rsidR="000B095A" w:rsidRDefault="000806A9">
      <w:pPr>
        <w:pStyle w:val="Compact"/>
        <w:numPr>
          <w:ilvl w:val="0"/>
          <w:numId w:val="3"/>
        </w:numPr>
        <w:rPr>
          <w:lang w:eastAsia="zh-CN"/>
        </w:rPr>
      </w:pPr>
      <w:r>
        <w:rPr>
          <w:i/>
          <w:lang w:eastAsia="zh-CN"/>
        </w:rPr>
        <w:t>上市及收购</w:t>
      </w:r>
      <w:r>
        <w:rPr>
          <w:lang w:eastAsia="zh-CN"/>
        </w:rPr>
        <w:t xml:space="preserve"> – </w:t>
      </w:r>
      <w:r>
        <w:rPr>
          <w:lang w:eastAsia="zh-CN"/>
        </w:rPr>
        <w:t>证监会总计审阅了</w:t>
      </w:r>
      <w:r>
        <w:rPr>
          <w:lang w:eastAsia="zh-CN"/>
        </w:rPr>
        <w:t>120</w:t>
      </w:r>
      <w:r>
        <w:rPr>
          <w:lang w:eastAsia="zh-CN"/>
        </w:rPr>
        <w:t>宗新上市申请，包括五宗来自同股不同权的公司的申请，及</w:t>
      </w:r>
      <w:r>
        <w:rPr>
          <w:lang w:eastAsia="zh-CN"/>
        </w:rPr>
        <w:t>14</w:t>
      </w:r>
      <w:r>
        <w:rPr>
          <w:lang w:eastAsia="zh-CN"/>
        </w:rPr>
        <w:t>宗来自尚未有盈利的生物科技公司的申请</w:t>
      </w:r>
      <w:r>
        <w:rPr>
          <w:lang w:eastAsia="zh-CN"/>
        </w:rPr>
        <w:t>；</w:t>
      </w:r>
      <w:r>
        <w:rPr>
          <w:lang w:eastAsia="zh-CN"/>
        </w:rPr>
        <w:t>2021</w:t>
      </w:r>
      <w:r>
        <w:rPr>
          <w:lang w:eastAsia="zh-CN"/>
        </w:rPr>
        <w:t>年第二季度总计发生</w:t>
      </w:r>
      <w:r>
        <w:rPr>
          <w:lang w:eastAsia="zh-CN"/>
        </w:rPr>
        <w:t>110</w:t>
      </w:r>
      <w:r>
        <w:rPr>
          <w:lang w:eastAsia="zh-CN"/>
        </w:rPr>
        <w:t>宗收购及股份回购交易；</w:t>
      </w:r>
    </w:p>
    <w:p w:rsidR="000B095A" w:rsidRDefault="000806A9">
      <w:pPr>
        <w:pStyle w:val="Compact"/>
        <w:numPr>
          <w:ilvl w:val="0"/>
          <w:numId w:val="3"/>
        </w:numPr>
        <w:rPr>
          <w:lang w:eastAsia="zh-CN"/>
        </w:rPr>
      </w:pPr>
      <w:r>
        <w:rPr>
          <w:i/>
          <w:lang w:eastAsia="zh-CN"/>
        </w:rPr>
        <w:t>监管优化措施</w:t>
      </w:r>
      <w:r>
        <w:rPr>
          <w:lang w:eastAsia="zh-CN"/>
        </w:rPr>
        <w:t xml:space="preserve"> – </w:t>
      </w:r>
      <w:r>
        <w:rPr>
          <w:lang w:eastAsia="zh-CN"/>
        </w:rPr>
        <w:t>证监会就更新适用于获证监会发牌及在香港金融管理局注册的个人从业员的胜任能力规定发表了咨询总结；</w:t>
      </w:r>
    </w:p>
    <w:p w:rsidR="000B095A" w:rsidRDefault="000806A9">
      <w:pPr>
        <w:pStyle w:val="Compact"/>
        <w:numPr>
          <w:ilvl w:val="0"/>
          <w:numId w:val="3"/>
        </w:numPr>
        <w:rPr>
          <w:lang w:eastAsia="zh-CN"/>
        </w:rPr>
      </w:pPr>
      <w:r>
        <w:rPr>
          <w:i/>
          <w:lang w:eastAsia="zh-CN"/>
        </w:rPr>
        <w:t>发牌</w:t>
      </w:r>
      <w:r>
        <w:rPr>
          <w:lang w:eastAsia="zh-CN"/>
        </w:rPr>
        <w:t xml:space="preserve"> – </w:t>
      </w:r>
      <w:r>
        <w:rPr>
          <w:lang w:eastAsia="zh-CN"/>
        </w:rPr>
        <w:t>证监会收到</w:t>
      </w:r>
      <w:r>
        <w:rPr>
          <w:lang w:eastAsia="zh-CN"/>
        </w:rPr>
        <w:t>1,563</w:t>
      </w:r>
      <w:r>
        <w:rPr>
          <w:lang w:eastAsia="zh-CN"/>
        </w:rPr>
        <w:t>宗牌照申请及</w:t>
      </w:r>
      <w:r>
        <w:rPr>
          <w:lang w:eastAsia="zh-CN"/>
        </w:rPr>
        <w:t>5,570</w:t>
      </w:r>
      <w:r>
        <w:rPr>
          <w:lang w:eastAsia="zh-CN"/>
        </w:rPr>
        <w:t>宗进行新的受规管活动的申请。截至</w:t>
      </w:r>
      <w:r>
        <w:rPr>
          <w:lang w:eastAsia="zh-CN"/>
        </w:rPr>
        <w:t>2021</w:t>
      </w:r>
      <w:r>
        <w:rPr>
          <w:lang w:eastAsia="zh-CN"/>
        </w:rPr>
        <w:t>年第二季度末，根据《证券及期货条例》第</w:t>
      </w:r>
      <w:r>
        <w:rPr>
          <w:lang w:eastAsia="zh-CN"/>
        </w:rPr>
        <w:t>III</w:t>
      </w:r>
      <w:r>
        <w:rPr>
          <w:lang w:eastAsia="zh-CN"/>
        </w:rPr>
        <w:t>部获认可的自动化交易服务提供商有</w:t>
      </w:r>
      <w:r>
        <w:rPr>
          <w:lang w:eastAsia="zh-CN"/>
        </w:rPr>
        <w:t>51</w:t>
      </w:r>
      <w:r>
        <w:rPr>
          <w:lang w:eastAsia="zh-CN"/>
        </w:rPr>
        <w:t>个，而根据《证券及期货条例》第</w:t>
      </w:r>
      <w:r>
        <w:rPr>
          <w:lang w:eastAsia="zh-CN"/>
        </w:rPr>
        <w:t>V</w:t>
      </w:r>
      <w:r>
        <w:rPr>
          <w:lang w:eastAsia="zh-CN"/>
        </w:rPr>
        <w:t>部获发牌提供自动化交易服务的公司则有</w:t>
      </w:r>
      <w:r>
        <w:rPr>
          <w:lang w:eastAsia="zh-CN"/>
        </w:rPr>
        <w:t>24</w:t>
      </w:r>
      <w:r>
        <w:rPr>
          <w:lang w:eastAsia="zh-CN"/>
        </w:rPr>
        <w:t>家，包括</w:t>
      </w:r>
      <w:r>
        <w:rPr>
          <w:lang w:eastAsia="zh-CN"/>
        </w:rPr>
        <w:t>13</w:t>
      </w:r>
      <w:r>
        <w:rPr>
          <w:lang w:eastAsia="zh-CN"/>
        </w:rPr>
        <w:t>家黑池营办商；</w:t>
      </w:r>
    </w:p>
    <w:p w:rsidR="000B095A" w:rsidRDefault="000806A9">
      <w:pPr>
        <w:pStyle w:val="Compact"/>
        <w:numPr>
          <w:ilvl w:val="0"/>
          <w:numId w:val="3"/>
        </w:numPr>
        <w:rPr>
          <w:lang w:eastAsia="zh-CN"/>
        </w:rPr>
      </w:pPr>
      <w:r>
        <w:rPr>
          <w:i/>
          <w:lang w:eastAsia="zh-CN"/>
        </w:rPr>
        <w:t>执法</w:t>
      </w:r>
      <w:r>
        <w:rPr>
          <w:lang w:eastAsia="zh-CN"/>
        </w:rPr>
        <w:t xml:space="preserve"> – </w:t>
      </w:r>
      <w:r>
        <w:rPr>
          <w:lang w:eastAsia="zh-CN"/>
        </w:rPr>
        <w:t>证监会对四家机构及三名人士作出了纪律处分，罚款总额为</w:t>
      </w:r>
      <w:r>
        <w:rPr>
          <w:lang w:eastAsia="zh-CN"/>
        </w:rPr>
        <w:t>500</w:t>
      </w:r>
      <w:r>
        <w:rPr>
          <w:lang w:eastAsia="zh-CN"/>
        </w:rPr>
        <w:t>万港元；</w:t>
      </w:r>
    </w:p>
    <w:p w:rsidR="000B095A" w:rsidRDefault="000806A9">
      <w:pPr>
        <w:pStyle w:val="Compact"/>
        <w:numPr>
          <w:ilvl w:val="0"/>
          <w:numId w:val="3"/>
        </w:numPr>
        <w:rPr>
          <w:lang w:eastAsia="zh-CN"/>
        </w:rPr>
      </w:pPr>
      <w:r>
        <w:rPr>
          <w:i/>
          <w:lang w:eastAsia="zh-CN"/>
        </w:rPr>
        <w:t>产品</w:t>
      </w:r>
      <w:r>
        <w:rPr>
          <w:lang w:eastAsia="zh-CN"/>
        </w:rPr>
        <w:t xml:space="preserve"> – </w:t>
      </w:r>
      <w:r>
        <w:rPr>
          <w:lang w:eastAsia="zh-CN"/>
        </w:rPr>
        <w:t>证监会认可了在香港公开发售的</w:t>
      </w:r>
      <w:r>
        <w:rPr>
          <w:lang w:eastAsia="zh-CN"/>
        </w:rPr>
        <w:t>39</w:t>
      </w:r>
      <w:r>
        <w:rPr>
          <w:lang w:eastAsia="zh-CN"/>
        </w:rPr>
        <w:t>只单位信托及互惠基金及</w:t>
      </w:r>
      <w:r>
        <w:rPr>
          <w:lang w:eastAsia="zh-CN"/>
        </w:rPr>
        <w:t>24</w:t>
      </w:r>
      <w:r>
        <w:rPr>
          <w:lang w:eastAsia="zh-CN"/>
        </w:rPr>
        <w:t>项非上市结构性投资产品；在内地与香港的基金互认安排下，有</w:t>
      </w:r>
      <w:r>
        <w:rPr>
          <w:lang w:eastAsia="zh-CN"/>
        </w:rPr>
        <w:t>48</w:t>
      </w:r>
      <w:r>
        <w:rPr>
          <w:lang w:eastAsia="zh-CN"/>
        </w:rPr>
        <w:t>只内地基金及</w:t>
      </w:r>
      <w:r>
        <w:rPr>
          <w:lang w:eastAsia="zh-CN"/>
        </w:rPr>
        <w:t>38</w:t>
      </w:r>
      <w:r>
        <w:rPr>
          <w:lang w:eastAsia="zh-CN"/>
        </w:rPr>
        <w:t>只香港基金获认可；且交易所买卖基金已于</w:t>
      </w:r>
      <w:r>
        <w:rPr>
          <w:lang w:eastAsia="zh-CN"/>
        </w:rPr>
        <w:t>2021</w:t>
      </w:r>
      <w:r>
        <w:rPr>
          <w:lang w:eastAsia="zh-CN"/>
        </w:rPr>
        <w:t>年</w:t>
      </w:r>
      <w:r>
        <w:rPr>
          <w:lang w:eastAsia="zh-CN"/>
        </w:rPr>
        <w:t>6</w:t>
      </w:r>
      <w:r>
        <w:rPr>
          <w:lang w:eastAsia="zh-CN"/>
        </w:rPr>
        <w:t>月首次在联交所及上交所互挂。</w:t>
      </w:r>
    </w:p>
    <w:p w:rsidR="000B095A" w:rsidRDefault="000806A9">
      <w:pPr>
        <w:pStyle w:val="Compact"/>
        <w:numPr>
          <w:ilvl w:val="0"/>
          <w:numId w:val="3"/>
        </w:numPr>
        <w:rPr>
          <w:lang w:eastAsia="zh-CN"/>
        </w:rPr>
      </w:pPr>
      <w:r>
        <w:rPr>
          <w:i/>
          <w:lang w:eastAsia="zh-CN"/>
        </w:rPr>
        <w:t>绿色和可持续金融</w:t>
      </w:r>
      <w:r>
        <w:rPr>
          <w:lang w:eastAsia="zh-CN"/>
        </w:rPr>
        <w:t xml:space="preserve"> – </w:t>
      </w:r>
      <w:r>
        <w:rPr>
          <w:lang w:eastAsia="zh-CN"/>
        </w:rPr>
        <w:t>由证监会参与领导的香港绿色和可持续金融跨机构督导小组宣布下一阶段工作重点，以推进其巩固策略计划协助金融生态系统迈向碳中和；及</w:t>
      </w:r>
    </w:p>
    <w:p w:rsidR="000B095A" w:rsidRDefault="000806A9">
      <w:pPr>
        <w:pStyle w:val="Compact"/>
        <w:numPr>
          <w:ilvl w:val="0"/>
          <w:numId w:val="3"/>
        </w:numPr>
        <w:rPr>
          <w:lang w:eastAsia="zh-CN"/>
        </w:rPr>
      </w:pPr>
      <w:r>
        <w:rPr>
          <w:i/>
          <w:lang w:eastAsia="zh-CN"/>
        </w:rPr>
        <w:t>跨境投资</w:t>
      </w:r>
      <w:r>
        <w:rPr>
          <w:lang w:eastAsia="zh-CN"/>
        </w:rPr>
        <w:t xml:space="preserve"> – </w:t>
      </w:r>
      <w:r>
        <w:rPr>
          <w:lang w:eastAsia="zh-CN"/>
        </w:rPr>
        <w:t>证监会一直与中国内陆，澳门及香港的各类机构合作，以实施跨境理财通业务试点计划。</w:t>
      </w:r>
    </w:p>
    <w:p w:rsidR="000B095A" w:rsidRDefault="000806A9">
      <w:pPr>
        <w:pStyle w:val="FirstParagraph"/>
        <w:rPr>
          <w:lang w:eastAsia="zh-CN"/>
        </w:rPr>
      </w:pPr>
      <w:r>
        <w:rPr>
          <w:lang w:eastAsia="zh-CN"/>
        </w:rPr>
        <w:t>联交所上市</w:t>
      </w:r>
    </w:p>
    <w:p w:rsidR="000B095A" w:rsidRDefault="000806A9">
      <w:pPr>
        <w:pStyle w:val="BodyText"/>
        <w:rPr>
          <w:lang w:eastAsia="zh-CN"/>
        </w:rPr>
      </w:pPr>
      <w:r>
        <w:rPr>
          <w:lang w:eastAsia="zh-CN"/>
        </w:rPr>
        <w:t>联交所上市申请</w:t>
      </w:r>
    </w:p>
    <w:p w:rsidR="000B095A" w:rsidRDefault="000806A9">
      <w:pPr>
        <w:pStyle w:val="BodyText"/>
        <w:rPr>
          <w:lang w:eastAsia="zh-CN"/>
        </w:rPr>
      </w:pPr>
      <w:r>
        <w:rPr>
          <w:lang w:eastAsia="zh-CN"/>
        </w:rPr>
        <w:t>2021</w:t>
      </w:r>
      <w:r>
        <w:rPr>
          <w:lang w:eastAsia="zh-CN"/>
        </w:rPr>
        <w:t>年第二季度中，证监会审阅了</w:t>
      </w:r>
      <w:r>
        <w:rPr>
          <w:lang w:eastAsia="zh-CN"/>
        </w:rPr>
        <w:t>120</w:t>
      </w:r>
      <w:r>
        <w:rPr>
          <w:lang w:eastAsia="zh-CN"/>
        </w:rPr>
        <w:t>宗新上市申请，包括五宗来自同股不同权的公司的申请，及</w:t>
      </w:r>
      <w:r>
        <w:rPr>
          <w:lang w:eastAsia="zh-CN"/>
        </w:rPr>
        <w:t>14</w:t>
      </w:r>
      <w:r>
        <w:rPr>
          <w:lang w:eastAsia="zh-CN"/>
        </w:rPr>
        <w:t>宗来自尚未有盈利的生物科技公司的申请，相较</w:t>
      </w:r>
      <w:r>
        <w:rPr>
          <w:lang w:eastAsia="zh-CN"/>
        </w:rPr>
        <w:t>2020</w:t>
      </w:r>
      <w:r>
        <w:rPr>
          <w:lang w:eastAsia="zh-CN"/>
        </w:rPr>
        <w:t>年同期增长总计达</w:t>
      </w:r>
      <w:r>
        <w:rPr>
          <w:lang w:eastAsia="zh-CN"/>
        </w:rPr>
        <w:t>46%</w:t>
      </w:r>
      <w:r>
        <w:rPr>
          <w:lang w:eastAsia="zh-CN"/>
        </w:rPr>
        <w:t>。季内，证监会对向某上市申请人发出一封数据索取函，内容是关于对保荐人提交的数据的可信度及保荐人进行的独立尽职审查是否足够的担忧。</w:t>
      </w:r>
    </w:p>
    <w:p w:rsidR="000B095A" w:rsidRDefault="000806A9">
      <w:pPr>
        <w:pStyle w:val="BodyText"/>
        <w:rPr>
          <w:lang w:eastAsia="zh-CN"/>
        </w:rPr>
      </w:pPr>
      <w:r>
        <w:rPr>
          <w:lang w:eastAsia="zh-CN"/>
        </w:rPr>
        <w:t>联交所上市监管</w:t>
      </w:r>
    </w:p>
    <w:p w:rsidR="000B095A" w:rsidRDefault="000806A9">
      <w:pPr>
        <w:pStyle w:val="BodyText"/>
        <w:rPr>
          <w:lang w:eastAsia="zh-CN"/>
        </w:rPr>
      </w:pPr>
      <w:r>
        <w:rPr>
          <w:lang w:eastAsia="zh-CN"/>
        </w:rPr>
        <w:t>主板盈利规定</w:t>
      </w:r>
    </w:p>
    <w:p w:rsidR="000B095A" w:rsidRDefault="000806A9">
      <w:pPr>
        <w:pStyle w:val="BodyText"/>
        <w:rPr>
          <w:lang w:eastAsia="zh-CN"/>
        </w:rPr>
      </w:pPr>
      <w:r>
        <w:rPr>
          <w:lang w:eastAsia="zh-CN"/>
        </w:rPr>
        <w:t>联交所发表了</w:t>
      </w:r>
      <w:hyperlink r:id="rId9">
        <w:r>
          <w:rPr>
            <w:lang w:eastAsia="zh-CN"/>
          </w:rPr>
          <w:t>咨询总结</w:t>
        </w:r>
      </w:hyperlink>
      <w:hyperlink w:anchor="footnote-8693-2">
        <w:r>
          <w:rPr>
            <w:vertAlign w:val="superscript"/>
            <w:lang w:eastAsia="zh-CN"/>
          </w:rPr>
          <w:t>2</w:t>
        </w:r>
      </w:hyperlink>
      <w:r>
        <w:rPr>
          <w:lang w:eastAsia="zh-CN"/>
        </w:rPr>
        <w:t>，将主板上市申请人的最低盈利规定上调至</w:t>
      </w:r>
      <w:r>
        <w:rPr>
          <w:lang w:eastAsia="zh-CN"/>
        </w:rPr>
        <w:t>2</w:t>
      </w:r>
      <w:r>
        <w:rPr>
          <w:lang w:eastAsia="zh-CN"/>
        </w:rPr>
        <w:t>亿港元。新的盈利规定将于</w:t>
      </w:r>
      <w:r>
        <w:rPr>
          <w:lang w:eastAsia="zh-CN"/>
        </w:rPr>
        <w:t>2022</w:t>
      </w:r>
      <w:r>
        <w:rPr>
          <w:lang w:eastAsia="zh-CN"/>
        </w:rPr>
        <w:t>年</w:t>
      </w:r>
      <w:r>
        <w:rPr>
          <w:lang w:eastAsia="zh-CN"/>
        </w:rPr>
        <w:t>1</w:t>
      </w:r>
      <w:r>
        <w:rPr>
          <w:lang w:eastAsia="zh-CN"/>
        </w:rPr>
        <w:t>月</w:t>
      </w:r>
      <w:r>
        <w:rPr>
          <w:lang w:eastAsia="zh-CN"/>
        </w:rPr>
        <w:t>1</w:t>
      </w:r>
      <w:r>
        <w:rPr>
          <w:lang w:eastAsia="zh-CN"/>
        </w:rPr>
        <w:t>日生效。更多详情，请参阅易周律师行法讯</w:t>
      </w:r>
      <w:hyperlink r:id="rId10">
        <w:r>
          <w:rPr>
            <w:lang w:eastAsia="zh-CN"/>
          </w:rPr>
          <w:t>《联交所自</w:t>
        </w:r>
        <w:r>
          <w:rPr>
            <w:lang w:eastAsia="zh-CN"/>
          </w:rPr>
          <w:t>2022</w:t>
        </w:r>
        <w:r>
          <w:rPr>
            <w:lang w:eastAsia="zh-CN"/>
          </w:rPr>
          <w:t>年</w:t>
        </w:r>
        <w:r>
          <w:rPr>
            <w:lang w:eastAsia="zh-CN"/>
          </w:rPr>
          <w:t>1</w:t>
        </w:r>
        <w:r>
          <w:rPr>
            <w:lang w:eastAsia="zh-CN"/>
          </w:rPr>
          <w:t>月</w:t>
        </w:r>
        <w:r>
          <w:rPr>
            <w:lang w:eastAsia="zh-CN"/>
          </w:rPr>
          <w:t>1</w:t>
        </w:r>
        <w:r>
          <w:rPr>
            <w:lang w:eastAsia="zh-CN"/>
          </w:rPr>
          <w:t>日起上调主板盈利规定》</w:t>
        </w:r>
      </w:hyperlink>
      <w:r>
        <w:rPr>
          <w:lang w:eastAsia="zh-CN"/>
        </w:rPr>
        <w:t>。</w:t>
      </w:r>
      <w:hyperlink w:anchor="footnote-8693-3">
        <w:r>
          <w:rPr>
            <w:vertAlign w:val="superscript"/>
            <w:lang w:eastAsia="zh-CN"/>
          </w:rPr>
          <w:t>3</w:t>
        </w:r>
      </w:hyperlink>
    </w:p>
    <w:p w:rsidR="000B095A" w:rsidRDefault="000806A9">
      <w:pPr>
        <w:pStyle w:val="BodyText"/>
        <w:rPr>
          <w:lang w:eastAsia="zh-CN"/>
        </w:rPr>
      </w:pPr>
      <w:r>
        <w:rPr>
          <w:lang w:eastAsia="zh-CN"/>
        </w:rPr>
        <w:t>涉及联交所首次公开发售的失当行为</w:t>
      </w:r>
    </w:p>
    <w:p w:rsidR="000B095A" w:rsidRDefault="000806A9">
      <w:pPr>
        <w:pStyle w:val="BodyText"/>
        <w:rPr>
          <w:lang w:eastAsia="zh-CN"/>
        </w:rPr>
      </w:pPr>
      <w:r>
        <w:rPr>
          <w:lang w:eastAsia="zh-CN"/>
        </w:rPr>
        <w:lastRenderedPageBreak/>
        <w:t>证监会与联交所发表</w:t>
      </w:r>
      <w:hyperlink r:id="rId11">
        <w:r>
          <w:rPr>
            <w:lang w:eastAsia="zh-CN"/>
          </w:rPr>
          <w:t>联合声明</w:t>
        </w:r>
      </w:hyperlink>
      <w:hyperlink w:anchor="footnote-8693-4">
        <w:r>
          <w:rPr>
            <w:vertAlign w:val="superscript"/>
            <w:lang w:eastAsia="zh-CN"/>
          </w:rPr>
          <w:t>4</w:t>
        </w:r>
      </w:hyperlink>
      <w:r>
        <w:rPr>
          <w:lang w:eastAsia="zh-CN"/>
        </w:rPr>
        <w:t>，说明若有预警迹象使得监管机构认为没有足够投资者真正对上市申请感兴趣，便会加强审查工作，以打击涉及新股上市的失当和不当行为。</w:t>
      </w:r>
      <w:hyperlink w:anchor="footnote-8693-5">
        <w:r>
          <w:rPr>
            <w:vertAlign w:val="superscript"/>
            <w:lang w:eastAsia="zh-CN"/>
          </w:rPr>
          <w:t>5</w:t>
        </w:r>
      </w:hyperlink>
    </w:p>
    <w:p w:rsidR="000B095A" w:rsidRDefault="000806A9">
      <w:pPr>
        <w:pStyle w:val="BodyText"/>
        <w:rPr>
          <w:lang w:eastAsia="zh-CN"/>
        </w:rPr>
      </w:pPr>
      <w:r>
        <w:rPr>
          <w:lang w:eastAsia="zh-CN"/>
        </w:rPr>
        <w:t>联交所的纪律处分及制裁权力的变更</w:t>
      </w:r>
    </w:p>
    <w:p w:rsidR="000B095A" w:rsidRDefault="000806A9">
      <w:pPr>
        <w:pStyle w:val="BodyText"/>
        <w:rPr>
          <w:lang w:eastAsia="zh-CN"/>
        </w:rPr>
      </w:pPr>
      <w:r>
        <w:rPr>
          <w:lang w:eastAsia="zh-CN"/>
        </w:rPr>
        <w:t>联交所于</w:t>
      </w:r>
      <w:r>
        <w:rPr>
          <w:lang w:eastAsia="zh-CN"/>
        </w:rPr>
        <w:t>5</w:t>
      </w:r>
      <w:r>
        <w:rPr>
          <w:lang w:eastAsia="zh-CN"/>
        </w:rPr>
        <w:t>月发表</w:t>
      </w:r>
      <w:hyperlink r:id="rId12">
        <w:r>
          <w:rPr>
            <w:lang w:eastAsia="zh-CN"/>
          </w:rPr>
          <w:t>咨询总结</w:t>
        </w:r>
      </w:hyperlink>
      <w:hyperlink w:anchor="footnote-8693-6">
        <w:r>
          <w:rPr>
            <w:vertAlign w:val="superscript"/>
            <w:lang w:eastAsia="zh-CN"/>
          </w:rPr>
          <w:t>6</w:t>
        </w:r>
      </w:hyperlink>
      <w:r>
        <w:rPr>
          <w:lang w:eastAsia="zh-CN"/>
        </w:rPr>
        <w:t>，之后对联交所《上市规则》的变更于</w:t>
      </w:r>
      <w:r>
        <w:rPr>
          <w:lang w:eastAsia="zh-CN"/>
        </w:rPr>
        <w:t>2021</w:t>
      </w:r>
      <w:r>
        <w:rPr>
          <w:lang w:eastAsia="zh-CN"/>
        </w:rPr>
        <w:t>年</w:t>
      </w:r>
      <w:r>
        <w:rPr>
          <w:lang w:eastAsia="zh-CN"/>
        </w:rPr>
        <w:t>7</w:t>
      </w:r>
      <w:r>
        <w:rPr>
          <w:lang w:eastAsia="zh-CN"/>
        </w:rPr>
        <w:t>月</w:t>
      </w:r>
      <w:r>
        <w:rPr>
          <w:lang w:eastAsia="zh-CN"/>
        </w:rPr>
        <w:t>3</w:t>
      </w:r>
      <w:r>
        <w:rPr>
          <w:lang w:eastAsia="zh-CN"/>
        </w:rPr>
        <w:t>日生效，该等变更赋予了联交所更大</w:t>
      </w:r>
      <w:r>
        <w:rPr>
          <w:lang w:eastAsia="zh-CN"/>
        </w:rPr>
        <w:t>的纪律处分及制裁权力。详情请参阅易周律师行法讯</w:t>
      </w:r>
      <w:hyperlink r:id="rId13">
        <w:r>
          <w:rPr>
            <w:lang w:eastAsia="zh-CN"/>
          </w:rPr>
          <w:t>《香港交易所有关纪律处分权力及制裁的变更条文于</w:t>
        </w:r>
        <w:r>
          <w:rPr>
            <w:lang w:eastAsia="zh-CN"/>
          </w:rPr>
          <w:t>2021</w:t>
        </w:r>
        <w:r>
          <w:rPr>
            <w:lang w:eastAsia="zh-CN"/>
          </w:rPr>
          <w:t>年</w:t>
        </w:r>
        <w:r>
          <w:rPr>
            <w:lang w:eastAsia="zh-CN"/>
          </w:rPr>
          <w:t>07</w:t>
        </w:r>
        <w:r>
          <w:rPr>
            <w:lang w:eastAsia="zh-CN"/>
          </w:rPr>
          <w:t>月</w:t>
        </w:r>
        <w:r>
          <w:rPr>
            <w:lang w:eastAsia="zh-CN"/>
          </w:rPr>
          <w:t>03</w:t>
        </w:r>
        <w:r>
          <w:rPr>
            <w:lang w:eastAsia="zh-CN"/>
          </w:rPr>
          <w:t>日生效》</w:t>
        </w:r>
      </w:hyperlink>
      <w:r>
        <w:rPr>
          <w:lang w:eastAsia="zh-CN"/>
        </w:rPr>
        <w:t>。</w:t>
      </w:r>
      <w:hyperlink w:anchor="footnote-8693-7">
        <w:r>
          <w:rPr>
            <w:vertAlign w:val="superscript"/>
            <w:lang w:eastAsia="zh-CN"/>
          </w:rPr>
          <w:t>7</w:t>
        </w:r>
      </w:hyperlink>
    </w:p>
    <w:p w:rsidR="000B095A" w:rsidRDefault="000806A9">
      <w:pPr>
        <w:pStyle w:val="BodyText"/>
        <w:rPr>
          <w:lang w:eastAsia="zh-CN"/>
        </w:rPr>
      </w:pPr>
      <w:r>
        <w:rPr>
          <w:lang w:eastAsia="zh-CN"/>
        </w:rPr>
        <w:t>上市发行人的企业行为及收购事宜</w:t>
      </w:r>
    </w:p>
    <w:p w:rsidR="000B095A" w:rsidRDefault="000806A9">
      <w:pPr>
        <w:pStyle w:val="BodyText"/>
        <w:rPr>
          <w:lang w:eastAsia="zh-CN"/>
        </w:rPr>
      </w:pPr>
      <w:r>
        <w:rPr>
          <w:lang w:eastAsia="zh-CN"/>
        </w:rPr>
        <w:t>2021</w:t>
      </w:r>
      <w:r>
        <w:rPr>
          <w:lang w:eastAsia="zh-CN"/>
        </w:rPr>
        <w:t>年</w:t>
      </w:r>
      <w:r>
        <w:rPr>
          <w:lang w:eastAsia="zh-CN"/>
        </w:rPr>
        <w:t>4</w:t>
      </w:r>
      <w:r>
        <w:rPr>
          <w:lang w:eastAsia="zh-CN"/>
        </w:rPr>
        <w:t>月至</w:t>
      </w:r>
      <w:r>
        <w:rPr>
          <w:lang w:eastAsia="zh-CN"/>
        </w:rPr>
        <w:t>6</w:t>
      </w:r>
      <w:r>
        <w:rPr>
          <w:lang w:eastAsia="zh-CN"/>
        </w:rPr>
        <w:t>月期间，证监会根据第</w:t>
      </w:r>
      <w:r>
        <w:rPr>
          <w:lang w:eastAsia="zh-CN"/>
        </w:rPr>
        <w:t>179</w:t>
      </w:r>
      <w:r>
        <w:rPr>
          <w:lang w:eastAsia="zh-CN"/>
        </w:rPr>
        <w:t>条就</w:t>
      </w:r>
      <w:r>
        <w:rPr>
          <w:lang w:eastAsia="zh-CN"/>
        </w:rPr>
        <w:t>28</w:t>
      </w:r>
      <w:r>
        <w:rPr>
          <w:lang w:eastAsia="zh-CN"/>
        </w:rPr>
        <w:t>宗个案发出指示，及就一宗个案以书面形式向上市公司阐述证监会所关注的事项。</w:t>
      </w:r>
    </w:p>
    <w:p w:rsidR="000B095A" w:rsidRDefault="000806A9">
      <w:pPr>
        <w:pStyle w:val="BodyText"/>
        <w:rPr>
          <w:lang w:eastAsia="zh-CN"/>
        </w:rPr>
      </w:pPr>
      <w:r>
        <w:rPr>
          <w:lang w:eastAsia="zh-CN"/>
        </w:rPr>
        <w:t>此外，证监会报告在截至</w:t>
      </w:r>
      <w:r>
        <w:rPr>
          <w:lang w:eastAsia="zh-CN"/>
        </w:rPr>
        <w:t>2021</w:t>
      </w:r>
      <w:r>
        <w:rPr>
          <w:lang w:eastAsia="zh-CN"/>
        </w:rPr>
        <w:t>年</w:t>
      </w:r>
      <w:r>
        <w:rPr>
          <w:lang w:eastAsia="zh-CN"/>
        </w:rPr>
        <w:t>6</w:t>
      </w:r>
      <w:r>
        <w:rPr>
          <w:lang w:eastAsia="zh-CN"/>
        </w:rPr>
        <w:t>月</w:t>
      </w:r>
      <w:r>
        <w:rPr>
          <w:lang w:eastAsia="zh-CN"/>
        </w:rPr>
        <w:t>30</w:t>
      </w:r>
      <w:r>
        <w:rPr>
          <w:lang w:eastAsia="zh-CN"/>
        </w:rPr>
        <w:t>日的季度中，有</w:t>
      </w:r>
      <w:r>
        <w:rPr>
          <w:lang w:eastAsia="zh-CN"/>
        </w:rPr>
        <w:t>110</w:t>
      </w:r>
      <w:r>
        <w:rPr>
          <w:lang w:eastAsia="zh-CN"/>
        </w:rPr>
        <w:t>宗收购及股份回购交易。与去年同期相比降幅</w:t>
      </w:r>
      <w:r>
        <w:rPr>
          <w:lang w:eastAsia="zh-CN"/>
        </w:rPr>
        <w:t>1%</w:t>
      </w:r>
      <w:r>
        <w:rPr>
          <w:lang w:eastAsia="zh-CN"/>
        </w:rPr>
        <w:t>。在这</w:t>
      </w:r>
      <w:r>
        <w:rPr>
          <w:lang w:eastAsia="zh-CN"/>
        </w:rPr>
        <w:t>110</w:t>
      </w:r>
      <w:r>
        <w:rPr>
          <w:lang w:eastAsia="zh-CN"/>
        </w:rPr>
        <w:t>宗交易中，</w:t>
      </w:r>
      <w:r>
        <w:rPr>
          <w:lang w:eastAsia="zh-CN"/>
        </w:rPr>
        <w:t>14</w:t>
      </w:r>
      <w:r>
        <w:rPr>
          <w:lang w:eastAsia="zh-CN"/>
        </w:rPr>
        <w:t>宗为根据证监会《公司收购及合并守则》作出的全面要约及部分要约，</w:t>
      </w:r>
      <w:r>
        <w:rPr>
          <w:lang w:eastAsia="zh-CN"/>
        </w:rPr>
        <w:t>5</w:t>
      </w:r>
      <w:r>
        <w:rPr>
          <w:lang w:eastAsia="zh-CN"/>
        </w:rPr>
        <w:t>宗为私有化，</w:t>
      </w:r>
      <w:r>
        <w:rPr>
          <w:lang w:eastAsia="zh-CN"/>
        </w:rPr>
        <w:t>8</w:t>
      </w:r>
      <w:r>
        <w:rPr>
          <w:lang w:eastAsia="zh-CN"/>
        </w:rPr>
        <w:t>宗为清洗交易宽免申请，</w:t>
      </w:r>
      <w:r>
        <w:rPr>
          <w:lang w:eastAsia="zh-CN"/>
        </w:rPr>
        <w:t>1</w:t>
      </w:r>
      <w:r>
        <w:rPr>
          <w:lang w:eastAsia="zh-CN"/>
        </w:rPr>
        <w:t>宗为场外股份回购及透过全面要约进行的股份回购及剩余的（</w:t>
      </w:r>
      <w:r>
        <w:rPr>
          <w:lang w:eastAsia="zh-CN"/>
        </w:rPr>
        <w:t>82</w:t>
      </w:r>
      <w:r>
        <w:rPr>
          <w:lang w:eastAsia="zh-CN"/>
        </w:rPr>
        <w:t>宗）属根据《公司收购及</w:t>
      </w:r>
      <w:r>
        <w:rPr>
          <w:lang w:eastAsia="zh-CN"/>
        </w:rPr>
        <w:t>合并守则》提出的其他申请。</w:t>
      </w:r>
    </w:p>
    <w:p w:rsidR="000B095A" w:rsidRDefault="000806A9">
      <w:pPr>
        <w:pStyle w:val="BodyText"/>
        <w:rPr>
          <w:lang w:eastAsia="zh-CN"/>
        </w:rPr>
      </w:pPr>
      <w:r>
        <w:rPr>
          <w:lang w:eastAsia="zh-CN"/>
        </w:rPr>
        <w:t>香港对虚拟资产的规管</w:t>
      </w:r>
      <w:r>
        <w:rPr>
          <w:lang w:eastAsia="zh-CN"/>
        </w:rPr>
        <w:t>(</w:t>
      </w:r>
      <w:r>
        <w:rPr>
          <w:lang w:eastAsia="zh-CN"/>
        </w:rPr>
        <w:t>加密数字货币</w:t>
      </w:r>
      <w:r>
        <w:rPr>
          <w:lang w:eastAsia="zh-CN"/>
        </w:rPr>
        <w:t>)</w:t>
      </w:r>
    </w:p>
    <w:p w:rsidR="000B095A" w:rsidRDefault="000806A9">
      <w:pPr>
        <w:pStyle w:val="BodyText"/>
        <w:rPr>
          <w:lang w:eastAsia="zh-CN"/>
        </w:rPr>
      </w:pPr>
      <w:r>
        <w:rPr>
          <w:lang w:eastAsia="zh-CN"/>
        </w:rPr>
        <w:t>财经事务及库务局就证监会可根据</w:t>
      </w:r>
      <w:r>
        <w:rPr>
          <w:lang w:eastAsia="zh-CN"/>
        </w:rPr>
        <w:t xml:space="preserve"> </w:t>
      </w:r>
      <w:hyperlink r:id="rId14">
        <w:r>
          <w:rPr>
            <w:lang w:eastAsia="zh-CN"/>
          </w:rPr>
          <w:t>《打击洗钱及恐怖分子资金筹集条例》</w:t>
        </w:r>
      </w:hyperlink>
      <w:hyperlink w:anchor="footnote-8693-8">
        <w:r>
          <w:rPr>
            <w:vertAlign w:val="superscript"/>
            <w:lang w:eastAsia="zh-CN"/>
          </w:rPr>
          <w:t>8</w:t>
        </w:r>
      </w:hyperlink>
      <w:r>
        <w:rPr>
          <w:lang w:eastAsia="zh-CN"/>
        </w:rPr>
        <w:t>规管中央虚拟资产交易所的立法建议，发表咨询总结</w:t>
      </w:r>
      <w:hyperlink w:anchor="footnote-8693-9">
        <w:r>
          <w:rPr>
            <w:vertAlign w:val="superscript"/>
            <w:lang w:eastAsia="zh-CN"/>
          </w:rPr>
          <w:t>9</w:t>
        </w:r>
      </w:hyperlink>
      <w:r>
        <w:rPr>
          <w:lang w:eastAsia="zh-CN"/>
        </w:rPr>
        <w:t>（</w:t>
      </w:r>
      <w:r>
        <w:rPr>
          <w:lang w:eastAsia="zh-CN"/>
        </w:rPr>
        <w:t>2021</w:t>
      </w:r>
      <w:r>
        <w:rPr>
          <w:lang w:eastAsia="zh-CN"/>
        </w:rPr>
        <w:t>年</w:t>
      </w:r>
      <w:r>
        <w:rPr>
          <w:lang w:eastAsia="zh-CN"/>
        </w:rPr>
        <w:t>5</w:t>
      </w:r>
      <w:r>
        <w:rPr>
          <w:lang w:eastAsia="zh-CN"/>
        </w:rPr>
        <w:t>月）。政府计划在下一个立法年度将修订条例草案提交立法会审议。更多详情请参阅易周律师行法讯</w:t>
      </w:r>
      <w:hyperlink r:id="rId15">
        <w:r>
          <w:rPr>
            <w:lang w:eastAsia="zh-CN"/>
          </w:rPr>
          <w:t>《财经事务及库务局就香港虚拟资产交易所发牌制度进行咨询》</w:t>
        </w:r>
      </w:hyperlink>
      <w:r>
        <w:rPr>
          <w:lang w:eastAsia="zh-CN"/>
        </w:rPr>
        <w:t>。</w:t>
      </w:r>
      <w:hyperlink w:anchor="footnote-8693-10">
        <w:r>
          <w:rPr>
            <w:vertAlign w:val="superscript"/>
            <w:lang w:eastAsia="zh-CN"/>
          </w:rPr>
          <w:t>10</w:t>
        </w:r>
      </w:hyperlink>
    </w:p>
    <w:p w:rsidR="000B095A" w:rsidRDefault="000806A9">
      <w:pPr>
        <w:pStyle w:val="BodyText"/>
        <w:rPr>
          <w:lang w:eastAsia="zh-CN"/>
        </w:rPr>
      </w:pPr>
      <w:r>
        <w:rPr>
          <w:lang w:eastAsia="zh-CN"/>
        </w:rPr>
        <w:t>证监会牌照申请及监督</w:t>
      </w:r>
    </w:p>
    <w:p w:rsidR="000B095A" w:rsidRDefault="000806A9">
      <w:pPr>
        <w:pStyle w:val="BodyText"/>
        <w:rPr>
          <w:lang w:eastAsia="zh-CN"/>
        </w:rPr>
      </w:pPr>
      <w:r>
        <w:rPr>
          <w:lang w:eastAsia="zh-CN"/>
        </w:rPr>
        <w:t>证监会牌照申请</w:t>
      </w:r>
    </w:p>
    <w:p w:rsidR="000B095A" w:rsidRDefault="000806A9">
      <w:pPr>
        <w:pStyle w:val="BodyText"/>
        <w:rPr>
          <w:lang w:eastAsia="zh-CN"/>
        </w:rPr>
      </w:pPr>
      <w:r>
        <w:rPr>
          <w:lang w:eastAsia="zh-CN"/>
        </w:rPr>
        <w:t>在</w:t>
      </w:r>
      <w:r>
        <w:rPr>
          <w:lang w:eastAsia="zh-CN"/>
        </w:rPr>
        <w:t>2021</w:t>
      </w:r>
      <w:r>
        <w:rPr>
          <w:lang w:eastAsia="zh-CN"/>
        </w:rPr>
        <w:t>年第二季度内，证监会收到</w:t>
      </w:r>
      <w:r>
        <w:rPr>
          <w:lang w:eastAsia="zh-CN"/>
        </w:rPr>
        <w:t>2,695</w:t>
      </w:r>
      <w:r>
        <w:rPr>
          <w:lang w:eastAsia="zh-CN"/>
        </w:rPr>
        <w:t>宗牌照申请，当中包括</w:t>
      </w:r>
      <w:r>
        <w:rPr>
          <w:lang w:eastAsia="zh-CN"/>
        </w:rPr>
        <w:t>42</w:t>
      </w:r>
      <w:r>
        <w:rPr>
          <w:lang w:eastAsia="zh-CN"/>
        </w:rPr>
        <w:t>宗机构申请。截至该季度末，总计获证监会发牌机构的数目为</w:t>
      </w:r>
      <w:r>
        <w:rPr>
          <w:lang w:eastAsia="zh-CN"/>
        </w:rPr>
        <w:t>3,174</w:t>
      </w:r>
      <w:r>
        <w:rPr>
          <w:lang w:eastAsia="zh-CN"/>
        </w:rPr>
        <w:t>家，获证监会发牌人士</w:t>
      </w:r>
      <w:r>
        <w:rPr>
          <w:lang w:eastAsia="zh-CN"/>
        </w:rPr>
        <w:t>44,239</w:t>
      </w:r>
      <w:r>
        <w:rPr>
          <w:lang w:eastAsia="zh-CN"/>
        </w:rPr>
        <w:t>人及证监会注册机构</w:t>
      </w:r>
      <w:r>
        <w:rPr>
          <w:lang w:eastAsia="zh-CN"/>
        </w:rPr>
        <w:t>114</w:t>
      </w:r>
      <w:r>
        <w:rPr>
          <w:lang w:eastAsia="zh-CN"/>
        </w:rPr>
        <w:t>家。</w:t>
      </w:r>
    </w:p>
    <w:p w:rsidR="000B095A" w:rsidRDefault="000806A9">
      <w:pPr>
        <w:pStyle w:val="BodyText"/>
        <w:rPr>
          <w:lang w:eastAsia="zh-CN"/>
        </w:rPr>
      </w:pPr>
      <w:r>
        <w:rPr>
          <w:lang w:eastAsia="zh-CN"/>
        </w:rPr>
        <w:t>证监会针对胜任能力框架的谘询总结</w:t>
      </w:r>
    </w:p>
    <w:p w:rsidR="000B095A" w:rsidRDefault="000806A9">
      <w:pPr>
        <w:pStyle w:val="BodyText"/>
        <w:rPr>
          <w:lang w:eastAsia="zh-CN"/>
        </w:rPr>
      </w:pPr>
      <w:r>
        <w:rPr>
          <w:lang w:eastAsia="zh-CN"/>
        </w:rPr>
        <w:t>证监会就有关建议优化适用于中介人及个人从业员</w:t>
      </w:r>
      <w:hyperlink w:anchor="footnote-8693-11">
        <w:r>
          <w:rPr>
            <w:vertAlign w:val="superscript"/>
            <w:lang w:eastAsia="zh-CN"/>
          </w:rPr>
          <w:t>11</w:t>
        </w:r>
      </w:hyperlink>
      <w:r>
        <w:rPr>
          <w:lang w:eastAsia="zh-CN"/>
        </w:rPr>
        <w:t>的胜任能力框架发表</w:t>
      </w:r>
      <w:hyperlink r:id="rId16">
        <w:r>
          <w:rPr>
            <w:lang w:eastAsia="zh-CN"/>
          </w:rPr>
          <w:t>咨询总结</w:t>
        </w:r>
      </w:hyperlink>
      <w:hyperlink w:anchor="footnote-8693-12">
        <w:r>
          <w:rPr>
            <w:vertAlign w:val="superscript"/>
            <w:lang w:eastAsia="zh-CN"/>
          </w:rPr>
          <w:t>12</w:t>
        </w:r>
      </w:hyperlink>
      <w:r>
        <w:rPr>
          <w:lang w:eastAsia="zh-CN"/>
        </w:rPr>
        <w:t>（</w:t>
      </w:r>
      <w:r>
        <w:rPr>
          <w:lang w:eastAsia="zh-CN"/>
        </w:rPr>
        <w:t>2021</w:t>
      </w:r>
      <w:r>
        <w:rPr>
          <w:lang w:eastAsia="zh-CN"/>
        </w:rPr>
        <w:t>年</w:t>
      </w:r>
      <w:r>
        <w:rPr>
          <w:lang w:eastAsia="zh-CN"/>
        </w:rPr>
        <w:t>6</w:t>
      </w:r>
      <w:r>
        <w:rPr>
          <w:lang w:eastAsia="zh-CN"/>
        </w:rPr>
        <w:t>月）。采纳的建议包括提高个人的最低学历要求，扩大个人牌照申请人认可学历资格的范围；提高适用于就证监会《公司收购及合并守则》包含事宜提供意见的个人的胜任能力规定；以及变更个人从业员的持续胜任能力规定。经修订</w:t>
      </w:r>
      <w:r>
        <w:rPr>
          <w:lang w:eastAsia="zh-CN"/>
        </w:rPr>
        <w:t>的《胜任能力的指引》、《持续培训的指引》及《适当人选的指引》将于</w:t>
      </w:r>
      <w:r>
        <w:rPr>
          <w:lang w:eastAsia="zh-CN"/>
        </w:rPr>
        <w:t>2022</w:t>
      </w:r>
      <w:r>
        <w:rPr>
          <w:lang w:eastAsia="zh-CN"/>
        </w:rPr>
        <w:t>年</w:t>
      </w:r>
      <w:r>
        <w:rPr>
          <w:lang w:eastAsia="zh-CN"/>
        </w:rPr>
        <w:t>1</w:t>
      </w:r>
      <w:r>
        <w:rPr>
          <w:lang w:eastAsia="zh-CN"/>
        </w:rPr>
        <w:t>月</w:t>
      </w:r>
      <w:r>
        <w:rPr>
          <w:lang w:eastAsia="zh-CN"/>
        </w:rPr>
        <w:t>1</w:t>
      </w:r>
      <w:r>
        <w:rPr>
          <w:lang w:eastAsia="zh-CN"/>
        </w:rPr>
        <w:t>日生效。更多详情请参阅易周律师行法讯</w:t>
      </w:r>
      <w:r>
        <w:rPr>
          <w:lang w:eastAsia="zh-CN"/>
        </w:rPr>
        <w:t xml:space="preserve"> </w:t>
      </w:r>
      <w:hyperlink r:id="rId17">
        <w:r>
          <w:rPr>
            <w:lang w:eastAsia="zh-CN"/>
          </w:rPr>
          <w:t>《证监会自</w:t>
        </w:r>
        <w:r>
          <w:rPr>
            <w:lang w:eastAsia="zh-CN"/>
          </w:rPr>
          <w:t>2022</w:t>
        </w:r>
        <w:r>
          <w:rPr>
            <w:lang w:eastAsia="zh-CN"/>
          </w:rPr>
          <w:t>年</w:t>
        </w:r>
        <w:r>
          <w:rPr>
            <w:lang w:eastAsia="zh-CN"/>
          </w:rPr>
          <w:t>1</w:t>
        </w:r>
        <w:r>
          <w:rPr>
            <w:lang w:eastAsia="zh-CN"/>
          </w:rPr>
          <w:t>月</w:t>
        </w:r>
        <w:r>
          <w:rPr>
            <w:lang w:eastAsia="zh-CN"/>
          </w:rPr>
          <w:t>1</w:t>
        </w:r>
        <w:r>
          <w:rPr>
            <w:lang w:eastAsia="zh-CN"/>
          </w:rPr>
          <w:t>日起提升持牌中介人及个人胜任能力标准》</w:t>
        </w:r>
      </w:hyperlink>
      <w:r>
        <w:rPr>
          <w:lang w:eastAsia="zh-CN"/>
        </w:rPr>
        <w:t>。</w:t>
      </w:r>
      <w:hyperlink w:anchor="footnote-8693-13">
        <w:r>
          <w:rPr>
            <w:vertAlign w:val="superscript"/>
            <w:lang w:eastAsia="zh-CN"/>
          </w:rPr>
          <w:t>13</w:t>
        </w:r>
      </w:hyperlink>
    </w:p>
    <w:p w:rsidR="000B095A" w:rsidRDefault="000806A9">
      <w:pPr>
        <w:pStyle w:val="BodyText"/>
        <w:rPr>
          <w:lang w:eastAsia="zh-CN"/>
        </w:rPr>
      </w:pPr>
      <w:r>
        <w:rPr>
          <w:lang w:eastAsia="zh-CN"/>
        </w:rPr>
        <w:t>证监会通函</w:t>
      </w:r>
    </w:p>
    <w:p w:rsidR="000B095A" w:rsidRDefault="000806A9">
      <w:pPr>
        <w:pStyle w:val="BodyText"/>
        <w:rPr>
          <w:lang w:eastAsia="zh-CN"/>
        </w:rPr>
      </w:pPr>
      <w:r>
        <w:rPr>
          <w:lang w:eastAsia="zh-CN"/>
        </w:rPr>
        <w:t>证监会在</w:t>
      </w:r>
      <w:r>
        <w:rPr>
          <w:lang w:eastAsia="zh-CN"/>
        </w:rPr>
        <w:t>2021</w:t>
      </w:r>
      <w:r>
        <w:rPr>
          <w:lang w:eastAsia="zh-CN"/>
        </w:rPr>
        <w:t>年第二季度内发出的通函有：</w:t>
      </w:r>
    </w:p>
    <w:p w:rsidR="000B095A" w:rsidRDefault="000806A9">
      <w:pPr>
        <w:pStyle w:val="Compact"/>
        <w:numPr>
          <w:ilvl w:val="0"/>
          <w:numId w:val="4"/>
        </w:numPr>
        <w:rPr>
          <w:lang w:eastAsia="zh-CN"/>
        </w:rPr>
      </w:pPr>
      <w:r>
        <w:rPr>
          <w:b/>
          <w:i/>
          <w:lang w:eastAsia="zh-CN"/>
        </w:rPr>
        <w:t>适用于买卖盘生命周期的数据标准提醒</w:t>
      </w:r>
      <w:r>
        <w:rPr>
          <w:lang w:eastAsia="zh-CN"/>
        </w:rPr>
        <w:t>：证监会发出通函，提醒证券经纪行若它们在</w:t>
      </w:r>
      <w:r>
        <w:rPr>
          <w:lang w:eastAsia="zh-CN"/>
        </w:rPr>
        <w:t>2018</w:t>
      </w:r>
      <w:r>
        <w:rPr>
          <w:lang w:eastAsia="zh-CN"/>
        </w:rPr>
        <w:t>年或其后年度的联交所上市股票的年度成交额，首次达至或超过该年总市场成交额的</w:t>
      </w:r>
      <w:r>
        <w:rPr>
          <w:lang w:eastAsia="zh-CN"/>
        </w:rPr>
        <w:t>2%</w:t>
      </w:r>
      <w:r>
        <w:rPr>
          <w:lang w:eastAsia="zh-CN"/>
        </w:rPr>
        <w:t>，则须更改系统及作出其他安排，以便在有关历年完结后</w:t>
      </w:r>
      <w:r>
        <w:rPr>
          <w:lang w:eastAsia="zh-CN"/>
        </w:rPr>
        <w:t>15</w:t>
      </w:r>
      <w:r>
        <w:rPr>
          <w:lang w:eastAsia="zh-CN"/>
        </w:rPr>
        <w:t>个月内符合适用于买卖盘生命周期的数据标准</w:t>
      </w:r>
      <w:hyperlink w:anchor="footnote-8693-14">
        <w:r>
          <w:rPr>
            <w:vertAlign w:val="superscript"/>
            <w:lang w:eastAsia="zh-CN"/>
          </w:rPr>
          <w:t>14</w:t>
        </w:r>
      </w:hyperlink>
      <w:r>
        <w:rPr>
          <w:lang w:eastAsia="zh-CN"/>
        </w:rPr>
        <w:t>；及</w:t>
      </w:r>
    </w:p>
    <w:p w:rsidR="000B095A" w:rsidRDefault="000806A9">
      <w:pPr>
        <w:pStyle w:val="Compact"/>
        <w:numPr>
          <w:ilvl w:val="0"/>
          <w:numId w:val="4"/>
        </w:numPr>
      </w:pPr>
      <w:r>
        <w:rPr>
          <w:b/>
          <w:i/>
          <w:lang w:eastAsia="zh-CN"/>
        </w:rPr>
        <w:t>银行账户的操作</w:t>
      </w:r>
      <w:r>
        <w:rPr>
          <w:lang w:eastAsia="zh-CN"/>
        </w:rPr>
        <w:t>:</w:t>
      </w:r>
      <w:r>
        <w:rPr>
          <w:lang w:eastAsia="zh-CN"/>
        </w:rPr>
        <w:t>证监会发出通函，提醒持牌机构须就其银行账户的</w:t>
      </w:r>
      <w:r>
        <w:rPr>
          <w:lang w:eastAsia="zh-CN"/>
        </w:rPr>
        <w:t>操作实施有效的政策、程序和内部监控措施。证监会也阐述了对持牌机构就其获授权银行账户签署人的安排的期望。</w:t>
      </w:r>
      <w:hyperlink w:anchor="footnote-8693-15">
        <w:r>
          <w:rPr>
            <w:vertAlign w:val="superscript"/>
          </w:rPr>
          <w:t>15</w:t>
        </w:r>
      </w:hyperlink>
    </w:p>
    <w:p w:rsidR="000B095A" w:rsidRDefault="000806A9">
      <w:pPr>
        <w:pStyle w:val="FirstParagraph"/>
        <w:rPr>
          <w:lang w:eastAsia="zh-CN"/>
        </w:rPr>
      </w:pPr>
      <w:r>
        <w:rPr>
          <w:lang w:eastAsia="zh-CN"/>
        </w:rPr>
        <w:t>与</w:t>
      </w:r>
      <w:r>
        <w:rPr>
          <w:lang w:eastAsia="zh-CN"/>
        </w:rPr>
        <w:t>2019</w:t>
      </w:r>
      <w:r>
        <w:rPr>
          <w:lang w:eastAsia="zh-CN"/>
        </w:rPr>
        <w:t>新型冠状病毒病有关的</w:t>
      </w:r>
      <w:r>
        <w:rPr>
          <w:lang w:eastAsia="zh-CN"/>
        </w:rPr>
        <w:t>3</w:t>
      </w:r>
      <w:r>
        <w:rPr>
          <w:lang w:eastAsia="zh-CN"/>
        </w:rPr>
        <w:t>份通函：</w:t>
      </w:r>
    </w:p>
    <w:p w:rsidR="000B095A" w:rsidRDefault="000806A9">
      <w:pPr>
        <w:pStyle w:val="Compact"/>
        <w:numPr>
          <w:ilvl w:val="0"/>
          <w:numId w:val="5"/>
        </w:numPr>
        <w:rPr>
          <w:lang w:eastAsia="zh-CN"/>
        </w:rPr>
      </w:pPr>
      <w:r>
        <w:rPr>
          <w:lang w:eastAsia="zh-CN"/>
        </w:rPr>
        <w:lastRenderedPageBreak/>
        <w:t>证监会在</w:t>
      </w:r>
      <w:r>
        <w:rPr>
          <w:lang w:eastAsia="zh-CN"/>
        </w:rPr>
        <w:t>2021</w:t>
      </w:r>
      <w:r>
        <w:rPr>
          <w:lang w:eastAsia="zh-CN"/>
        </w:rPr>
        <w:t>年</w:t>
      </w:r>
      <w:r>
        <w:rPr>
          <w:lang w:eastAsia="zh-CN"/>
        </w:rPr>
        <w:t>5</w:t>
      </w:r>
      <w:r>
        <w:rPr>
          <w:lang w:eastAsia="zh-CN"/>
        </w:rPr>
        <w:t>月</w:t>
      </w:r>
      <w:r>
        <w:rPr>
          <w:lang w:eastAsia="zh-CN"/>
        </w:rPr>
        <w:t>28</w:t>
      </w:r>
      <w:r>
        <w:rPr>
          <w:lang w:eastAsia="zh-CN"/>
        </w:rPr>
        <w:t>日发出的通函中阐述针对已全面接种疫苗及符合指定资格的持牌机构或其海外联属公司的高级人员作出的有关豁免强制检疫安排的详情；</w:t>
      </w:r>
      <w:hyperlink w:anchor="footnote-8693-16">
        <w:r>
          <w:rPr>
            <w:vertAlign w:val="superscript"/>
            <w:lang w:eastAsia="zh-CN"/>
          </w:rPr>
          <w:t>16</w:t>
        </w:r>
      </w:hyperlink>
    </w:p>
    <w:p w:rsidR="000B095A" w:rsidRDefault="000806A9">
      <w:pPr>
        <w:pStyle w:val="Compact"/>
        <w:numPr>
          <w:ilvl w:val="0"/>
          <w:numId w:val="5"/>
        </w:numPr>
        <w:rPr>
          <w:lang w:eastAsia="zh-CN"/>
        </w:rPr>
      </w:pPr>
      <w:r>
        <w:rPr>
          <w:lang w:eastAsia="zh-CN"/>
        </w:rPr>
        <w:t>证监会在</w:t>
      </w:r>
      <w:r>
        <w:rPr>
          <w:lang w:eastAsia="zh-CN"/>
        </w:rPr>
        <w:t>2021</w:t>
      </w:r>
      <w:r>
        <w:rPr>
          <w:lang w:eastAsia="zh-CN"/>
        </w:rPr>
        <w:t>年</w:t>
      </w:r>
      <w:r>
        <w:rPr>
          <w:lang w:eastAsia="zh-CN"/>
        </w:rPr>
        <w:t>6</w:t>
      </w:r>
      <w:r>
        <w:rPr>
          <w:lang w:eastAsia="zh-CN"/>
        </w:rPr>
        <w:t>月</w:t>
      </w:r>
      <w:r>
        <w:rPr>
          <w:lang w:eastAsia="zh-CN"/>
        </w:rPr>
        <w:t>21</w:t>
      </w:r>
      <w:r>
        <w:rPr>
          <w:lang w:eastAsia="zh-CN"/>
        </w:rPr>
        <w:t>日发出的通函中概述政府宣布修订检疫措施后对以上计划的更新；</w:t>
      </w:r>
      <w:hyperlink w:anchor="footnote-8693-17">
        <w:r>
          <w:rPr>
            <w:vertAlign w:val="superscript"/>
            <w:lang w:eastAsia="zh-CN"/>
          </w:rPr>
          <w:t>17</w:t>
        </w:r>
      </w:hyperlink>
      <w:r>
        <w:rPr>
          <w:lang w:eastAsia="zh-CN"/>
        </w:rPr>
        <w:t>及</w:t>
      </w:r>
    </w:p>
    <w:p w:rsidR="000B095A" w:rsidRDefault="000806A9">
      <w:pPr>
        <w:pStyle w:val="Compact"/>
        <w:numPr>
          <w:ilvl w:val="0"/>
          <w:numId w:val="5"/>
        </w:numPr>
      </w:pPr>
      <w:r>
        <w:rPr>
          <w:lang w:eastAsia="zh-CN"/>
        </w:rPr>
        <w:t>证监会在</w:t>
      </w:r>
      <w:r>
        <w:rPr>
          <w:lang w:eastAsia="zh-CN"/>
        </w:rPr>
        <w:t>2021</w:t>
      </w:r>
      <w:r>
        <w:rPr>
          <w:lang w:eastAsia="zh-CN"/>
        </w:rPr>
        <w:t>年</w:t>
      </w:r>
      <w:r>
        <w:rPr>
          <w:lang w:eastAsia="zh-CN"/>
        </w:rPr>
        <w:t>6</w:t>
      </w:r>
      <w:r>
        <w:rPr>
          <w:lang w:eastAsia="zh-CN"/>
        </w:rPr>
        <w:t>月</w:t>
      </w:r>
      <w:r>
        <w:rPr>
          <w:lang w:eastAsia="zh-CN"/>
        </w:rPr>
        <w:t>1</w:t>
      </w:r>
      <w:r>
        <w:rPr>
          <w:lang w:eastAsia="zh-CN"/>
        </w:rPr>
        <w:t>日发出的通函中鼓励持牌机构考虑将接种疫苗视为营运风险管理工作的一个重要部分及检视其业务延续计划。</w:t>
      </w:r>
      <w:hyperlink w:anchor="footnote-8693-18">
        <w:r>
          <w:rPr>
            <w:vertAlign w:val="superscript"/>
          </w:rPr>
          <w:t>18</w:t>
        </w:r>
      </w:hyperlink>
    </w:p>
    <w:p w:rsidR="000B095A" w:rsidRDefault="000806A9">
      <w:pPr>
        <w:pStyle w:val="FirstParagraph"/>
      </w:pPr>
      <w:r>
        <w:t>投资产品</w:t>
      </w:r>
    </w:p>
    <w:p w:rsidR="000B095A" w:rsidRDefault="000806A9">
      <w:pPr>
        <w:pStyle w:val="BodyText"/>
      </w:pPr>
      <w:r>
        <w:t>投资产品认可</w:t>
      </w:r>
    </w:p>
    <w:p w:rsidR="000B095A" w:rsidRDefault="000806A9">
      <w:pPr>
        <w:pStyle w:val="BodyText"/>
        <w:rPr>
          <w:lang w:eastAsia="zh-CN"/>
        </w:rPr>
      </w:pPr>
      <w:r>
        <w:rPr>
          <w:lang w:eastAsia="zh-CN"/>
        </w:rPr>
        <w:t>在截至</w:t>
      </w:r>
      <w:r>
        <w:rPr>
          <w:lang w:eastAsia="zh-CN"/>
        </w:rPr>
        <w:t>2021</w:t>
      </w:r>
      <w:r>
        <w:rPr>
          <w:lang w:eastAsia="zh-CN"/>
        </w:rPr>
        <w:t>年</w:t>
      </w:r>
      <w:r>
        <w:rPr>
          <w:lang w:eastAsia="zh-CN"/>
        </w:rPr>
        <w:t>6</w:t>
      </w:r>
      <w:r>
        <w:rPr>
          <w:lang w:eastAsia="zh-CN"/>
        </w:rPr>
        <w:t>月</w:t>
      </w:r>
      <w:r>
        <w:rPr>
          <w:lang w:eastAsia="zh-CN"/>
        </w:rPr>
        <w:t>30</w:t>
      </w:r>
      <w:r>
        <w:rPr>
          <w:lang w:eastAsia="zh-CN"/>
        </w:rPr>
        <w:t>日止季度内，证监会认可了在香港公开发售的</w:t>
      </w:r>
      <w:r>
        <w:rPr>
          <w:lang w:eastAsia="zh-CN"/>
        </w:rPr>
        <w:t>39</w:t>
      </w:r>
      <w:r>
        <w:rPr>
          <w:lang w:eastAsia="zh-CN"/>
        </w:rPr>
        <w:t>只单位信托及互惠基金（包括</w:t>
      </w:r>
      <w:r>
        <w:rPr>
          <w:lang w:eastAsia="zh-CN"/>
        </w:rPr>
        <w:t>17</w:t>
      </w:r>
      <w:r>
        <w:rPr>
          <w:lang w:eastAsia="zh-CN"/>
        </w:rPr>
        <w:t>只在香港注册成立</w:t>
      </w:r>
      <w:r>
        <w:rPr>
          <w:lang w:eastAsia="zh-CN"/>
        </w:rPr>
        <w:t>的基金）及</w:t>
      </w:r>
      <w:r>
        <w:rPr>
          <w:lang w:eastAsia="zh-CN"/>
        </w:rPr>
        <w:t>24</w:t>
      </w:r>
      <w:r>
        <w:rPr>
          <w:lang w:eastAsia="zh-CN"/>
        </w:rPr>
        <w:t>项非上市结构性投资产品。这使得认可单位信托及互惠基金总数（截至</w:t>
      </w:r>
      <w:r>
        <w:rPr>
          <w:lang w:eastAsia="zh-CN"/>
        </w:rPr>
        <w:t>2021</w:t>
      </w:r>
      <w:r>
        <w:rPr>
          <w:lang w:eastAsia="zh-CN"/>
        </w:rPr>
        <w:t>年</w:t>
      </w:r>
      <w:r>
        <w:rPr>
          <w:lang w:eastAsia="zh-CN"/>
        </w:rPr>
        <w:t>6</w:t>
      </w:r>
      <w:r>
        <w:rPr>
          <w:lang w:eastAsia="zh-CN"/>
        </w:rPr>
        <w:t>月</w:t>
      </w:r>
      <w:r>
        <w:rPr>
          <w:lang w:eastAsia="zh-CN"/>
        </w:rPr>
        <w:t>30</w:t>
      </w:r>
      <w:r>
        <w:rPr>
          <w:lang w:eastAsia="zh-CN"/>
        </w:rPr>
        <w:t>日）增长至</w:t>
      </w:r>
      <w:r>
        <w:rPr>
          <w:lang w:eastAsia="zh-CN"/>
        </w:rPr>
        <w:t>2,232</w:t>
      </w:r>
      <w:r>
        <w:rPr>
          <w:lang w:eastAsia="zh-CN"/>
        </w:rPr>
        <w:t>只（含</w:t>
      </w:r>
      <w:r>
        <w:rPr>
          <w:lang w:eastAsia="zh-CN"/>
        </w:rPr>
        <w:t>838</w:t>
      </w:r>
      <w:r>
        <w:rPr>
          <w:lang w:eastAsia="zh-CN"/>
        </w:rPr>
        <w:t>只在香港注册成立单位信托及互惠基金</w:t>
      </w:r>
      <w:r>
        <w:rPr>
          <w:lang w:eastAsia="zh-CN"/>
        </w:rPr>
        <w:t xml:space="preserve"> </w:t>
      </w:r>
      <w:r>
        <w:rPr>
          <w:lang w:eastAsia="zh-CN"/>
        </w:rPr>
        <w:t>及</w:t>
      </w:r>
      <w:r>
        <w:rPr>
          <w:lang w:eastAsia="zh-CN"/>
        </w:rPr>
        <w:t>1,394</w:t>
      </w:r>
      <w:r>
        <w:rPr>
          <w:lang w:eastAsia="zh-CN"/>
        </w:rPr>
        <w:t>只非在香港注册成立单位信托及互惠基金），同时认可非上市结构性投资产品总数目增长至</w:t>
      </w:r>
      <w:r>
        <w:rPr>
          <w:lang w:eastAsia="zh-CN"/>
        </w:rPr>
        <w:t>146</w:t>
      </w:r>
      <w:r>
        <w:rPr>
          <w:lang w:eastAsia="zh-CN"/>
        </w:rPr>
        <w:t>项。</w:t>
      </w:r>
    </w:p>
    <w:p w:rsidR="000B095A" w:rsidRDefault="000806A9">
      <w:pPr>
        <w:pStyle w:val="BodyText"/>
        <w:rPr>
          <w:lang w:eastAsia="zh-CN"/>
        </w:rPr>
      </w:pPr>
      <w:r>
        <w:rPr>
          <w:lang w:eastAsia="zh-CN"/>
        </w:rPr>
        <w:t>非在香港注册成立的认可基金中大部分属卢森堡基金</w:t>
      </w:r>
      <w:r>
        <w:rPr>
          <w:lang w:eastAsia="zh-CN"/>
        </w:rPr>
        <w:t>(75%)</w:t>
      </w:r>
      <w:r>
        <w:rPr>
          <w:lang w:eastAsia="zh-CN"/>
        </w:rPr>
        <w:t>，然后是爱尔兰基金</w:t>
      </w:r>
      <w:r>
        <w:rPr>
          <w:lang w:eastAsia="zh-CN"/>
        </w:rPr>
        <w:t>(17%)</w:t>
      </w:r>
      <w:r>
        <w:rPr>
          <w:lang w:eastAsia="zh-CN"/>
        </w:rPr>
        <w:t>。内地基金占所有非在香港注册成立认可基金的</w:t>
      </w:r>
      <w:r>
        <w:rPr>
          <w:lang w:eastAsia="zh-CN"/>
        </w:rPr>
        <w:t>4%</w:t>
      </w:r>
      <w:r>
        <w:rPr>
          <w:lang w:eastAsia="zh-CN"/>
        </w:rPr>
        <w:t>。截至</w:t>
      </w:r>
      <w:r>
        <w:rPr>
          <w:lang w:eastAsia="zh-CN"/>
        </w:rPr>
        <w:t>2021</w:t>
      </w:r>
      <w:r>
        <w:rPr>
          <w:lang w:eastAsia="zh-CN"/>
        </w:rPr>
        <w:t>年</w:t>
      </w:r>
      <w:r>
        <w:rPr>
          <w:lang w:eastAsia="zh-CN"/>
        </w:rPr>
        <w:t>6</w:t>
      </w:r>
      <w:r>
        <w:rPr>
          <w:lang w:eastAsia="zh-CN"/>
        </w:rPr>
        <w:t>月</w:t>
      </w:r>
      <w:r>
        <w:rPr>
          <w:lang w:eastAsia="zh-CN"/>
        </w:rPr>
        <w:t>30</w:t>
      </w:r>
      <w:r>
        <w:rPr>
          <w:lang w:eastAsia="zh-CN"/>
        </w:rPr>
        <w:t>日认可集体投资计划总计达</w:t>
      </w:r>
      <w:r>
        <w:rPr>
          <w:lang w:eastAsia="zh-CN"/>
        </w:rPr>
        <w:t>2,826</w:t>
      </w:r>
      <w:r>
        <w:rPr>
          <w:lang w:eastAsia="zh-CN"/>
        </w:rPr>
        <w:t>项。</w:t>
      </w:r>
    </w:p>
    <w:p w:rsidR="000B095A" w:rsidRDefault="000806A9">
      <w:pPr>
        <w:pStyle w:val="BodyText"/>
        <w:rPr>
          <w:lang w:eastAsia="zh-CN"/>
        </w:rPr>
      </w:pPr>
      <w:r>
        <w:rPr>
          <w:lang w:eastAsia="zh-CN"/>
        </w:rPr>
        <w:t>连接计划及基金互认安排</w:t>
      </w:r>
    </w:p>
    <w:p w:rsidR="000B095A" w:rsidRDefault="000806A9">
      <w:pPr>
        <w:pStyle w:val="BodyText"/>
        <w:rPr>
          <w:lang w:eastAsia="zh-CN"/>
        </w:rPr>
      </w:pPr>
      <w:r>
        <w:rPr>
          <w:lang w:eastAsia="zh-CN"/>
        </w:rPr>
        <w:t>截至</w:t>
      </w:r>
      <w:r>
        <w:rPr>
          <w:lang w:eastAsia="zh-CN"/>
        </w:rPr>
        <w:t>2021</w:t>
      </w:r>
      <w:r>
        <w:rPr>
          <w:lang w:eastAsia="zh-CN"/>
        </w:rPr>
        <w:t>年</w:t>
      </w:r>
      <w:r>
        <w:rPr>
          <w:lang w:eastAsia="zh-CN"/>
        </w:rPr>
        <w:t>6</w:t>
      </w:r>
      <w:r>
        <w:rPr>
          <w:lang w:eastAsia="zh-CN"/>
        </w:rPr>
        <w:t>月底，在内地</w:t>
      </w:r>
      <w:r>
        <w:rPr>
          <w:lang w:eastAsia="zh-CN"/>
        </w:rPr>
        <w:t>与香港的基金互认安排下，获证监会认可的内地基金共有</w:t>
      </w:r>
      <w:r>
        <w:rPr>
          <w:lang w:eastAsia="zh-CN"/>
        </w:rPr>
        <w:t>48</w:t>
      </w:r>
      <w:r>
        <w:rPr>
          <w:lang w:eastAsia="zh-CN"/>
        </w:rPr>
        <w:t>只，而获中国证监会批准的香港基金则有</w:t>
      </w:r>
      <w:r>
        <w:rPr>
          <w:lang w:eastAsia="zh-CN"/>
        </w:rPr>
        <w:t>38</w:t>
      </w:r>
      <w:r>
        <w:rPr>
          <w:lang w:eastAsia="zh-CN"/>
        </w:rPr>
        <w:t>只。内地基金的累计净认购额及香港基金的累计净认购额分别约为人民币</w:t>
      </w:r>
      <w:r>
        <w:rPr>
          <w:lang w:eastAsia="zh-CN"/>
        </w:rPr>
        <w:t>7.73</w:t>
      </w:r>
      <w:r>
        <w:rPr>
          <w:lang w:eastAsia="zh-CN"/>
        </w:rPr>
        <w:t>亿元及人民币</w:t>
      </w:r>
      <w:r>
        <w:rPr>
          <w:lang w:eastAsia="zh-CN"/>
        </w:rPr>
        <w:t>160</w:t>
      </w:r>
      <w:r>
        <w:rPr>
          <w:lang w:eastAsia="zh-CN"/>
        </w:rPr>
        <w:t>亿元。</w:t>
      </w:r>
    </w:p>
    <w:p w:rsidR="000B095A" w:rsidRDefault="000806A9">
      <w:pPr>
        <w:pStyle w:val="BodyText"/>
        <w:rPr>
          <w:lang w:eastAsia="zh-CN"/>
        </w:rPr>
      </w:pPr>
      <w:r>
        <w:rPr>
          <w:lang w:eastAsia="zh-CN"/>
        </w:rPr>
        <w:t>香港与泰国的基金互认安排在</w:t>
      </w:r>
      <w:r>
        <w:rPr>
          <w:lang w:eastAsia="zh-CN"/>
        </w:rPr>
        <w:t>2021</w:t>
      </w:r>
      <w:r>
        <w:rPr>
          <w:lang w:eastAsia="zh-CN"/>
        </w:rPr>
        <w:t>年</w:t>
      </w:r>
      <w:r>
        <w:rPr>
          <w:lang w:eastAsia="zh-CN"/>
        </w:rPr>
        <w:t>6</w:t>
      </w:r>
      <w:r>
        <w:rPr>
          <w:lang w:eastAsia="zh-CN"/>
        </w:rPr>
        <w:t>月生效。这项安排容许合资格的香港及泰国公募基金透过简化程序，在对方市场分销，且双方亦将加快审批投资于基金互认安排下在对方市场的合资格主基金的当地联接基金。</w:t>
      </w:r>
    </w:p>
    <w:p w:rsidR="000B095A" w:rsidRDefault="000806A9">
      <w:pPr>
        <w:pStyle w:val="BodyText"/>
        <w:rPr>
          <w:lang w:eastAsia="zh-CN"/>
        </w:rPr>
      </w:pPr>
      <w:r>
        <w:rPr>
          <w:lang w:eastAsia="zh-CN"/>
        </w:rPr>
        <w:t>证监会一直与中国人民银行、中国银行保险监督管理委员会、中国证监会、国家外汇管理局、香港金融管理局（</w:t>
      </w:r>
      <w:r>
        <w:rPr>
          <w:b/>
          <w:lang w:eastAsia="zh-CN"/>
        </w:rPr>
        <w:t>金管局</w:t>
      </w:r>
      <w:r>
        <w:rPr>
          <w:lang w:eastAsia="zh-CN"/>
        </w:rPr>
        <w:t>）及澳门金融管理局合作</w:t>
      </w:r>
      <w:r>
        <w:rPr>
          <w:lang w:eastAsia="zh-CN"/>
        </w:rPr>
        <w:t>，以实施大湾区的跨境理财通业务试点计划。</w:t>
      </w:r>
    </w:p>
    <w:p w:rsidR="000B095A" w:rsidRDefault="000806A9">
      <w:pPr>
        <w:pStyle w:val="BodyText"/>
        <w:rPr>
          <w:lang w:eastAsia="zh-CN"/>
        </w:rPr>
      </w:pPr>
      <w:r>
        <w:rPr>
          <w:lang w:eastAsia="zh-CN"/>
        </w:rPr>
        <w:t>开放式基金型公司，房地产投资信托基金及交易所买卖基金</w:t>
      </w:r>
    </w:p>
    <w:p w:rsidR="000B095A" w:rsidRDefault="000806A9">
      <w:pPr>
        <w:pStyle w:val="BodyText"/>
        <w:rPr>
          <w:lang w:eastAsia="zh-CN"/>
        </w:rPr>
      </w:pPr>
      <w:r>
        <w:rPr>
          <w:lang w:eastAsia="zh-CN"/>
        </w:rPr>
        <w:t>截至</w:t>
      </w:r>
      <w:r>
        <w:rPr>
          <w:lang w:eastAsia="zh-CN"/>
        </w:rPr>
        <w:t>6</w:t>
      </w:r>
      <w:r>
        <w:rPr>
          <w:lang w:eastAsia="zh-CN"/>
        </w:rPr>
        <w:t>月</w:t>
      </w:r>
      <w:r>
        <w:rPr>
          <w:lang w:eastAsia="zh-CN"/>
        </w:rPr>
        <w:t>30</w:t>
      </w:r>
      <w:r>
        <w:rPr>
          <w:lang w:eastAsia="zh-CN"/>
        </w:rPr>
        <w:t>日，证监会认可的房地产基金总数达到</w:t>
      </w:r>
      <w:r>
        <w:rPr>
          <w:lang w:eastAsia="zh-CN"/>
        </w:rPr>
        <w:t>13</w:t>
      </w:r>
      <w:r>
        <w:rPr>
          <w:lang w:eastAsia="zh-CN"/>
        </w:rPr>
        <w:t>只。证监会在</w:t>
      </w:r>
      <w:r>
        <w:rPr>
          <w:lang w:eastAsia="zh-CN"/>
        </w:rPr>
        <w:t>5</w:t>
      </w:r>
      <w:r>
        <w:rPr>
          <w:lang w:eastAsia="zh-CN"/>
        </w:rPr>
        <w:t>月认可了香港首只以物流为主的房地产基金。已获证监会注册及核准的开放式基金型公司及其子基金总计</w:t>
      </w:r>
      <w:r>
        <w:rPr>
          <w:lang w:eastAsia="zh-CN"/>
        </w:rPr>
        <w:t>15</w:t>
      </w:r>
      <w:r>
        <w:rPr>
          <w:lang w:eastAsia="zh-CN"/>
        </w:rPr>
        <w:t>家，当中包括</w:t>
      </w:r>
      <w:r>
        <w:rPr>
          <w:lang w:eastAsia="zh-CN"/>
        </w:rPr>
        <w:t>10</w:t>
      </w:r>
      <w:r>
        <w:rPr>
          <w:lang w:eastAsia="zh-CN"/>
        </w:rPr>
        <w:t>只认可交易所买卖基金。</w:t>
      </w:r>
    </w:p>
    <w:p w:rsidR="000B095A" w:rsidRDefault="000806A9">
      <w:pPr>
        <w:pStyle w:val="BodyText"/>
        <w:rPr>
          <w:lang w:eastAsia="zh-CN"/>
        </w:rPr>
      </w:pPr>
      <w:r>
        <w:rPr>
          <w:lang w:eastAsia="zh-CN"/>
        </w:rPr>
        <w:t>证监会在</w:t>
      </w:r>
      <w:r>
        <w:rPr>
          <w:lang w:eastAsia="zh-CN"/>
        </w:rPr>
        <w:t>5</w:t>
      </w:r>
      <w:r>
        <w:rPr>
          <w:lang w:eastAsia="zh-CN"/>
        </w:rPr>
        <w:t>月公布推出政府的资助计划，以资助在香港设立开放式基金型公司及房地产基金。</w:t>
      </w:r>
      <w:hyperlink w:anchor="footnote-8693-19">
        <w:r>
          <w:rPr>
            <w:vertAlign w:val="superscript"/>
            <w:lang w:eastAsia="zh-CN"/>
          </w:rPr>
          <w:t>19</w:t>
        </w:r>
      </w:hyperlink>
      <w:r>
        <w:rPr>
          <w:lang w:eastAsia="zh-CN"/>
        </w:rPr>
        <w:t xml:space="preserve"> </w:t>
      </w:r>
      <w:r>
        <w:rPr>
          <w:lang w:eastAsia="zh-CN"/>
        </w:rPr>
        <w:t>该计划资助付予香港服务提供商的合资格费用的</w:t>
      </w:r>
      <w:r>
        <w:rPr>
          <w:lang w:eastAsia="zh-CN"/>
        </w:rPr>
        <w:t>70%</w:t>
      </w:r>
      <w:r>
        <w:rPr>
          <w:lang w:eastAsia="zh-CN"/>
        </w:rPr>
        <w:t>，</w:t>
      </w:r>
      <w:r>
        <w:rPr>
          <w:lang w:eastAsia="zh-CN"/>
        </w:rPr>
        <w:t>上限为每家开放式基金型公司</w:t>
      </w:r>
      <w:r>
        <w:rPr>
          <w:lang w:eastAsia="zh-CN"/>
        </w:rPr>
        <w:t>100</w:t>
      </w:r>
      <w:r>
        <w:rPr>
          <w:lang w:eastAsia="zh-CN"/>
        </w:rPr>
        <w:t>万港元及每只房地产基金</w:t>
      </w:r>
      <w:r>
        <w:rPr>
          <w:lang w:eastAsia="zh-CN"/>
        </w:rPr>
        <w:t>800</w:t>
      </w:r>
      <w:r>
        <w:rPr>
          <w:lang w:eastAsia="zh-CN"/>
        </w:rPr>
        <w:t>万港元。</w:t>
      </w:r>
    </w:p>
    <w:p w:rsidR="000B095A" w:rsidRDefault="000806A9">
      <w:pPr>
        <w:pStyle w:val="BodyText"/>
        <w:rPr>
          <w:lang w:eastAsia="zh-CN"/>
        </w:rPr>
      </w:pPr>
      <w:r>
        <w:rPr>
          <w:lang w:eastAsia="zh-CN"/>
        </w:rPr>
        <w:t>就交易所买卖基金而言，证监会与联交所合作提升交易所买卖基金在二手市场的效率及流动性，结果是交易系统使用费及各类收费均获宽免。证监会与中国证监会亦合作将互挂计划进行扩展。首批交易所买卖基金已于</w:t>
      </w:r>
      <w:r>
        <w:rPr>
          <w:lang w:eastAsia="zh-CN"/>
        </w:rPr>
        <w:t>6</w:t>
      </w:r>
      <w:r>
        <w:rPr>
          <w:lang w:eastAsia="zh-CN"/>
        </w:rPr>
        <w:t>月在上交所及联交所互挂。证监会亦正在与数家中国机构，为推出</w:t>
      </w:r>
      <w:r>
        <w:rPr>
          <w:lang w:eastAsia="zh-CN"/>
        </w:rPr>
        <w:t>ETF</w:t>
      </w:r>
      <w:r>
        <w:rPr>
          <w:lang w:eastAsia="zh-CN"/>
        </w:rPr>
        <w:t>通进行相关的工作。</w:t>
      </w:r>
    </w:p>
    <w:p w:rsidR="000B095A" w:rsidRDefault="000806A9">
      <w:pPr>
        <w:pStyle w:val="BodyText"/>
        <w:rPr>
          <w:lang w:eastAsia="zh-CN"/>
        </w:rPr>
      </w:pPr>
      <w:r>
        <w:rPr>
          <w:lang w:eastAsia="zh-CN"/>
        </w:rPr>
        <w:t>环境、社会及管治基金</w:t>
      </w:r>
    </w:p>
    <w:p w:rsidR="000B095A" w:rsidRDefault="000806A9">
      <w:pPr>
        <w:pStyle w:val="BodyText"/>
        <w:rPr>
          <w:lang w:eastAsia="zh-CN"/>
        </w:rPr>
      </w:pPr>
      <w:r>
        <w:rPr>
          <w:lang w:eastAsia="zh-CN"/>
        </w:rPr>
        <w:t>证监会刊发了一份通函，加强有关环境、社会及管治基金的披露和订立年度评估的规定。</w:t>
      </w:r>
      <w:hyperlink w:anchor="footnote-8693-20">
        <w:r>
          <w:rPr>
            <w:vertAlign w:val="superscript"/>
            <w:lang w:eastAsia="zh-CN"/>
          </w:rPr>
          <w:t>20</w:t>
        </w:r>
      </w:hyperlink>
    </w:p>
    <w:p w:rsidR="000B095A" w:rsidRDefault="000806A9">
      <w:pPr>
        <w:pStyle w:val="BodyText"/>
        <w:rPr>
          <w:lang w:eastAsia="zh-CN"/>
        </w:rPr>
      </w:pPr>
      <w:r>
        <w:rPr>
          <w:lang w:eastAsia="zh-CN"/>
        </w:rPr>
        <w:t>香港市场</w:t>
      </w:r>
    </w:p>
    <w:p w:rsidR="000B095A" w:rsidRDefault="000806A9">
      <w:pPr>
        <w:pStyle w:val="BodyText"/>
        <w:rPr>
          <w:lang w:eastAsia="zh-CN"/>
        </w:rPr>
      </w:pPr>
      <w:r>
        <w:rPr>
          <w:lang w:eastAsia="zh-CN"/>
        </w:rPr>
        <w:lastRenderedPageBreak/>
        <w:t>无纸证券市场</w:t>
      </w:r>
    </w:p>
    <w:p w:rsidR="000B095A" w:rsidRDefault="000806A9">
      <w:pPr>
        <w:pStyle w:val="BodyText"/>
        <w:rPr>
          <w:lang w:eastAsia="zh-CN"/>
        </w:rPr>
      </w:pPr>
      <w:r>
        <w:rPr>
          <w:lang w:eastAsia="zh-CN"/>
        </w:rPr>
        <w:t>获立法会通过的《证券及期货及公司法例（修订）条例草案》，为建立和实施无纸证券市场提供了法律框架。证监会正草拟附属法例，内容将会涵盖新制度的细节以及对提供证券登记机构服务的人士的规管。</w:t>
      </w:r>
    </w:p>
    <w:p w:rsidR="000B095A" w:rsidRDefault="000806A9">
      <w:pPr>
        <w:pStyle w:val="BodyText"/>
        <w:rPr>
          <w:lang w:eastAsia="zh-CN"/>
        </w:rPr>
      </w:pPr>
      <w:r>
        <w:rPr>
          <w:lang w:eastAsia="zh-CN"/>
        </w:rPr>
        <w:t>自动化交易</w:t>
      </w:r>
    </w:p>
    <w:p w:rsidR="000B095A" w:rsidRDefault="000806A9">
      <w:pPr>
        <w:pStyle w:val="BodyText"/>
        <w:rPr>
          <w:lang w:eastAsia="zh-CN"/>
        </w:rPr>
      </w:pPr>
      <w:r>
        <w:rPr>
          <w:lang w:eastAsia="zh-CN"/>
        </w:rPr>
        <w:t>截至</w:t>
      </w:r>
      <w:r>
        <w:rPr>
          <w:lang w:eastAsia="zh-CN"/>
        </w:rPr>
        <w:t>2021</w:t>
      </w:r>
      <w:r>
        <w:rPr>
          <w:lang w:eastAsia="zh-CN"/>
        </w:rPr>
        <w:t>年</w:t>
      </w:r>
      <w:r>
        <w:rPr>
          <w:lang w:eastAsia="zh-CN"/>
        </w:rPr>
        <w:t>6</w:t>
      </w:r>
      <w:r>
        <w:rPr>
          <w:lang w:eastAsia="zh-CN"/>
        </w:rPr>
        <w:t>月</w:t>
      </w:r>
      <w:r>
        <w:rPr>
          <w:lang w:eastAsia="zh-CN"/>
        </w:rPr>
        <w:t>30</w:t>
      </w:r>
      <w:r>
        <w:rPr>
          <w:lang w:eastAsia="zh-CN"/>
        </w:rPr>
        <w:t>日，根据《证券及期货条例》第</w:t>
      </w:r>
      <w:r>
        <w:rPr>
          <w:lang w:eastAsia="zh-CN"/>
        </w:rPr>
        <w:t>III</w:t>
      </w:r>
      <w:r>
        <w:rPr>
          <w:lang w:eastAsia="zh-CN"/>
        </w:rPr>
        <w:t>部（针对主要提供自动化交易服务的人士的认可制度）获认可的自动化交易服务提供商有</w:t>
      </w:r>
      <w:r>
        <w:rPr>
          <w:lang w:eastAsia="zh-CN"/>
        </w:rPr>
        <w:t>51</w:t>
      </w:r>
      <w:r>
        <w:rPr>
          <w:lang w:eastAsia="zh-CN"/>
        </w:rPr>
        <w:t>个，而根据《证券及期货条例》第</w:t>
      </w:r>
      <w:r>
        <w:rPr>
          <w:lang w:eastAsia="zh-CN"/>
        </w:rPr>
        <w:t>V</w:t>
      </w:r>
      <w:r>
        <w:rPr>
          <w:lang w:eastAsia="zh-CN"/>
        </w:rPr>
        <w:t>部（针对额外履行传统经纪行</w:t>
      </w:r>
      <w:r>
        <w:rPr>
          <w:lang w:eastAsia="zh-CN"/>
        </w:rPr>
        <w:t>/</w:t>
      </w:r>
      <w:r>
        <w:rPr>
          <w:lang w:eastAsia="zh-CN"/>
        </w:rPr>
        <w:t>交易商职能的人士的认可制度）获发牌提供自动化交易服务的公司则有</w:t>
      </w:r>
      <w:r>
        <w:rPr>
          <w:lang w:eastAsia="zh-CN"/>
        </w:rPr>
        <w:t>24</w:t>
      </w:r>
      <w:r>
        <w:rPr>
          <w:lang w:eastAsia="zh-CN"/>
        </w:rPr>
        <w:t>家，包括</w:t>
      </w:r>
      <w:r>
        <w:rPr>
          <w:lang w:eastAsia="zh-CN"/>
        </w:rPr>
        <w:t>13</w:t>
      </w:r>
      <w:r>
        <w:rPr>
          <w:lang w:eastAsia="zh-CN"/>
        </w:rPr>
        <w:t>家黑池营办商。</w:t>
      </w:r>
    </w:p>
    <w:p w:rsidR="000B095A" w:rsidRDefault="000806A9">
      <w:pPr>
        <w:pStyle w:val="BodyText"/>
        <w:rPr>
          <w:lang w:eastAsia="zh-CN"/>
        </w:rPr>
      </w:pPr>
      <w:r>
        <w:rPr>
          <w:lang w:eastAsia="zh-CN"/>
        </w:rPr>
        <w:t>证监会谘询总结</w:t>
      </w:r>
    </w:p>
    <w:p w:rsidR="000B095A" w:rsidRDefault="000806A9">
      <w:pPr>
        <w:pStyle w:val="BodyText"/>
        <w:rPr>
          <w:lang w:eastAsia="zh-CN"/>
        </w:rPr>
      </w:pPr>
      <w:r>
        <w:rPr>
          <w:lang w:eastAsia="zh-CN"/>
        </w:rPr>
        <w:t>证监会与金管局就场外衍生工具结算制度下的金融服务提供商名单的年度更新，发表了联合咨询总结。</w:t>
      </w:r>
    </w:p>
    <w:p w:rsidR="000B095A" w:rsidRDefault="000806A9">
      <w:pPr>
        <w:pStyle w:val="BodyText"/>
        <w:rPr>
          <w:lang w:eastAsia="zh-CN"/>
        </w:rPr>
      </w:pPr>
      <w:r>
        <w:rPr>
          <w:lang w:eastAsia="zh-CN"/>
        </w:rPr>
        <w:t>证监会执法</w:t>
      </w:r>
    </w:p>
    <w:p w:rsidR="000B095A" w:rsidRDefault="000806A9">
      <w:pPr>
        <w:pStyle w:val="BodyText"/>
        <w:rPr>
          <w:lang w:eastAsia="zh-CN"/>
        </w:rPr>
      </w:pPr>
      <w:r>
        <w:rPr>
          <w:lang w:eastAsia="zh-CN"/>
        </w:rPr>
        <w:t>2021</w:t>
      </w:r>
      <w:r>
        <w:rPr>
          <w:lang w:eastAsia="zh-CN"/>
        </w:rPr>
        <w:t>年第二季度期间，进行了以下执法行动：</w:t>
      </w:r>
    </w:p>
    <w:tbl>
      <w:tblPr>
        <w:tblW w:w="5000" w:type="pct"/>
        <w:tblLook w:val="07C0" w:firstRow="0" w:lastRow="1" w:firstColumn="1" w:lastColumn="1" w:noHBand="1" w:noVBand="1"/>
      </w:tblPr>
      <w:tblGrid>
        <w:gridCol w:w="1227"/>
        <w:gridCol w:w="9167"/>
      </w:tblGrid>
      <w:tr w:rsidR="000B095A">
        <w:tc>
          <w:tcPr>
            <w:tcW w:w="0" w:type="auto"/>
          </w:tcPr>
          <w:p w:rsidR="000B095A" w:rsidRDefault="000806A9">
            <w:pPr>
              <w:rPr>
                <w:lang w:eastAsia="zh-CN"/>
              </w:rPr>
            </w:pPr>
            <w:r>
              <w:rPr>
                <w:b/>
                <w:lang w:eastAsia="zh-CN"/>
              </w:rPr>
              <w:t>市场失当行为审裁处裁决</w:t>
            </w:r>
          </w:p>
        </w:tc>
        <w:tc>
          <w:tcPr>
            <w:tcW w:w="0" w:type="auto"/>
          </w:tcPr>
          <w:p w:rsidR="000B095A" w:rsidRDefault="000806A9">
            <w:pPr>
              <w:rPr>
                <w:lang w:eastAsia="zh-CN"/>
              </w:rPr>
            </w:pPr>
            <w:r>
              <w:rPr>
                <w:b/>
                <w:i/>
                <w:lang w:eastAsia="zh-CN"/>
              </w:rPr>
              <w:t>中国医疗网络有限公司</w:t>
            </w:r>
          </w:p>
          <w:p w:rsidR="000B095A" w:rsidRDefault="000806A9">
            <w:pPr>
              <w:rPr>
                <w:lang w:eastAsia="zh-CN"/>
              </w:rPr>
            </w:pPr>
            <w:r>
              <w:rPr>
                <w:lang w:eastAsia="zh-CN"/>
              </w:rPr>
              <w:t>市场失当</w:t>
            </w:r>
            <w:r>
              <w:rPr>
                <w:lang w:eastAsia="zh-CN"/>
              </w:rPr>
              <w:t>行为审裁处对中国医疗网络有限公司（前称中国网络资本有限公司）及其六名前任和现任董事罚款合共</w:t>
            </w:r>
            <w:r>
              <w:rPr>
                <w:lang w:eastAsia="zh-CN"/>
              </w:rPr>
              <w:t>420</w:t>
            </w:r>
            <w:r>
              <w:rPr>
                <w:lang w:eastAsia="zh-CN"/>
              </w:rPr>
              <w:t>万元，原因是他们没有在合理切实可行的范围内尽快披露内幕消息。其中两名董事被禁止担任上市公司董事，为期高达八个月。</w:t>
            </w:r>
          </w:p>
          <w:p w:rsidR="000B095A" w:rsidRDefault="000806A9">
            <w:pPr>
              <w:rPr>
                <w:lang w:eastAsia="zh-CN"/>
              </w:rPr>
            </w:pPr>
            <w:r>
              <w:rPr>
                <w:b/>
                <w:i/>
                <w:lang w:eastAsia="zh-CN"/>
              </w:rPr>
              <w:t>内幕消息</w:t>
            </w:r>
          </w:p>
          <w:p w:rsidR="000B095A" w:rsidRDefault="000806A9">
            <w:pPr>
              <w:rPr>
                <w:lang w:eastAsia="zh-CN"/>
              </w:rPr>
            </w:pPr>
            <w:r>
              <w:rPr>
                <w:lang w:eastAsia="zh-CN"/>
              </w:rPr>
              <w:t>有三名人士被发现曾进行内幕交易。</w:t>
            </w:r>
          </w:p>
        </w:tc>
      </w:tr>
      <w:tr w:rsidR="000B095A">
        <w:tc>
          <w:tcPr>
            <w:tcW w:w="0" w:type="auto"/>
          </w:tcPr>
          <w:p w:rsidR="000B095A" w:rsidRDefault="000806A9">
            <w:r>
              <w:rPr>
                <w:b/>
              </w:rPr>
              <w:t>法院诉讼</w:t>
            </w:r>
          </w:p>
        </w:tc>
        <w:tc>
          <w:tcPr>
            <w:tcW w:w="0" w:type="auto"/>
          </w:tcPr>
          <w:p w:rsidR="000B095A" w:rsidRDefault="000806A9">
            <w:pPr>
              <w:rPr>
                <w:lang w:eastAsia="zh-CN"/>
              </w:rPr>
            </w:pPr>
            <w:r>
              <w:rPr>
                <w:lang w:eastAsia="zh-CN"/>
              </w:rPr>
              <w:t>证监会已经成功取得了多项法庭命令，其中包括：</w:t>
            </w:r>
          </w:p>
          <w:p w:rsidR="000B095A" w:rsidRDefault="000806A9">
            <w:pPr>
              <w:pStyle w:val="Compact"/>
              <w:numPr>
                <w:ilvl w:val="0"/>
                <w:numId w:val="6"/>
              </w:numPr>
              <w:jc w:val="left"/>
              <w:rPr>
                <w:lang w:eastAsia="zh-CN"/>
              </w:rPr>
            </w:pPr>
            <w:r>
              <w:rPr>
                <w:lang w:eastAsia="zh-CN"/>
              </w:rPr>
              <w:t>诉法庭根据《证券及期货条例》第</w:t>
            </w:r>
            <w:r>
              <w:rPr>
                <w:lang w:eastAsia="zh-CN"/>
              </w:rPr>
              <w:t>214</w:t>
            </w:r>
            <w:r>
              <w:rPr>
                <w:lang w:eastAsia="zh-CN"/>
              </w:rPr>
              <w:t>条针对联洲国际集团有限公司三名前董事颁布赔偿令，饬令他们向联洲国际支付</w:t>
            </w:r>
            <w:r>
              <w:rPr>
                <w:lang w:eastAsia="zh-CN"/>
              </w:rPr>
              <w:t>6.22</w:t>
            </w:r>
            <w:r>
              <w:rPr>
                <w:lang w:eastAsia="zh-CN"/>
              </w:rPr>
              <w:t>亿港元，以赔偿其因他们犯有失当行为及没有以该公司的最佳利益行事而使公司蒙受的损失；</w:t>
            </w:r>
          </w:p>
          <w:p w:rsidR="000B095A" w:rsidRDefault="000806A9">
            <w:pPr>
              <w:pStyle w:val="Compact"/>
              <w:numPr>
                <w:ilvl w:val="0"/>
                <w:numId w:val="6"/>
              </w:numPr>
              <w:jc w:val="left"/>
              <w:rPr>
                <w:lang w:eastAsia="zh-CN"/>
              </w:rPr>
            </w:pPr>
            <w:r>
              <w:rPr>
                <w:lang w:eastAsia="zh-CN"/>
              </w:rPr>
              <w:t>因中国安芯控股有限公司前董事林苏鹏没有确认该公司的财务状况，根据《证券及期货条例》第</w:t>
            </w:r>
            <w:r>
              <w:rPr>
                <w:lang w:eastAsia="zh-CN"/>
              </w:rPr>
              <w:t>214</w:t>
            </w:r>
            <w:r>
              <w:rPr>
                <w:lang w:eastAsia="zh-CN"/>
              </w:rPr>
              <w:t>条取得针对他的取消资格令；及</w:t>
            </w:r>
          </w:p>
          <w:p w:rsidR="000B095A" w:rsidRDefault="000806A9">
            <w:pPr>
              <w:pStyle w:val="Compact"/>
              <w:numPr>
                <w:ilvl w:val="0"/>
                <w:numId w:val="6"/>
              </w:numPr>
              <w:jc w:val="left"/>
              <w:rPr>
                <w:lang w:eastAsia="zh-CN"/>
              </w:rPr>
            </w:pPr>
            <w:r>
              <w:rPr>
                <w:lang w:eastAsia="zh-CN"/>
              </w:rPr>
              <w:t>根据《证券及期货条例》第</w:t>
            </w:r>
            <w:r>
              <w:rPr>
                <w:lang w:eastAsia="zh-CN"/>
              </w:rPr>
              <w:t>213</w:t>
            </w:r>
            <w:r>
              <w:rPr>
                <w:lang w:eastAsia="zh-CN"/>
              </w:rPr>
              <w:t>条取得的针对三个据称在香港营运的锅炉室骗徒的最终命令。</w:t>
            </w:r>
          </w:p>
          <w:p w:rsidR="000B095A" w:rsidRDefault="000806A9">
            <w:pPr>
              <w:rPr>
                <w:lang w:eastAsia="zh-CN"/>
              </w:rPr>
            </w:pPr>
            <w:r>
              <w:rPr>
                <w:lang w:eastAsia="zh-CN"/>
              </w:rPr>
              <w:t>而根据东区裁判法院裁定：</w:t>
            </w:r>
          </w:p>
          <w:p w:rsidR="000B095A" w:rsidRDefault="000806A9">
            <w:pPr>
              <w:pStyle w:val="Compact"/>
              <w:numPr>
                <w:ilvl w:val="0"/>
                <w:numId w:val="7"/>
              </w:numPr>
              <w:jc w:val="left"/>
              <w:rPr>
                <w:lang w:eastAsia="zh-CN"/>
              </w:rPr>
            </w:pPr>
            <w:r>
              <w:rPr>
                <w:lang w:eastAsia="zh-CN"/>
              </w:rPr>
              <w:t>梁柏强（执业律师）被控进行内幕交易的五项罪名不成立；及</w:t>
            </w:r>
          </w:p>
          <w:p w:rsidR="000B095A" w:rsidRDefault="000806A9">
            <w:pPr>
              <w:pStyle w:val="Compact"/>
              <w:numPr>
                <w:ilvl w:val="0"/>
                <w:numId w:val="7"/>
              </w:numPr>
              <w:jc w:val="left"/>
              <w:rPr>
                <w:lang w:eastAsia="zh-CN"/>
              </w:rPr>
            </w:pPr>
            <w:r>
              <w:rPr>
                <w:lang w:eastAsia="zh-CN"/>
              </w:rPr>
              <w:t>对曾泠樨发出逮捕手令，因她未有就两项妨碍证监会进行搜查行动的控罪出庭应讯。</w:t>
            </w:r>
          </w:p>
        </w:tc>
      </w:tr>
      <w:tr w:rsidR="000B095A">
        <w:tc>
          <w:tcPr>
            <w:tcW w:w="0" w:type="auto"/>
          </w:tcPr>
          <w:p w:rsidR="000B095A" w:rsidRDefault="000806A9">
            <w:r>
              <w:rPr>
                <w:b/>
              </w:rPr>
              <w:t>纪律行动</w:t>
            </w:r>
          </w:p>
        </w:tc>
        <w:tc>
          <w:tcPr>
            <w:tcW w:w="0" w:type="auto"/>
          </w:tcPr>
          <w:p w:rsidR="000B095A" w:rsidRDefault="000806A9">
            <w:pPr>
              <w:rPr>
                <w:lang w:eastAsia="zh-CN"/>
              </w:rPr>
            </w:pPr>
            <w:r>
              <w:rPr>
                <w:lang w:eastAsia="zh-CN"/>
              </w:rPr>
              <w:t>三家持牌机构因内部监控缺失被谴责及罚款：</w:t>
            </w:r>
          </w:p>
          <w:p w:rsidR="000B095A" w:rsidRDefault="000806A9">
            <w:pPr>
              <w:pStyle w:val="Compact"/>
              <w:numPr>
                <w:ilvl w:val="0"/>
                <w:numId w:val="8"/>
              </w:numPr>
              <w:jc w:val="left"/>
              <w:rPr>
                <w:lang w:eastAsia="zh-CN"/>
              </w:rPr>
            </w:pPr>
            <w:r>
              <w:rPr>
                <w:lang w:eastAsia="zh-CN"/>
              </w:rPr>
              <w:t>德意志证券亚洲有限公司因向主要经纪业务客户发出错误结单和延误向证监会汇报其缺失被罚款</w:t>
            </w:r>
            <w:r>
              <w:rPr>
                <w:lang w:eastAsia="zh-CN"/>
              </w:rPr>
              <w:t>245</w:t>
            </w:r>
            <w:r>
              <w:rPr>
                <w:lang w:eastAsia="zh-CN"/>
              </w:rPr>
              <w:t>万港元；</w:t>
            </w:r>
          </w:p>
          <w:p w:rsidR="000B095A" w:rsidRDefault="000806A9">
            <w:pPr>
              <w:pStyle w:val="Compact"/>
              <w:numPr>
                <w:ilvl w:val="0"/>
                <w:numId w:val="8"/>
              </w:numPr>
              <w:jc w:val="left"/>
              <w:rPr>
                <w:lang w:eastAsia="zh-CN"/>
              </w:rPr>
            </w:pPr>
            <w:r>
              <w:rPr>
                <w:lang w:eastAsia="zh-CN"/>
              </w:rPr>
              <w:t>颖翔证券有限公司因没有勤勉尽责地监督一名客户主任和设立充足且有效的内部监控措施被罚款</w:t>
            </w:r>
            <w:r>
              <w:rPr>
                <w:lang w:eastAsia="zh-CN"/>
              </w:rPr>
              <w:t>150</w:t>
            </w:r>
            <w:r>
              <w:rPr>
                <w:lang w:eastAsia="zh-CN"/>
              </w:rPr>
              <w:t>万港元；及</w:t>
            </w:r>
          </w:p>
          <w:p w:rsidR="000B095A" w:rsidRDefault="000806A9">
            <w:pPr>
              <w:pStyle w:val="Compact"/>
              <w:numPr>
                <w:ilvl w:val="0"/>
                <w:numId w:val="8"/>
              </w:numPr>
              <w:jc w:val="left"/>
              <w:rPr>
                <w:lang w:eastAsia="zh-CN"/>
              </w:rPr>
            </w:pPr>
            <w:r>
              <w:rPr>
                <w:lang w:eastAsia="zh-CN"/>
              </w:rPr>
              <w:t>中庸资本有限公司因没有符合《证券及期货（淡仓申报）规则》的规定被罚款</w:t>
            </w:r>
            <w:r>
              <w:rPr>
                <w:lang w:eastAsia="zh-CN"/>
              </w:rPr>
              <w:t>10</w:t>
            </w:r>
            <w:r>
              <w:rPr>
                <w:lang w:eastAsia="zh-CN"/>
              </w:rPr>
              <w:lastRenderedPageBreak/>
              <w:t>5</w:t>
            </w:r>
            <w:r>
              <w:rPr>
                <w:lang w:eastAsia="zh-CN"/>
              </w:rPr>
              <w:t>万港元。</w:t>
            </w:r>
          </w:p>
          <w:p w:rsidR="000B095A" w:rsidRDefault="000806A9">
            <w:pPr>
              <w:rPr>
                <w:lang w:eastAsia="zh-CN"/>
              </w:rPr>
            </w:pPr>
            <w:r>
              <w:rPr>
                <w:lang w:eastAsia="zh-CN"/>
              </w:rPr>
              <w:t>一家机构的牌照被撤销：</w:t>
            </w:r>
          </w:p>
          <w:p w:rsidR="000B095A" w:rsidRDefault="000806A9">
            <w:pPr>
              <w:pStyle w:val="Compact"/>
              <w:numPr>
                <w:ilvl w:val="0"/>
                <w:numId w:val="9"/>
              </w:numPr>
              <w:jc w:val="left"/>
            </w:pPr>
            <w:r>
              <w:t>IDS Forex HK Limited</w:t>
            </w:r>
            <w:r>
              <w:t>的唯一股东</w:t>
            </w:r>
            <w:r>
              <w:t>Kim Sunghun</w:t>
            </w:r>
            <w:r>
              <w:t>在南韩被裁定非法集资和欺诈罪名成立后，该公司的牌照被撤销。</w:t>
            </w:r>
          </w:p>
          <w:p w:rsidR="000B095A" w:rsidRDefault="000806A9">
            <w:r>
              <w:t>三名人士获纪律处分：</w:t>
            </w:r>
          </w:p>
          <w:p w:rsidR="000B095A" w:rsidRDefault="000806A9">
            <w:pPr>
              <w:pStyle w:val="Compact"/>
              <w:numPr>
                <w:ilvl w:val="0"/>
                <w:numId w:val="10"/>
              </w:numPr>
              <w:jc w:val="left"/>
              <w:rPr>
                <w:lang w:eastAsia="zh-CN"/>
              </w:rPr>
            </w:pPr>
            <w:r>
              <w:rPr>
                <w:lang w:eastAsia="zh-CN"/>
              </w:rPr>
              <w:t>终身禁止</w:t>
            </w:r>
            <w:r>
              <w:rPr>
                <w:lang w:eastAsia="zh-CN"/>
              </w:rPr>
              <w:t>IDS</w:t>
            </w:r>
            <w:r>
              <w:rPr>
                <w:lang w:eastAsia="zh-CN"/>
              </w:rPr>
              <w:t>前联席行政总裁郑禹满及</w:t>
            </w:r>
            <w:r>
              <w:rPr>
                <w:lang w:eastAsia="zh-CN"/>
              </w:rPr>
              <w:t>Ki Bon</w:t>
            </w:r>
            <w:r>
              <w:rPr>
                <w:lang w:eastAsia="zh-CN"/>
              </w:rPr>
              <w:t>ggan</w:t>
            </w:r>
            <w:r>
              <w:rPr>
                <w:lang w:eastAsia="zh-CN"/>
              </w:rPr>
              <w:t>重投业界；</w:t>
            </w:r>
          </w:p>
          <w:p w:rsidR="000B095A" w:rsidRDefault="000806A9">
            <w:pPr>
              <w:pStyle w:val="Compact"/>
              <w:numPr>
                <w:ilvl w:val="0"/>
                <w:numId w:val="10"/>
              </w:numPr>
              <w:jc w:val="left"/>
              <w:rPr>
                <w:lang w:eastAsia="zh-CN"/>
              </w:rPr>
            </w:pPr>
            <w:r>
              <w:rPr>
                <w:lang w:eastAsia="zh-CN"/>
              </w:rPr>
              <w:t>智易东方证券有限公司的负责人员兼高级管理层成员蔺常念因没有履行他作为该公司负责人员的职责，遭暂时吊销牌照</w:t>
            </w:r>
            <w:r>
              <w:rPr>
                <w:lang w:eastAsia="zh-CN"/>
              </w:rPr>
              <w:t>7.2</w:t>
            </w:r>
            <w:r>
              <w:rPr>
                <w:lang w:eastAsia="zh-CN"/>
              </w:rPr>
              <w:t>个月。</w:t>
            </w:r>
          </w:p>
        </w:tc>
      </w:tr>
      <w:tr w:rsidR="000B095A">
        <w:tc>
          <w:tcPr>
            <w:tcW w:w="0" w:type="auto"/>
          </w:tcPr>
          <w:p w:rsidR="000B095A" w:rsidRDefault="000806A9">
            <w:pPr>
              <w:rPr>
                <w:lang w:eastAsia="zh-CN"/>
              </w:rPr>
            </w:pPr>
            <w:r>
              <w:rPr>
                <w:b/>
                <w:lang w:eastAsia="zh-CN"/>
              </w:rPr>
              <w:lastRenderedPageBreak/>
              <w:t>证券及期货事务上诉审裁处</w:t>
            </w:r>
          </w:p>
        </w:tc>
        <w:tc>
          <w:tcPr>
            <w:tcW w:w="0" w:type="auto"/>
          </w:tcPr>
          <w:p w:rsidR="000B095A" w:rsidRDefault="000806A9">
            <w:pPr>
              <w:rPr>
                <w:lang w:eastAsia="zh-CN"/>
              </w:rPr>
            </w:pPr>
            <w:r>
              <w:rPr>
                <w:lang w:eastAsia="zh-CN"/>
              </w:rPr>
              <w:t>UBS AG</w:t>
            </w:r>
            <w:r>
              <w:rPr>
                <w:lang w:eastAsia="zh-CN"/>
              </w:rPr>
              <w:t>前主管人员及董事总经理蔡洪平，就针对证监会早前因其没有就一宗上市申请履行其作为主要人员的监督职责而作出禁止他重投业界五年的决定而提出复核申请。蔡的申请获证券及期货事务上诉审裁处批准。</w:t>
            </w:r>
          </w:p>
        </w:tc>
      </w:tr>
      <w:tr w:rsidR="000B095A">
        <w:tc>
          <w:tcPr>
            <w:tcW w:w="0" w:type="auto"/>
          </w:tcPr>
          <w:p w:rsidR="000B095A" w:rsidRDefault="000806A9">
            <w:r>
              <w:rPr>
                <w:b/>
              </w:rPr>
              <w:t>与警方的联合行动</w:t>
            </w:r>
          </w:p>
        </w:tc>
        <w:tc>
          <w:tcPr>
            <w:tcW w:w="0" w:type="auto"/>
          </w:tcPr>
          <w:p w:rsidR="000B095A" w:rsidRDefault="000806A9">
            <w:pPr>
              <w:rPr>
                <w:lang w:eastAsia="zh-CN"/>
              </w:rPr>
            </w:pPr>
            <w:r>
              <w:rPr>
                <w:lang w:eastAsia="zh-CN"/>
              </w:rPr>
              <w:t>证监会与香港警务处商业罪案调查科对一个涉嫌进行</w:t>
            </w:r>
            <w:r>
              <w:rPr>
                <w:lang w:eastAsia="zh-CN"/>
              </w:rPr>
              <w:t>“</w:t>
            </w:r>
            <w:r>
              <w:rPr>
                <w:lang w:eastAsia="zh-CN"/>
              </w:rPr>
              <w:t>唱高散货</w:t>
            </w:r>
            <w:r>
              <w:rPr>
                <w:lang w:eastAsia="zh-CN"/>
              </w:rPr>
              <w:t>”</w:t>
            </w:r>
            <w:r>
              <w:rPr>
                <w:lang w:eastAsia="zh-CN"/>
              </w:rPr>
              <w:t>市场操纵计划并干犯欺诈罪的集团，采取联合行动，搜查了某香港上市公司的办事处及其高层人员的住所。警方以涉嫌干犯串谋诈骗罪，拘捕了四名人士。</w:t>
            </w:r>
          </w:p>
        </w:tc>
      </w:tr>
      <w:tr w:rsidR="000B095A">
        <w:tc>
          <w:tcPr>
            <w:tcW w:w="0" w:type="auto"/>
          </w:tcPr>
          <w:p w:rsidR="000B095A" w:rsidRDefault="000806A9">
            <w:r>
              <w:rPr>
                <w:b/>
              </w:rPr>
              <w:t>市场监察</w:t>
            </w:r>
          </w:p>
        </w:tc>
        <w:tc>
          <w:tcPr>
            <w:tcW w:w="0" w:type="auto"/>
          </w:tcPr>
          <w:p w:rsidR="000B095A" w:rsidRDefault="000806A9">
            <w:pPr>
              <w:rPr>
                <w:lang w:eastAsia="zh-CN"/>
              </w:rPr>
            </w:pPr>
            <w:r>
              <w:rPr>
                <w:lang w:eastAsia="zh-CN"/>
              </w:rPr>
              <w:t>证监会根据股价及成交量异动，向中介机构提出了</w:t>
            </w:r>
            <w:r>
              <w:rPr>
                <w:lang w:eastAsia="zh-CN"/>
              </w:rPr>
              <w:t>2,319</w:t>
            </w:r>
            <w:r>
              <w:rPr>
                <w:lang w:eastAsia="zh-CN"/>
              </w:rPr>
              <w:t>项索取交易及帐户纪录的要求并刊载了四份关于股权高度集中的公告。</w:t>
            </w:r>
          </w:p>
        </w:tc>
      </w:tr>
    </w:tbl>
    <w:p w:rsidR="000B095A" w:rsidRDefault="000806A9">
      <w:pPr>
        <w:pStyle w:val="BodyText"/>
        <w:rPr>
          <w:lang w:eastAsia="zh-CN"/>
        </w:rPr>
      </w:pPr>
      <w:r>
        <w:rPr>
          <w:lang w:eastAsia="zh-CN"/>
        </w:rPr>
        <w:t>此外，</w:t>
      </w:r>
      <w:r>
        <w:rPr>
          <w:lang w:eastAsia="zh-CN"/>
        </w:rPr>
        <w:t>2021</w:t>
      </w:r>
      <w:r>
        <w:rPr>
          <w:lang w:eastAsia="zh-CN"/>
        </w:rPr>
        <w:t>年</w:t>
      </w:r>
      <w:r>
        <w:rPr>
          <w:lang w:eastAsia="zh-CN"/>
        </w:rPr>
        <w:t>6</w:t>
      </w:r>
      <w:r>
        <w:rPr>
          <w:lang w:eastAsia="zh-CN"/>
        </w:rPr>
        <w:t>月，证监会与中国证券监督管理委员会举行了第十一次执法合作高层会议。</w:t>
      </w:r>
    </w:p>
    <w:p w:rsidR="000B095A" w:rsidRDefault="000806A9">
      <w:pPr>
        <w:pStyle w:val="BodyText"/>
        <w:rPr>
          <w:lang w:eastAsia="zh-CN"/>
        </w:rPr>
      </w:pPr>
      <w:r>
        <w:rPr>
          <w:lang w:eastAsia="zh-CN"/>
        </w:rPr>
        <w:t>提醒公众慎防社交媒体投资骗局</w:t>
      </w:r>
    </w:p>
    <w:p w:rsidR="000B095A" w:rsidRDefault="000806A9">
      <w:pPr>
        <w:pStyle w:val="BodyText"/>
        <w:rPr>
          <w:lang w:eastAsia="zh-CN"/>
        </w:rPr>
      </w:pPr>
      <w:r>
        <w:rPr>
          <w:lang w:eastAsia="zh-CN"/>
        </w:rPr>
        <w:t>证监会一直寻求透过以下方式提升公众对于社交媒体投资骗局的认知：</w:t>
      </w:r>
    </w:p>
    <w:p w:rsidR="000B095A" w:rsidRDefault="000806A9">
      <w:pPr>
        <w:pStyle w:val="Compact"/>
        <w:numPr>
          <w:ilvl w:val="0"/>
          <w:numId w:val="11"/>
        </w:numPr>
        <w:rPr>
          <w:lang w:eastAsia="zh-CN"/>
        </w:rPr>
      </w:pPr>
      <w:r>
        <w:rPr>
          <w:lang w:eastAsia="zh-CN"/>
        </w:rPr>
        <w:t>举行</w:t>
      </w:r>
      <w:r>
        <w:rPr>
          <w:lang w:eastAsia="zh-CN"/>
        </w:rPr>
        <w:t>网上宣传活动，让网民模拟被卷入社交媒体投资骗局的体验；</w:t>
      </w:r>
    </w:p>
    <w:p w:rsidR="000B095A" w:rsidRDefault="000806A9">
      <w:pPr>
        <w:pStyle w:val="Compact"/>
        <w:numPr>
          <w:ilvl w:val="0"/>
          <w:numId w:val="11"/>
        </w:numPr>
        <w:rPr>
          <w:lang w:eastAsia="zh-CN"/>
        </w:rPr>
      </w:pPr>
      <w:r>
        <w:rPr>
          <w:lang w:eastAsia="zh-CN"/>
        </w:rPr>
        <w:t>联同警方举办了小区外展活动；及</w:t>
      </w:r>
    </w:p>
    <w:p w:rsidR="000B095A" w:rsidRDefault="000806A9">
      <w:pPr>
        <w:pStyle w:val="Compact"/>
        <w:numPr>
          <w:ilvl w:val="0"/>
          <w:numId w:val="11"/>
        </w:numPr>
      </w:pPr>
      <w:r>
        <w:rPr>
          <w:lang w:eastAsia="zh-CN"/>
        </w:rPr>
        <w:t>发出通函，提醒证监会持牌人有责任向证监会汇报疑似</w:t>
      </w:r>
      <w:r>
        <w:rPr>
          <w:lang w:eastAsia="zh-CN"/>
        </w:rPr>
        <w:t>“</w:t>
      </w:r>
      <w:r>
        <w:rPr>
          <w:lang w:eastAsia="zh-CN"/>
        </w:rPr>
        <w:t>唱高散货</w:t>
      </w:r>
      <w:r>
        <w:rPr>
          <w:lang w:eastAsia="zh-CN"/>
        </w:rPr>
        <w:t>”</w:t>
      </w:r>
      <w:r>
        <w:rPr>
          <w:lang w:eastAsia="zh-CN"/>
        </w:rPr>
        <w:t>骗局。</w:t>
      </w:r>
      <w:hyperlink w:anchor="footnote-8693-21">
        <w:r>
          <w:rPr>
            <w:vertAlign w:val="superscript"/>
          </w:rPr>
          <w:t>21</w:t>
        </w:r>
      </w:hyperlink>
    </w:p>
    <w:p w:rsidR="000B095A" w:rsidRDefault="000806A9">
      <w:pPr>
        <w:pStyle w:val="FirstParagraph"/>
        <w:rPr>
          <w:lang w:eastAsia="zh-CN"/>
        </w:rPr>
      </w:pPr>
      <w:r>
        <w:rPr>
          <w:lang w:eastAsia="zh-CN"/>
        </w:rPr>
        <w:t>不受规管的虚拟资产平台</w:t>
      </w:r>
    </w:p>
    <w:p w:rsidR="000B095A" w:rsidRDefault="000806A9">
      <w:pPr>
        <w:pStyle w:val="BodyText"/>
        <w:rPr>
          <w:lang w:eastAsia="zh-CN"/>
        </w:rPr>
      </w:pPr>
      <w:r>
        <w:rPr>
          <w:lang w:eastAsia="zh-CN"/>
        </w:rPr>
        <w:t>证监会发出声明，明确表示币安集团旗下的任何实体均未获得发牌或注册以在香港进行受规管活动。</w:t>
      </w:r>
      <w:hyperlink w:anchor="footnote-8693-22">
        <w:r>
          <w:rPr>
            <w:vertAlign w:val="superscript"/>
            <w:lang w:eastAsia="zh-CN"/>
          </w:rPr>
          <w:t>22</w:t>
        </w:r>
      </w:hyperlink>
      <w:r>
        <w:rPr>
          <w:lang w:eastAsia="zh-CN"/>
        </w:rPr>
        <w:t xml:space="preserve"> </w:t>
      </w:r>
      <w:r>
        <w:rPr>
          <w:lang w:eastAsia="zh-CN"/>
        </w:rPr>
        <w:t>该声明呼吁投资者如打算投资于在不受规管的平台上发售的股票代币，务必格外谨慎。</w:t>
      </w:r>
    </w:p>
    <w:p w:rsidR="000B095A" w:rsidRDefault="000806A9">
      <w:pPr>
        <w:pStyle w:val="BodyText"/>
        <w:rPr>
          <w:lang w:eastAsia="zh-CN"/>
        </w:rPr>
      </w:pPr>
      <w:r>
        <w:rPr>
          <w:lang w:eastAsia="zh-CN"/>
        </w:rPr>
        <w:t>证监会监管合作</w:t>
      </w:r>
    </w:p>
    <w:p w:rsidR="000B095A" w:rsidRDefault="000806A9">
      <w:pPr>
        <w:pStyle w:val="BodyText"/>
        <w:rPr>
          <w:lang w:eastAsia="zh-CN"/>
        </w:rPr>
      </w:pPr>
      <w:r>
        <w:rPr>
          <w:lang w:eastAsia="zh-CN"/>
        </w:rPr>
        <w:t>国际层面的政策制订工作及监管合作</w:t>
      </w:r>
    </w:p>
    <w:p w:rsidR="000B095A" w:rsidRDefault="000806A9">
      <w:pPr>
        <w:pStyle w:val="BodyText"/>
        <w:rPr>
          <w:lang w:eastAsia="zh-CN"/>
        </w:rPr>
      </w:pPr>
      <w:r>
        <w:rPr>
          <w:lang w:eastAsia="zh-CN"/>
        </w:rPr>
        <w:t>证监会参与众多的团体及委员会，包括国际证券事务监察委员会组织（</w:t>
      </w:r>
      <w:r>
        <w:rPr>
          <w:b/>
          <w:lang w:eastAsia="zh-CN"/>
        </w:rPr>
        <w:t>国际证监会组织</w:t>
      </w:r>
      <w:r>
        <w:rPr>
          <w:lang w:eastAsia="zh-CN"/>
        </w:rPr>
        <w:t>），金融稳定参与小组及国际证监会组织辖下全部八个政策委员会。证监会还是国际证监会组织零售市场行为工作小组的成员，并积极参与金融稳定理事会标准执行常设委员会的工作。</w:t>
      </w:r>
    </w:p>
    <w:p w:rsidR="000B095A" w:rsidRDefault="000806A9">
      <w:pPr>
        <w:pStyle w:val="BodyText"/>
        <w:rPr>
          <w:lang w:eastAsia="zh-CN"/>
        </w:rPr>
      </w:pPr>
      <w:r>
        <w:rPr>
          <w:lang w:eastAsia="zh-CN"/>
        </w:rPr>
        <w:t>证监会行政总裁欧达礼先生（</w:t>
      </w:r>
      <w:r>
        <w:rPr>
          <w:lang w:eastAsia="zh-CN"/>
        </w:rPr>
        <w:t>Mr Ashley Alder</w:t>
      </w:r>
      <w:r>
        <w:rPr>
          <w:lang w:eastAsia="zh-CN"/>
        </w:rPr>
        <w:t>）是国际证券事务监察委员会组织理事会主席，并以国际证监会组织理事会主席的身分，参与了金融稳定理事会的多个会议。在</w:t>
      </w:r>
      <w:r>
        <w:rPr>
          <w:lang w:eastAsia="zh-CN"/>
        </w:rPr>
        <w:t>6</w:t>
      </w:r>
      <w:r>
        <w:rPr>
          <w:lang w:eastAsia="zh-CN"/>
        </w:rPr>
        <w:t>月召开的理事会会议上，国际证监会组织主要探讨其年内的</w:t>
      </w:r>
      <w:r>
        <w:rPr>
          <w:lang w:eastAsia="zh-CN"/>
        </w:rPr>
        <w:t>工作重点，当中包括可持续金融及疫情衍生的营运风险。欧达礼先生为支付及市场基建委员会－国际证监会组织督导小组在</w:t>
      </w:r>
      <w:r>
        <w:rPr>
          <w:lang w:eastAsia="zh-CN"/>
        </w:rPr>
        <w:t>5</w:t>
      </w:r>
      <w:r>
        <w:rPr>
          <w:lang w:eastAsia="zh-CN"/>
        </w:rPr>
        <w:t>月及</w:t>
      </w:r>
      <w:r>
        <w:rPr>
          <w:lang w:eastAsia="zh-CN"/>
        </w:rPr>
        <w:t>6</w:t>
      </w:r>
      <w:r>
        <w:rPr>
          <w:lang w:eastAsia="zh-CN"/>
        </w:rPr>
        <w:t>月举行的会议担任联席主席。欧达礼先生亦为国际证监会组织附属会员咨询委员会主持领袖分享会。</w:t>
      </w:r>
    </w:p>
    <w:p w:rsidR="000B095A" w:rsidRDefault="000806A9">
      <w:pPr>
        <w:pStyle w:val="BodyText"/>
        <w:rPr>
          <w:lang w:eastAsia="zh-CN"/>
        </w:rPr>
      </w:pPr>
      <w:r>
        <w:rPr>
          <w:lang w:eastAsia="zh-CN"/>
        </w:rPr>
        <w:lastRenderedPageBreak/>
        <w:t>证监会副行政总裁梁凤仪女士除担任国际证监会组织可持续金融工作小组的副主席外，亦共同领导与可持续发展和资产管理有关的工作分队。</w:t>
      </w:r>
    </w:p>
    <w:p w:rsidR="000B095A" w:rsidRDefault="000806A9">
      <w:pPr>
        <w:pStyle w:val="BodyText"/>
        <w:rPr>
          <w:lang w:eastAsia="zh-CN"/>
        </w:rPr>
      </w:pPr>
      <w:r>
        <w:rPr>
          <w:lang w:eastAsia="zh-CN"/>
        </w:rPr>
        <w:t>另外，整个</w:t>
      </w:r>
      <w:r>
        <w:rPr>
          <w:lang w:eastAsia="zh-CN"/>
        </w:rPr>
        <w:t>2021</w:t>
      </w:r>
      <w:r>
        <w:rPr>
          <w:lang w:eastAsia="zh-CN"/>
        </w:rPr>
        <w:t>年第二季度中，欧达礼先生与业界组织及其他持份者进行交流，藉以探讨近期的监管事宜。证监会人员参加了监管联席会议，共同探讨对身处充满挑战的营商环境下的国际金融机构的监</w:t>
      </w:r>
      <w:r>
        <w:rPr>
          <w:lang w:eastAsia="zh-CN"/>
        </w:rPr>
        <w:t>管工作，亦与若干海外监管机构和组织召开会议，就新兴监管发展交换意见。</w:t>
      </w:r>
    </w:p>
    <w:p w:rsidR="000B095A" w:rsidRDefault="000806A9">
      <w:pPr>
        <w:pStyle w:val="BodyText"/>
        <w:rPr>
          <w:lang w:eastAsia="zh-CN"/>
        </w:rPr>
      </w:pPr>
      <w:r>
        <w:rPr>
          <w:lang w:eastAsia="zh-CN"/>
        </w:rPr>
        <w:t>内地及大湾区</w:t>
      </w:r>
    </w:p>
    <w:p w:rsidR="000B095A" w:rsidRDefault="000806A9">
      <w:pPr>
        <w:pStyle w:val="BodyText"/>
        <w:rPr>
          <w:lang w:eastAsia="zh-CN"/>
        </w:rPr>
      </w:pPr>
      <w:r>
        <w:rPr>
          <w:lang w:eastAsia="zh-CN"/>
        </w:rPr>
        <w:t>2021</w:t>
      </w:r>
      <w:r>
        <w:rPr>
          <w:lang w:eastAsia="zh-CN"/>
        </w:rPr>
        <w:t>年</w:t>
      </w:r>
      <w:r>
        <w:rPr>
          <w:lang w:eastAsia="zh-CN"/>
        </w:rPr>
        <w:t>6</w:t>
      </w:r>
      <w:r>
        <w:rPr>
          <w:lang w:eastAsia="zh-CN"/>
        </w:rPr>
        <w:t>月，证监会与中国证券监督管理委员会举行两地监管机构高层会晤第九次会议，探讨跨境监管合作和市场发展措施。该等措施包括在监管经营跨境业务的金融机构方面的合作安排，以及完善内地与香港市场互联互通计划的措施。</w:t>
      </w:r>
    </w:p>
    <w:p w:rsidR="000B095A" w:rsidRDefault="000806A9">
      <w:pPr>
        <w:pStyle w:val="BodyText"/>
        <w:rPr>
          <w:lang w:eastAsia="zh-CN"/>
        </w:rPr>
      </w:pPr>
      <w:r>
        <w:rPr>
          <w:lang w:eastAsia="zh-CN"/>
        </w:rPr>
        <w:t>证监会还与内地相关部门紧密合作，就落实大湾区发展规划中所载列的多项举措（例如跨境理财通）作好准备。证监会亦与内地部门就筹备落实债券通的南向交易展开合作。</w:t>
      </w:r>
    </w:p>
    <w:p w:rsidR="000B095A" w:rsidRDefault="000806A9">
      <w:pPr>
        <w:pStyle w:val="BodyText"/>
        <w:rPr>
          <w:lang w:eastAsia="zh-CN"/>
        </w:rPr>
      </w:pPr>
      <w:r>
        <w:rPr>
          <w:lang w:eastAsia="zh-CN"/>
        </w:rPr>
        <w:t>绿色和可持续金融</w:t>
      </w:r>
    </w:p>
    <w:p w:rsidR="000B095A" w:rsidRDefault="000806A9">
      <w:pPr>
        <w:pStyle w:val="BodyText"/>
        <w:rPr>
          <w:lang w:eastAsia="zh-CN"/>
        </w:rPr>
      </w:pPr>
      <w:r>
        <w:rPr>
          <w:lang w:eastAsia="zh-CN"/>
        </w:rPr>
        <w:t>证监会与金管局共同领导香港绿色和可持续金融跨机构督导小组。</w:t>
      </w:r>
      <w:r>
        <w:rPr>
          <w:lang w:eastAsia="zh-CN"/>
        </w:rPr>
        <w:t>7</w:t>
      </w:r>
      <w:r>
        <w:rPr>
          <w:lang w:eastAsia="zh-CN"/>
        </w:rPr>
        <w:t>月，该小组宣布了其将于下一阶段进行的工作重点，以巩固香港在绿色和可持续金融方面的领先地位并协助金融生态系统迈向碳中和。</w:t>
      </w:r>
    </w:p>
    <w:p w:rsidR="000B095A" w:rsidRDefault="000806A9">
      <w:pPr>
        <w:pStyle w:val="BodyText"/>
        <w:rPr>
          <w:lang w:eastAsia="zh-CN"/>
        </w:rPr>
      </w:pPr>
      <w:r>
        <w:rPr>
          <w:lang w:eastAsia="zh-CN"/>
        </w:rPr>
        <w:t>证监会是欧洲委员会的可持续金融国际平台的成员，积极参与央行与监管机构绿色金融网络及联合国可持续交易所举措顾问小组的工作。</w:t>
      </w:r>
    </w:p>
    <w:p w:rsidR="000B095A" w:rsidRDefault="000806A9">
      <w:pPr>
        <w:pStyle w:val="BodyText"/>
        <w:rPr>
          <w:lang w:eastAsia="zh-CN"/>
        </w:rPr>
      </w:pPr>
      <w:r>
        <w:rPr>
          <w:lang w:eastAsia="zh-CN"/>
        </w:rPr>
        <w:t>机构发展</w:t>
      </w:r>
    </w:p>
    <w:p w:rsidR="000B095A" w:rsidRDefault="000806A9">
      <w:pPr>
        <w:pStyle w:val="BodyText"/>
        <w:rPr>
          <w:lang w:eastAsia="zh-CN"/>
        </w:rPr>
      </w:pPr>
      <w:r>
        <w:rPr>
          <w:lang w:eastAsia="zh-CN"/>
        </w:rPr>
        <w:t>证监会机构发展的要点有：</w:t>
      </w:r>
    </w:p>
    <w:p w:rsidR="000B095A" w:rsidRDefault="000806A9">
      <w:pPr>
        <w:pStyle w:val="Compact"/>
        <w:numPr>
          <w:ilvl w:val="0"/>
          <w:numId w:val="12"/>
        </w:numPr>
        <w:rPr>
          <w:lang w:eastAsia="zh-CN"/>
        </w:rPr>
      </w:pPr>
      <w:r>
        <w:rPr>
          <w:i/>
          <w:lang w:eastAsia="zh-CN"/>
        </w:rPr>
        <w:t>董事局</w:t>
      </w:r>
      <w:r>
        <w:rPr>
          <w:lang w:eastAsia="zh-CN"/>
        </w:rPr>
        <w:t xml:space="preserve"> </w:t>
      </w:r>
      <w:r>
        <w:rPr>
          <w:lang w:eastAsia="zh-CN"/>
        </w:rPr>
        <w:t xml:space="preserve">– </w:t>
      </w:r>
      <w:r>
        <w:rPr>
          <w:lang w:eastAsia="zh-CN"/>
        </w:rPr>
        <w:t>黄奕鉴先生获委任为非执行董事，后罗家骏先生和陈锦荣先生再次获委任出任非执行董事，任期均为两年，分别由</w:t>
      </w:r>
      <w:r>
        <w:rPr>
          <w:lang w:eastAsia="zh-CN"/>
        </w:rPr>
        <w:t>2021</w:t>
      </w:r>
      <w:r>
        <w:rPr>
          <w:lang w:eastAsia="zh-CN"/>
        </w:rPr>
        <w:t>年</w:t>
      </w:r>
      <w:r>
        <w:rPr>
          <w:lang w:eastAsia="zh-CN"/>
        </w:rPr>
        <w:t>4</w:t>
      </w:r>
      <w:r>
        <w:rPr>
          <w:lang w:eastAsia="zh-CN"/>
        </w:rPr>
        <w:t>月</w:t>
      </w:r>
      <w:r>
        <w:rPr>
          <w:lang w:eastAsia="zh-CN"/>
        </w:rPr>
        <w:t>1</w:t>
      </w:r>
      <w:r>
        <w:rPr>
          <w:lang w:eastAsia="zh-CN"/>
        </w:rPr>
        <w:t>日、</w:t>
      </w:r>
      <w:r>
        <w:rPr>
          <w:lang w:eastAsia="zh-CN"/>
        </w:rPr>
        <w:t>2021</w:t>
      </w:r>
      <w:r>
        <w:rPr>
          <w:lang w:eastAsia="zh-CN"/>
        </w:rPr>
        <w:t>年</w:t>
      </w:r>
      <w:r>
        <w:rPr>
          <w:lang w:eastAsia="zh-CN"/>
        </w:rPr>
        <w:t>4</w:t>
      </w:r>
      <w:r>
        <w:rPr>
          <w:lang w:eastAsia="zh-CN"/>
        </w:rPr>
        <w:t>月</w:t>
      </w:r>
      <w:r>
        <w:rPr>
          <w:lang w:eastAsia="zh-CN"/>
        </w:rPr>
        <w:t>24</w:t>
      </w:r>
      <w:r>
        <w:rPr>
          <w:lang w:eastAsia="zh-CN"/>
        </w:rPr>
        <w:t>日及</w:t>
      </w:r>
      <w:r>
        <w:rPr>
          <w:lang w:eastAsia="zh-CN"/>
        </w:rPr>
        <w:t>2021</w:t>
      </w:r>
      <w:r>
        <w:rPr>
          <w:lang w:eastAsia="zh-CN"/>
        </w:rPr>
        <w:t>年</w:t>
      </w:r>
      <w:r>
        <w:rPr>
          <w:lang w:eastAsia="zh-CN"/>
        </w:rPr>
        <w:t>5</w:t>
      </w:r>
      <w:r>
        <w:rPr>
          <w:lang w:eastAsia="zh-CN"/>
        </w:rPr>
        <w:t>月</w:t>
      </w:r>
      <w:r>
        <w:rPr>
          <w:lang w:eastAsia="zh-CN"/>
        </w:rPr>
        <w:t>26</w:t>
      </w:r>
      <w:r>
        <w:rPr>
          <w:lang w:eastAsia="zh-CN"/>
        </w:rPr>
        <w:t>日起生效；</w:t>
      </w:r>
    </w:p>
    <w:p w:rsidR="000B095A" w:rsidRDefault="000806A9">
      <w:pPr>
        <w:pStyle w:val="Compact"/>
        <w:numPr>
          <w:ilvl w:val="0"/>
          <w:numId w:val="12"/>
        </w:numPr>
        <w:rPr>
          <w:lang w:eastAsia="zh-CN"/>
        </w:rPr>
      </w:pPr>
      <w:r>
        <w:rPr>
          <w:i/>
          <w:lang w:eastAsia="zh-CN"/>
        </w:rPr>
        <w:t>各监管事务委员会</w:t>
      </w:r>
      <w:r>
        <w:rPr>
          <w:lang w:eastAsia="zh-CN"/>
        </w:rPr>
        <w:t xml:space="preserve"> – </w:t>
      </w:r>
      <w:r>
        <w:rPr>
          <w:lang w:eastAsia="zh-CN"/>
        </w:rPr>
        <w:t>若干委员会的新任命及再度委任由</w:t>
      </w:r>
      <w:r>
        <w:rPr>
          <w:lang w:eastAsia="zh-CN"/>
        </w:rPr>
        <w:t>4</w:t>
      </w:r>
      <w:r>
        <w:rPr>
          <w:lang w:eastAsia="zh-CN"/>
        </w:rPr>
        <w:t>月</w:t>
      </w:r>
      <w:r>
        <w:rPr>
          <w:lang w:eastAsia="zh-CN"/>
        </w:rPr>
        <w:t>1</w:t>
      </w:r>
      <w:r>
        <w:rPr>
          <w:lang w:eastAsia="zh-CN"/>
        </w:rPr>
        <w:t>日起生效；</w:t>
      </w:r>
    </w:p>
    <w:p w:rsidR="000B095A" w:rsidRDefault="000806A9">
      <w:pPr>
        <w:pStyle w:val="Compact"/>
        <w:numPr>
          <w:ilvl w:val="0"/>
          <w:numId w:val="12"/>
        </w:numPr>
      </w:pPr>
      <w:r>
        <w:rPr>
          <w:i/>
          <w:lang w:eastAsia="zh-CN"/>
        </w:rPr>
        <w:t>财务数据</w:t>
      </w:r>
      <w:r>
        <w:rPr>
          <w:lang w:eastAsia="zh-CN"/>
        </w:rPr>
        <w:t xml:space="preserve"> – </w:t>
      </w:r>
      <w:r>
        <w:rPr>
          <w:lang w:eastAsia="zh-CN"/>
        </w:rPr>
        <w:t>证监会在</w:t>
      </w:r>
      <w:r>
        <w:rPr>
          <w:lang w:eastAsia="zh-CN"/>
        </w:rPr>
        <w:t>2021</w:t>
      </w:r>
      <w:r>
        <w:rPr>
          <w:lang w:eastAsia="zh-CN"/>
        </w:rPr>
        <w:t>年第二季录得</w:t>
      </w:r>
      <w:r>
        <w:rPr>
          <w:lang w:eastAsia="zh-CN"/>
        </w:rPr>
        <w:t>6.1</w:t>
      </w:r>
      <w:r>
        <w:rPr>
          <w:lang w:eastAsia="zh-CN"/>
        </w:rPr>
        <w:t>亿港元的收入（较</w:t>
      </w:r>
      <w:r>
        <w:rPr>
          <w:lang w:eastAsia="zh-CN"/>
        </w:rPr>
        <w:t>2020</w:t>
      </w:r>
      <w:r>
        <w:rPr>
          <w:lang w:eastAsia="zh-CN"/>
        </w:rPr>
        <w:t>年第二季减少</w:t>
      </w:r>
      <w:r>
        <w:rPr>
          <w:lang w:eastAsia="zh-CN"/>
        </w:rPr>
        <w:t>3%</w:t>
      </w:r>
      <w:r>
        <w:rPr>
          <w:lang w:eastAsia="zh-CN"/>
        </w:rPr>
        <w:t>）及</w:t>
      </w:r>
      <w:r>
        <w:rPr>
          <w:lang w:eastAsia="zh-CN"/>
        </w:rPr>
        <w:t>4.67</w:t>
      </w:r>
      <w:r>
        <w:rPr>
          <w:lang w:eastAsia="zh-CN"/>
        </w:rPr>
        <w:t>亿港元的开支（较</w:t>
      </w:r>
      <w:r>
        <w:rPr>
          <w:lang w:eastAsia="zh-CN"/>
        </w:rPr>
        <w:t>2020</w:t>
      </w:r>
      <w:r>
        <w:rPr>
          <w:lang w:eastAsia="zh-CN"/>
        </w:rPr>
        <w:t>年第二季减少</w:t>
      </w:r>
      <w:r>
        <w:rPr>
          <w:lang w:eastAsia="zh-CN"/>
        </w:rPr>
        <w:t>10%</w:t>
      </w:r>
      <w:r>
        <w:rPr>
          <w:lang w:eastAsia="zh-CN"/>
        </w:rPr>
        <w:t>）。</w:t>
      </w:r>
      <w:r>
        <w:t>截至</w:t>
      </w:r>
      <w:r>
        <w:t>2021</w:t>
      </w:r>
      <w:r>
        <w:t>年</w:t>
      </w:r>
      <w:r>
        <w:t>6</w:t>
      </w:r>
      <w:r>
        <w:t>月</w:t>
      </w:r>
      <w:r>
        <w:t>30</w:t>
      </w:r>
      <w:r>
        <w:t>日，证监会的储备为</w:t>
      </w:r>
      <w:r>
        <w:t>46</w:t>
      </w:r>
      <w:r>
        <w:t>亿港元；</w:t>
      </w:r>
    </w:p>
    <w:p w:rsidR="000B095A" w:rsidRDefault="000806A9">
      <w:pPr>
        <w:pStyle w:val="Compact"/>
        <w:numPr>
          <w:ilvl w:val="0"/>
          <w:numId w:val="12"/>
        </w:numPr>
        <w:rPr>
          <w:lang w:eastAsia="zh-CN"/>
        </w:rPr>
      </w:pPr>
      <w:r>
        <w:rPr>
          <w:i/>
          <w:lang w:eastAsia="zh-CN"/>
        </w:rPr>
        <w:t>员工人数</w:t>
      </w:r>
      <w:r>
        <w:rPr>
          <w:lang w:eastAsia="zh-CN"/>
        </w:rPr>
        <w:t xml:space="preserve"> – </w:t>
      </w:r>
      <w:r>
        <w:rPr>
          <w:lang w:eastAsia="zh-CN"/>
        </w:rPr>
        <w:t>截至</w:t>
      </w:r>
      <w:r>
        <w:rPr>
          <w:lang w:eastAsia="zh-CN"/>
        </w:rPr>
        <w:t>2021</w:t>
      </w:r>
      <w:r>
        <w:rPr>
          <w:lang w:eastAsia="zh-CN"/>
        </w:rPr>
        <w:t>年</w:t>
      </w:r>
      <w:r>
        <w:rPr>
          <w:lang w:eastAsia="zh-CN"/>
        </w:rPr>
        <w:t>6</w:t>
      </w:r>
      <w:r>
        <w:rPr>
          <w:lang w:eastAsia="zh-CN"/>
        </w:rPr>
        <w:t>月</w:t>
      </w:r>
      <w:r>
        <w:rPr>
          <w:lang w:eastAsia="zh-CN"/>
        </w:rPr>
        <w:t>30</w:t>
      </w:r>
      <w:r>
        <w:rPr>
          <w:lang w:eastAsia="zh-CN"/>
        </w:rPr>
        <w:t>日，证监会的员工人数由一年前的</w:t>
      </w:r>
      <w:r>
        <w:rPr>
          <w:lang w:eastAsia="zh-CN"/>
        </w:rPr>
        <w:t>925</w:t>
      </w:r>
      <w:r>
        <w:rPr>
          <w:lang w:eastAsia="zh-CN"/>
        </w:rPr>
        <w:t>名减至</w:t>
      </w:r>
      <w:r>
        <w:rPr>
          <w:lang w:eastAsia="zh-CN"/>
        </w:rPr>
        <w:t>923</w:t>
      </w:r>
      <w:r>
        <w:rPr>
          <w:lang w:eastAsia="zh-CN"/>
        </w:rPr>
        <w:t>名；及</w:t>
      </w:r>
    </w:p>
    <w:p w:rsidR="000B095A" w:rsidRDefault="000806A9">
      <w:pPr>
        <w:pStyle w:val="Compact"/>
        <w:numPr>
          <w:ilvl w:val="0"/>
          <w:numId w:val="12"/>
        </w:numPr>
        <w:rPr>
          <w:lang w:eastAsia="zh-CN"/>
        </w:rPr>
      </w:pPr>
      <w:r>
        <w:rPr>
          <w:i/>
          <w:lang w:eastAsia="zh-CN"/>
        </w:rPr>
        <w:t>信息科技</w:t>
      </w:r>
      <w:r>
        <w:rPr>
          <w:lang w:eastAsia="zh-CN"/>
        </w:rPr>
        <w:t xml:space="preserve"> – 2021</w:t>
      </w:r>
      <w:r>
        <w:rPr>
          <w:lang w:eastAsia="zh-CN"/>
        </w:rPr>
        <w:t>年第二季度内，证监会就其每两年一次的对冲基金调查设立了一个新网页。证监会还利用以崭新人工智能辅助的中文数据搜寻技术，协助评估上市申请及审查背景资料。</w:t>
      </w:r>
    </w:p>
    <w:p w:rsidR="000B095A" w:rsidRDefault="000806A9" w:rsidP="000806A9">
      <w:pPr>
        <w:pStyle w:val="FirstParagraph"/>
        <w:jc w:val="left"/>
      </w:pPr>
      <w:hyperlink w:anchor="footnote-8693-1-backlink">
        <w:r>
          <w:t>1</w:t>
        </w:r>
      </w:hyperlink>
      <w:r>
        <w:t xml:space="preserve"> </w:t>
      </w:r>
      <w:hyperlink r:id="rId18">
        <w:r>
          <w:t>https://www.sfc.hk/-/media/TC/files/COM/QR-Reports/202104-06/0SFC-Quarterly-Report-AprJun-2021N.pdf</w:t>
        </w:r>
      </w:hyperlink>
    </w:p>
    <w:p w:rsidR="000B095A" w:rsidRDefault="000806A9" w:rsidP="000806A9">
      <w:pPr>
        <w:pStyle w:val="BodyText"/>
        <w:jc w:val="left"/>
      </w:pPr>
      <w:hyperlink w:anchor="footnote-8693-2-backlink">
        <w:r>
          <w:t>2</w:t>
        </w:r>
      </w:hyperlink>
      <w:r>
        <w:t xml:space="preserve"> </w:t>
      </w:r>
      <w:hyperlink r:id="rId19">
        <w:r>
          <w:t>https://www.hkex.com.hk/-/media/HKEX-Market/News/Market-Consultations/2016-Present/November-2020-MB-Profit-Requirement/Conclusions-(May-2021)/cp202011cc_c.pdf</w:t>
        </w:r>
      </w:hyperlink>
    </w:p>
    <w:p w:rsidR="000B095A" w:rsidRDefault="000806A9" w:rsidP="000806A9">
      <w:pPr>
        <w:pStyle w:val="BodyText"/>
        <w:jc w:val="left"/>
      </w:pPr>
      <w:hyperlink w:anchor="footnote-8693-3-backlink">
        <w:r>
          <w:t>3</w:t>
        </w:r>
      </w:hyperlink>
      <w:r>
        <w:t xml:space="preserve"> </w:t>
      </w:r>
      <w:hyperlink r:id="rId20">
        <w:r>
          <w:t>https://www.charltonslaw.com/hkex-to-raise-main-board-profit-requirement-from-1-january-2022/</w:t>
        </w:r>
      </w:hyperlink>
    </w:p>
    <w:p w:rsidR="000B095A" w:rsidRDefault="000806A9" w:rsidP="000806A9">
      <w:pPr>
        <w:pStyle w:val="BodyText"/>
        <w:jc w:val="left"/>
      </w:pPr>
      <w:hyperlink w:anchor="footnote-8693-4-backlink">
        <w:r>
          <w:t>4</w:t>
        </w:r>
      </w:hyperlink>
      <w:r>
        <w:t xml:space="preserve"> </w:t>
      </w:r>
      <w:hyperlink r:id="rId21">
        <w:r>
          <w:t>https://ww</w:t>
        </w:r>
        <w:bookmarkStart w:id="0" w:name="_GoBack"/>
        <w:bookmarkEnd w:id="0"/>
        <w:r>
          <w:t>w.sfc.hk/-/media/TC/files/COM/Statements/SFC-HKEX_Joint-Statement_TC.pdf</w:t>
        </w:r>
      </w:hyperlink>
    </w:p>
    <w:p w:rsidR="000B095A" w:rsidRDefault="000806A9" w:rsidP="000806A9">
      <w:pPr>
        <w:pStyle w:val="BodyText"/>
        <w:jc w:val="left"/>
      </w:pPr>
      <w:hyperlink w:anchor="footnote-8693-5-backlink">
        <w:r>
          <w:t>5</w:t>
        </w:r>
      </w:hyperlink>
      <w:r>
        <w:t xml:space="preserve"> </w:t>
      </w:r>
      <w:hyperlink r:id="rId22">
        <w:r>
          <w:t>https://www.sfc.hk/-/media/TC/files/COM/Statements/SFC-HKEX_Joint-Statement_TC.pdf</w:t>
        </w:r>
      </w:hyperlink>
    </w:p>
    <w:p w:rsidR="000B095A" w:rsidRDefault="000806A9" w:rsidP="000806A9">
      <w:pPr>
        <w:pStyle w:val="BodyText"/>
        <w:jc w:val="left"/>
      </w:pPr>
      <w:hyperlink w:anchor="footnote-8693-6-backlink">
        <w:r>
          <w:t>6</w:t>
        </w:r>
      </w:hyperlink>
      <w:r>
        <w:t xml:space="preserve"> </w:t>
      </w:r>
      <w:hyperlink r:id="rId23">
        <w:r>
          <w:t>https://www.hkex.com.hk/-/media/HKEX-Market/News/Market-Consultations/2016-Present/Augus</w:t>
        </w:r>
        <w:r>
          <w:t>t-2020-Disciplinary-Powers/Conclusions-(May-2021)/cp202008cc_c.pdf</w:t>
        </w:r>
      </w:hyperlink>
    </w:p>
    <w:p w:rsidR="000B095A" w:rsidRDefault="000806A9" w:rsidP="000806A9">
      <w:pPr>
        <w:pStyle w:val="BodyText"/>
        <w:jc w:val="left"/>
      </w:pPr>
      <w:hyperlink w:anchor="footnote-8693-7-backlink">
        <w:r>
          <w:t>7</w:t>
        </w:r>
      </w:hyperlink>
      <w:r>
        <w:t xml:space="preserve"> </w:t>
      </w:r>
      <w:hyperlink r:id="rId24">
        <w:r>
          <w:t>https://www.charltonslaw.com.cn/xiang-gang-jiao-yi-suo-you-guan-ji-lv-chu-fen-quan-li-ji-zhi-cai-de-bian-geng-tiao-wen-yu-2021-nian-07-yue-03-ri-sheng-xiao/</w:t>
        </w:r>
      </w:hyperlink>
    </w:p>
    <w:p w:rsidR="000B095A" w:rsidRDefault="000806A9" w:rsidP="000806A9">
      <w:pPr>
        <w:pStyle w:val="BodyText"/>
        <w:jc w:val="left"/>
      </w:pPr>
      <w:hyperlink w:anchor="footnote-8693-8-backlink">
        <w:r>
          <w:t>8</w:t>
        </w:r>
      </w:hyperlink>
      <w:r>
        <w:t xml:space="preserve"> </w:t>
      </w:r>
      <w:hyperlink r:id="rId25">
        <w:r>
          <w:t>https://www.fstb.gov.hk/fsb/tc/publication/consult/doc/consult_conclu_amlo_c.pdf</w:t>
        </w:r>
      </w:hyperlink>
    </w:p>
    <w:p w:rsidR="000B095A" w:rsidRDefault="000806A9" w:rsidP="000806A9">
      <w:pPr>
        <w:pStyle w:val="BodyText"/>
        <w:jc w:val="left"/>
      </w:pPr>
      <w:hyperlink w:anchor="footnote-8693-9-backlink">
        <w:r>
          <w:t>9</w:t>
        </w:r>
      </w:hyperlink>
      <w:r>
        <w:t xml:space="preserve"> </w:t>
      </w:r>
      <w:hyperlink r:id="rId26">
        <w:r>
          <w:t>https://www.fstb.gov.hk/fsb/tc/publication/consult/doc/consult_conclu_amlo_c.pdf</w:t>
        </w:r>
      </w:hyperlink>
    </w:p>
    <w:p w:rsidR="000B095A" w:rsidRDefault="000806A9" w:rsidP="000806A9">
      <w:pPr>
        <w:pStyle w:val="BodyText"/>
        <w:jc w:val="left"/>
      </w:pPr>
      <w:hyperlink w:anchor="footnote-8693-10-backlink">
        <w:r>
          <w:t>10</w:t>
        </w:r>
      </w:hyperlink>
      <w:r>
        <w:t xml:space="preserve"> </w:t>
      </w:r>
      <w:hyperlink r:id="rId27">
        <w:r>
          <w:t>https://www.charltonslaw.com/fstb-concludes-consultation-on-licensing-regime-for-hong-kong-virtual-asset-exchanges/</w:t>
        </w:r>
      </w:hyperlink>
    </w:p>
    <w:p w:rsidR="000B095A" w:rsidRDefault="000806A9" w:rsidP="000806A9">
      <w:pPr>
        <w:pStyle w:val="BodyText"/>
        <w:jc w:val="left"/>
      </w:pPr>
      <w:hyperlink w:anchor="footnote-8693-11-backlink">
        <w:r>
          <w:t>11</w:t>
        </w:r>
      </w:hyperlink>
      <w:r>
        <w:t xml:space="preserve"> </w:t>
      </w:r>
      <w:hyperlink r:id="rId28">
        <w:r>
          <w:t>https://apps.sfc.hk/edistributionWeb/api/consultation/conclusion?refNo=20CP8&amp;lang=TC</w:t>
        </w:r>
      </w:hyperlink>
    </w:p>
    <w:p w:rsidR="000B095A" w:rsidRDefault="000806A9" w:rsidP="000806A9">
      <w:pPr>
        <w:pStyle w:val="BodyText"/>
        <w:jc w:val="left"/>
      </w:pPr>
      <w:hyperlink w:anchor="footnote-8693-12-backlink">
        <w:r>
          <w:t>12</w:t>
        </w:r>
      </w:hyperlink>
      <w:r>
        <w:t xml:space="preserve"> </w:t>
      </w:r>
      <w:hyperlink r:id="rId29">
        <w:r>
          <w:t>https://apps.sfc.hk/edistributionWeb/api/consultation/conclusion?refNo=20CP8&amp;lang=TC</w:t>
        </w:r>
      </w:hyperlink>
    </w:p>
    <w:p w:rsidR="000B095A" w:rsidRDefault="000806A9" w:rsidP="000806A9">
      <w:pPr>
        <w:pStyle w:val="BodyText"/>
        <w:jc w:val="left"/>
      </w:pPr>
      <w:hyperlink w:anchor="footnote-8693-13-backlink">
        <w:r>
          <w:t>13</w:t>
        </w:r>
      </w:hyperlink>
      <w:r>
        <w:t xml:space="preserve"> </w:t>
      </w:r>
      <w:hyperlink r:id="rId30">
        <w:r>
          <w:t>https://www.charltonslaw.com/sfc-to-upgrade-competency-standards-for-licensed-intermediaries-and-individuals-from-1-jan</w:t>
        </w:r>
        <w:r>
          <w:t>uary-2022/</w:t>
        </w:r>
      </w:hyperlink>
    </w:p>
    <w:p w:rsidR="000B095A" w:rsidRDefault="000806A9" w:rsidP="000806A9">
      <w:pPr>
        <w:pStyle w:val="BodyText"/>
        <w:jc w:val="left"/>
      </w:pPr>
      <w:hyperlink w:anchor="footnote-8693-14-backlink">
        <w:r>
          <w:t>14</w:t>
        </w:r>
      </w:hyperlink>
      <w:r>
        <w:t xml:space="preserve"> </w:t>
      </w:r>
      <w:hyperlink r:id="rId31">
        <w:r>
          <w:t>https://apps.sfc.hk/edistributionWeb/api/circular/openFile?lang=TC&amp;refNo=21EC15</w:t>
        </w:r>
      </w:hyperlink>
    </w:p>
    <w:p w:rsidR="000B095A" w:rsidRDefault="000806A9" w:rsidP="000806A9">
      <w:pPr>
        <w:pStyle w:val="BodyText"/>
        <w:jc w:val="left"/>
      </w:pPr>
      <w:hyperlink w:anchor="footnote-8693-15-backlink">
        <w:r>
          <w:t>15</w:t>
        </w:r>
      </w:hyperlink>
      <w:r>
        <w:t xml:space="preserve"> </w:t>
      </w:r>
      <w:hyperlink r:id="rId32">
        <w:r>
          <w:t>https://apps.sfc.hk/edistributionWeb/api/circular/openFile?lang=TC&amp;refNo=21EC25</w:t>
        </w:r>
      </w:hyperlink>
    </w:p>
    <w:p w:rsidR="000B095A" w:rsidRDefault="000806A9" w:rsidP="000806A9">
      <w:pPr>
        <w:pStyle w:val="BodyText"/>
        <w:jc w:val="left"/>
      </w:pPr>
      <w:hyperlink w:anchor="footnote-8693-16-backlink">
        <w:r>
          <w:t>16</w:t>
        </w:r>
      </w:hyperlink>
      <w:r>
        <w:t xml:space="preserve"> </w:t>
      </w:r>
      <w:hyperlink r:id="rId33">
        <w:r>
          <w:t>https://apps.sfc.hk/edistributionWeb/gateway/TC/circular/doc?refNo=21EC18</w:t>
        </w:r>
      </w:hyperlink>
    </w:p>
    <w:p w:rsidR="000B095A" w:rsidRDefault="000806A9" w:rsidP="000806A9">
      <w:pPr>
        <w:pStyle w:val="BodyText"/>
        <w:jc w:val="left"/>
      </w:pPr>
      <w:hyperlink w:anchor="footnote-8693-17-backlink">
        <w:r>
          <w:t>17</w:t>
        </w:r>
      </w:hyperlink>
      <w:r>
        <w:t xml:space="preserve"> </w:t>
      </w:r>
      <w:hyperlink r:id="rId34">
        <w:r>
          <w:t>https://apps.sfc.hk/edistributionWeb/gateway/TC/circular/intermediaries/licensing/doc?refNo=21EC24</w:t>
        </w:r>
      </w:hyperlink>
    </w:p>
    <w:p w:rsidR="000B095A" w:rsidRDefault="000806A9" w:rsidP="000806A9">
      <w:pPr>
        <w:pStyle w:val="BodyText"/>
        <w:jc w:val="left"/>
      </w:pPr>
      <w:hyperlink w:anchor="footnote-8693-18-backlink">
        <w:r>
          <w:t>18</w:t>
        </w:r>
      </w:hyperlink>
      <w:r>
        <w:t xml:space="preserve"> </w:t>
      </w:r>
      <w:hyperlink r:id="rId35">
        <w:r>
          <w:t>https://apps.sfc.hk/edistributionWeb/gateway/TC/circular/intermediaries/supervision/doc?refNo=21EC21</w:t>
        </w:r>
      </w:hyperlink>
    </w:p>
    <w:p w:rsidR="000B095A" w:rsidRDefault="000806A9" w:rsidP="000806A9">
      <w:pPr>
        <w:pStyle w:val="BodyText"/>
        <w:jc w:val="left"/>
      </w:pPr>
      <w:hyperlink w:anchor="footnote-8693-19-backlink">
        <w:r>
          <w:t>19</w:t>
        </w:r>
      </w:hyperlink>
      <w:r>
        <w:t xml:space="preserve"> </w:t>
      </w:r>
      <w:hyperlink r:id="rId36">
        <w:r>
          <w:t>https://www.sfc.hk/TC/Regulatory-functions/Products/Grant-Scheme-for-Open-ended-Fund-Companies-and-Real-Esta</w:t>
        </w:r>
        <w:r>
          <w:t>te-Investment-Trusts</w:t>
        </w:r>
      </w:hyperlink>
    </w:p>
    <w:p w:rsidR="000B095A" w:rsidRDefault="000806A9" w:rsidP="000806A9">
      <w:pPr>
        <w:pStyle w:val="BodyText"/>
        <w:jc w:val="left"/>
      </w:pPr>
      <w:hyperlink w:anchor="footnote-8693-20-backlink">
        <w:r>
          <w:t>20</w:t>
        </w:r>
      </w:hyperlink>
      <w:r>
        <w:t xml:space="preserve"> </w:t>
      </w:r>
      <w:hyperlink r:id="rId37">
        <w:r>
          <w:t>https://apps.sfc.hk/edistributionWeb/gateway/TC/circular/doc?refNo=21EC26</w:t>
        </w:r>
      </w:hyperlink>
    </w:p>
    <w:p w:rsidR="000B095A" w:rsidRDefault="000806A9" w:rsidP="000806A9">
      <w:pPr>
        <w:pStyle w:val="BodyText"/>
        <w:jc w:val="left"/>
      </w:pPr>
      <w:hyperlink w:anchor="footnote-8693-21-backlink">
        <w:r>
          <w:t>21</w:t>
        </w:r>
      </w:hyperlink>
      <w:r>
        <w:t xml:space="preserve"> </w:t>
      </w:r>
      <w:hyperlink r:id="rId38">
        <w:r>
          <w:t>https://apps.sfc.hk/edistributionWeb/gateway/TC/circular/doc?refNo=21EC26</w:t>
        </w:r>
      </w:hyperlink>
    </w:p>
    <w:p w:rsidR="000B095A" w:rsidRDefault="000806A9" w:rsidP="000806A9">
      <w:pPr>
        <w:pStyle w:val="BodyText"/>
        <w:jc w:val="left"/>
      </w:pPr>
      <w:hyperlink w:anchor="footnote-8693-22-backlink">
        <w:r>
          <w:t>22</w:t>
        </w:r>
      </w:hyperlink>
      <w:r>
        <w:t xml:space="preserve"> </w:t>
      </w:r>
      <w:hyperlink r:id="rId39">
        <w:r>
          <w:t>https://apps.sfc.hk/edistributionWeb/gateway/TC/news-and-announcements/news/doc?refNo=21PR76</w:t>
        </w:r>
      </w:hyperlink>
    </w:p>
    <w:p w:rsidR="000B095A" w:rsidRDefault="000806A9">
      <w:pPr>
        <w:pStyle w:val="DisclaimerBold"/>
        <w:rPr>
          <w:lang w:eastAsia="zh-CN"/>
        </w:rPr>
      </w:pPr>
      <w:r>
        <w:rPr>
          <w:lang w:eastAsia="zh-CN"/>
        </w:rPr>
        <w:t>此法讯仅为提供相关资料信息之用，其内容并</w:t>
      </w:r>
    </w:p>
    <w:p w:rsidR="000B095A" w:rsidRDefault="000806A9">
      <w:pPr>
        <w:pStyle w:val="Disclaimer"/>
        <w:rPr>
          <w:lang w:eastAsia="zh-CN"/>
        </w:rPr>
      </w:pPr>
      <w:r>
        <w:rPr>
          <w:lang w:eastAsia="zh-CN"/>
        </w:rPr>
        <w:t>不构成法律建议及个案的法律分析。</w:t>
      </w:r>
    </w:p>
    <w:p w:rsidR="000B095A" w:rsidRDefault="000806A9">
      <w:pPr>
        <w:pStyle w:val="Disclaimer"/>
        <w:rPr>
          <w:lang w:eastAsia="zh-CN"/>
        </w:rPr>
      </w:pPr>
      <w:r>
        <w:rPr>
          <w:lang w:eastAsia="zh-CN"/>
        </w:rPr>
        <w:t>此法</w:t>
      </w:r>
      <w:r>
        <w:rPr>
          <w:lang w:eastAsia="zh-CN"/>
        </w:rPr>
        <w:t>讯的发送并不是为了在易周律师行与用户或浏览者之间建立一种律师与客户之关系。</w:t>
      </w:r>
    </w:p>
    <w:p w:rsidR="000B095A" w:rsidRDefault="000806A9">
      <w:pPr>
        <w:pStyle w:val="Disclaimer"/>
        <w:rPr>
          <w:lang w:eastAsia="zh-CN"/>
        </w:rPr>
      </w:pPr>
      <w:r>
        <w:rPr>
          <w:lang w:eastAsia="zh-CN"/>
        </w:rPr>
        <w:t>易周律师行并不对可从互联网获得的任何第三方内容负责。</w:t>
      </w:r>
    </w:p>
    <w:p w:rsidR="000B095A" w:rsidRDefault="000806A9">
      <w:pPr>
        <w:pStyle w:val="Disclaimer"/>
        <w:rPr>
          <w:lang w:eastAsia="zh-CN"/>
        </w:rPr>
      </w:pPr>
      <w:r>
        <w:rPr>
          <w:lang w:eastAsia="zh-CN"/>
        </w:rPr>
        <w:t>如你不希望再收到易周法讯，请发送电邮至</w:t>
      </w:r>
      <w:r>
        <w:rPr>
          <w:lang w:eastAsia="zh-CN"/>
        </w:rPr>
        <w:t xml:space="preserve">  </w:t>
      </w:r>
      <w:hyperlink r:id="rId40">
        <w:r>
          <w:rPr>
            <w:lang w:eastAsia="zh-CN"/>
          </w:rPr>
          <w:t>unsubscribe@charltonslaw.com</w:t>
        </w:r>
      </w:hyperlink>
    </w:p>
    <w:p w:rsidR="000B095A" w:rsidRDefault="000806A9">
      <w:pPr>
        <w:pStyle w:val="BlackStrips"/>
      </w:pPr>
      <w:r>
        <w:t xml:space="preserve">Charltons - </w:t>
      </w:r>
      <w:r>
        <w:t>香港法律</w:t>
      </w:r>
      <w:r>
        <w:t xml:space="preserve"> - 2022</w:t>
      </w:r>
      <w:r>
        <w:t>年</w:t>
      </w:r>
      <w:r>
        <w:t>1</w:t>
      </w:r>
      <w:r>
        <w:t>月</w:t>
      </w:r>
      <w:r>
        <w:t>20</w:t>
      </w:r>
      <w:r>
        <w:t>日</w:t>
      </w:r>
    </w:p>
    <w:sectPr w:rsidR="000B095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806A9">
      <w:pPr>
        <w:spacing w:after="0"/>
      </w:pPr>
      <w:r>
        <w:separator/>
      </w:r>
    </w:p>
  </w:endnote>
  <w:endnote w:type="continuationSeparator" w:id="0">
    <w:p w:rsidR="00000000" w:rsidRDefault="00080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95A" w:rsidRDefault="000806A9">
      <w:r>
        <w:separator/>
      </w:r>
    </w:p>
  </w:footnote>
  <w:footnote w:type="continuationSeparator" w:id="0">
    <w:p w:rsidR="000B095A" w:rsidRDefault="00080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90A1DE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7EEF5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F4700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A2147782"/>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806A9"/>
    <w:rsid w:val="000B095A"/>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BF741-E10D-4A0C-9035-D8783C77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TC/files/COM/QR-Reports/202104-06/0SFC-Quarterly-Report-AprJun-2021N.pdf" TargetMode="External"/><Relationship Id="rId13" Type="http://schemas.openxmlformats.org/officeDocument/2006/relationships/hyperlink" Target="https://www.charltonslaw.com.cn/xiang-gang-jiao-yi-suo-you-guan-ji-lv-chu-fen-quan-li-ji-zhi-cai-de-bian-geng-tiao-wen-yu-2021-nian-07-yue-03-ri-sheng-xiao/" TargetMode="External"/><Relationship Id="rId18" Type="http://schemas.openxmlformats.org/officeDocument/2006/relationships/hyperlink" Target="https://www.sfc.hk/-/media/TC/files/COM/QR-Reports/202104-06/0SFC-Quarterly-Report-AprJun-2021N.pdf" TargetMode="External"/><Relationship Id="rId26" Type="http://schemas.openxmlformats.org/officeDocument/2006/relationships/hyperlink" Target="https://www.fstb.gov.hk/fsb/tc/publication/consult/doc/consult_conclu_amlo_c.pdf" TargetMode="External"/><Relationship Id="rId39" Type="http://schemas.openxmlformats.org/officeDocument/2006/relationships/hyperlink" Target="https://apps.sfc.hk/edistributionWeb/gateway/TC/news-and-announcements/news/doc?refNo=21PR76" TargetMode="External"/><Relationship Id="rId3" Type="http://schemas.openxmlformats.org/officeDocument/2006/relationships/settings" Target="settings.xml"/><Relationship Id="rId21" Type="http://schemas.openxmlformats.org/officeDocument/2006/relationships/hyperlink" Target="https://www.sfc.hk/-/media/TC/files/COM/Statements/SFC-HKEX_Joint-Statement_TC.pdf" TargetMode="External"/><Relationship Id="rId34" Type="http://schemas.openxmlformats.org/officeDocument/2006/relationships/hyperlink" Target="https://apps.sfc.hk/edistributionWeb/gateway/TC/circular/intermediaries/licensing/doc?refNo=21EC24" TargetMode="External"/><Relationship Id="rId42" Type="http://schemas.openxmlformats.org/officeDocument/2006/relationships/theme" Target="theme/theme1.xml"/><Relationship Id="rId7" Type="http://schemas.openxmlformats.org/officeDocument/2006/relationships/hyperlink" Target="http://www.charltonslaw.com.cn/xiang-gang-zheng-jian-hui-kan-fa-2021-di-er-ji-du-bao-gao" TargetMode="External"/><Relationship Id="rId12" Type="http://schemas.openxmlformats.org/officeDocument/2006/relationships/hyperlink" Target="https://www.hkex.com.hk/-/media/HKEX-Market/News/Market-Consultations/2016-Present/August-2020-Disciplinary-Powers/Conclusions-(May-2021)/cp202008cc_c.pdf" TargetMode="External"/><Relationship Id="rId17" Type="http://schemas.openxmlformats.org/officeDocument/2006/relationships/hyperlink" Target="https://www.charltonslaw.com/sfc-to-upgrade-competency-standards-for-licensed-intermediaries-and-individuals-from-1-january-2022/" TargetMode="External"/><Relationship Id="rId25" Type="http://schemas.openxmlformats.org/officeDocument/2006/relationships/hyperlink" Target="https://www.fstb.gov.hk/fsb/tc/publication/consult/doc/consult_conclu_amlo_c.pdf" TargetMode="External"/><Relationship Id="rId33" Type="http://schemas.openxmlformats.org/officeDocument/2006/relationships/hyperlink" Target="https://apps.sfc.hk/edistributionWeb/gateway/TC/circular/doc?refNo=21EC18" TargetMode="External"/><Relationship Id="rId38" Type="http://schemas.openxmlformats.org/officeDocument/2006/relationships/hyperlink" Target="https://apps.sfc.hk/edistributionWeb/gateway/TC/circular/doc?refNo=21EC26" TargetMode="External"/><Relationship Id="rId2" Type="http://schemas.openxmlformats.org/officeDocument/2006/relationships/styles" Target="styles.xml"/><Relationship Id="rId16" Type="http://schemas.openxmlformats.org/officeDocument/2006/relationships/hyperlink" Target="https://apps.sfc.hk/edistributionWeb/api/consultation/conclusion?refNo=20CP8&amp;lang=TC" TargetMode="External"/><Relationship Id="rId20" Type="http://schemas.openxmlformats.org/officeDocument/2006/relationships/hyperlink" Target="https://www.charltonslaw.com/hkex-to-raise-main-board-profit-requirement-from-1-january-2022/" TargetMode="External"/><Relationship Id="rId29" Type="http://schemas.openxmlformats.org/officeDocument/2006/relationships/hyperlink" Target="https://apps.sfc.hk/edistributionWeb/api/consultation/conclusion?refNo=20CP8&amp;lang=TC"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TC/files/COM/Statements/SFC-HKEX_Joint-Statement_TC.pdf" TargetMode="External"/><Relationship Id="rId24" Type="http://schemas.openxmlformats.org/officeDocument/2006/relationships/hyperlink" Target="https://www.charltonslaw.com.cn/xiang-gang-jiao-yi-suo-you-guan-ji-lv-chu-fen-quan-li-ji-zhi-cai-de-bian-geng-tiao-wen-yu-2021-nian-07-yue-03-ri-sheng-xiao/" TargetMode="External"/><Relationship Id="rId32" Type="http://schemas.openxmlformats.org/officeDocument/2006/relationships/hyperlink" Target="https://apps.sfc.hk/edistributionWeb/api/circular/openFile?lang=TC&amp;refNo=21EC25" TargetMode="External"/><Relationship Id="rId37" Type="http://schemas.openxmlformats.org/officeDocument/2006/relationships/hyperlink" Target="https://apps.sfc.hk/edistributionWeb/gateway/TC/circular/doc?refNo=21EC26" TargetMode="External"/><Relationship Id="rId40"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5" Type="http://schemas.openxmlformats.org/officeDocument/2006/relationships/hyperlink" Target="https://www.charltonslaw.com/fstb-concludes-consultation-on-licensing-regime-for-hong-kong-virtual-asset-exchanges/" TargetMode="External"/><Relationship Id="rId23" Type="http://schemas.openxmlformats.org/officeDocument/2006/relationships/hyperlink" Target="https://www.hkex.com.hk/-/media/HKEX-Market/News/Market-Consultations/2016-Present/August-2020-Disciplinary-Powers/Conclusions-(May-2021)/cp202008cc_c.pdf" TargetMode="External"/><Relationship Id="rId28" Type="http://schemas.openxmlformats.org/officeDocument/2006/relationships/hyperlink" Target="https://apps.sfc.hk/edistributionWeb/api/consultation/conclusion?refNo=20CP8&amp;lang=TC" TargetMode="External"/><Relationship Id="rId36" Type="http://schemas.openxmlformats.org/officeDocument/2006/relationships/hyperlink" Target="https://www.sfc.hk/TC/Regulatory-functions/Products/Grant-Scheme-for-Open-ended-Fund-Companies-and-Real-Estate-Investment-Trusts" TargetMode="External"/><Relationship Id="rId10" Type="http://schemas.openxmlformats.org/officeDocument/2006/relationships/hyperlink" Target="https://www.charltonslaw.com/hkex-to-raise-main-board-profit-requirement-from-1-january-2022/" TargetMode="External"/><Relationship Id="rId19" Type="http://schemas.openxmlformats.org/officeDocument/2006/relationships/hyperlink" Target="https://www.hkex.com.hk/-/media/HKEX-Market/News/Market-Consultations/2016-Present/November-2020-MB-Profit-Requirement/Conclusions-(May-2021)/cp202011cc.pdf?la=en" TargetMode="External"/><Relationship Id="rId31" Type="http://schemas.openxmlformats.org/officeDocument/2006/relationships/hyperlink" Target="https://apps.sfc.hk/edistributionWeb/api/circular/openFile?lang=TC&amp;refNo=21EC15" TargetMode="Externa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November-2020-MB-Profit-Requirement/Conclusions-(May-2021)/cp202011cc.pdf?la=en" TargetMode="External"/><Relationship Id="rId14" Type="http://schemas.openxmlformats.org/officeDocument/2006/relationships/hyperlink" Target="https://www.fstb.gov.hk/fsb/tc/publication/consult/doc/consult_conclu_amlo_c.pdf" TargetMode="External"/><Relationship Id="rId22" Type="http://schemas.openxmlformats.org/officeDocument/2006/relationships/hyperlink" Target="https://www.sfc.hk/-/media/TC/files/COM/Statements/SFC-HKEX_Joint-Statement_TC.pdf" TargetMode="External"/><Relationship Id="rId27" Type="http://schemas.openxmlformats.org/officeDocument/2006/relationships/hyperlink" Target="https://www.charltonslaw.com/fstb-concludes-consultation-on-licensing-regime-for-hong-kong-virtual-asset-exchanges/" TargetMode="External"/><Relationship Id="rId30" Type="http://schemas.openxmlformats.org/officeDocument/2006/relationships/hyperlink" Target="https://www.charltonslaw.com/sfc-to-upgrade-competency-standards-for-licensed-intermediaries-and-individuals-from-1-january-2022/" TargetMode="External"/><Relationship Id="rId35" Type="http://schemas.openxmlformats.org/officeDocument/2006/relationships/hyperlink" Target="https://apps.sfc.hk/edistributionWeb/gateway/TC/circular/intermediaries/supervision/doc?refNo=21EC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2235</Words>
  <Characters>12745</Characters>
  <Application>Microsoft Office Word</Application>
  <DocSecurity>0</DocSecurity>
  <Lines>106</Lines>
  <Paragraphs>29</Paragraphs>
  <ScaleCrop>false</ScaleCrop>
  <Company>Charltons</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2022-01-20T10:15:00Z</dcterms:created>
  <dcterms:modified xsi:type="dcterms:W3CDTF">2022-01-20T10:17:00Z</dcterms:modified>
</cp:coreProperties>
</file>