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694" w:rsidRDefault="00C5726F">
      <w:pPr>
        <w:pStyle w:val="BlackStrips"/>
      </w:pPr>
      <w:r>
        <w:t xml:space="preserve">Charltons - </w:t>
      </w:r>
      <w:r>
        <w:t>香港法律</w:t>
      </w:r>
      <w:r>
        <w:t xml:space="preserve"> - 2022</w:t>
      </w:r>
      <w:r>
        <w:t>年</w:t>
      </w:r>
      <w:r>
        <w:t>1</w:t>
      </w:r>
      <w:r>
        <w:t>月</w:t>
      </w:r>
      <w:r>
        <w:t>24</w:t>
      </w:r>
      <w:r>
        <w:t>日</w:t>
      </w:r>
    </w:p>
    <w:p w:rsidR="009A2694" w:rsidRDefault="00C5726F">
      <w:pPr>
        <w:pStyle w:val="ReadOnline"/>
      </w:pPr>
      <w:hyperlink r:id="rId7">
        <w:r>
          <w:t>online version</w:t>
        </w:r>
      </w:hyperlink>
    </w:p>
    <w:p w:rsidR="009A2694" w:rsidRDefault="00C5726F">
      <w:pPr>
        <w:pStyle w:val="Title"/>
      </w:pPr>
      <w:r>
        <w:t>新加坡交易所正式出台</w:t>
      </w:r>
      <w:r>
        <w:t>SPAC</w:t>
      </w:r>
      <w:r>
        <w:t>上市框架</w:t>
      </w:r>
    </w:p>
    <w:p w:rsidR="009A2694" w:rsidRDefault="00C5726F">
      <w:pPr>
        <w:pStyle w:val="FirstParagraph"/>
        <w:rPr>
          <w:lang w:eastAsia="zh-CN"/>
        </w:rPr>
      </w:pPr>
      <w:r>
        <w:t>2021</w:t>
      </w:r>
      <w:r>
        <w:t>年</w:t>
      </w:r>
      <w:r>
        <w:t>9</w:t>
      </w:r>
      <w:r>
        <w:t>月</w:t>
      </w:r>
      <w:r>
        <w:t>2</w:t>
      </w:r>
      <w:r>
        <w:t>日，新加坡交易所（</w:t>
      </w:r>
      <w:r>
        <w:rPr>
          <w:b/>
        </w:rPr>
        <w:t>新交所</w:t>
      </w:r>
      <w:r>
        <w:t>）正式发布了</w:t>
      </w:r>
      <w:hyperlink w:anchor="footnote-8693-1">
        <w:r>
          <w:rPr>
            <w:vertAlign w:val="superscript"/>
          </w:rPr>
          <w:t>1</w:t>
        </w:r>
      </w:hyperlink>
      <w:r>
        <w:t>特殊目的收购公司（</w:t>
      </w:r>
      <w:r>
        <w:rPr>
          <w:b/>
        </w:rPr>
        <w:t>SPAC</w:t>
      </w:r>
      <w:r>
        <w:t>）于新加坡证券交易所有限公司主板（</w:t>
      </w:r>
      <w:r>
        <w:rPr>
          <w:b/>
        </w:rPr>
        <w:t>新交所主板</w:t>
      </w:r>
      <w:r>
        <w:t>）上市的规则。</w:t>
      </w:r>
      <w:r>
        <w:rPr>
          <w:lang w:eastAsia="zh-CN"/>
        </w:rPr>
        <w:t>该规则将于</w:t>
      </w:r>
      <w:r>
        <w:rPr>
          <w:lang w:eastAsia="zh-CN"/>
        </w:rPr>
        <w:t>2021</w:t>
      </w:r>
      <w:r>
        <w:rPr>
          <w:lang w:eastAsia="zh-CN"/>
        </w:rPr>
        <w:t>年</w:t>
      </w:r>
      <w:r>
        <w:rPr>
          <w:lang w:eastAsia="zh-CN"/>
        </w:rPr>
        <w:t>9</w:t>
      </w:r>
      <w:r>
        <w:rPr>
          <w:lang w:eastAsia="zh-CN"/>
        </w:rPr>
        <w:t>月</w:t>
      </w:r>
      <w:r>
        <w:rPr>
          <w:lang w:eastAsia="zh-CN"/>
        </w:rPr>
        <w:t>3</w:t>
      </w:r>
      <w:r>
        <w:rPr>
          <w:lang w:eastAsia="zh-CN"/>
        </w:rPr>
        <w:t>日正式生效，由此新交所成为亚洲首家接纳</w:t>
      </w:r>
      <w:r>
        <w:rPr>
          <w:lang w:eastAsia="zh-CN"/>
        </w:rPr>
        <w:t>SPAC</w:t>
      </w:r>
      <w:r>
        <w:rPr>
          <w:lang w:eastAsia="zh-CN"/>
        </w:rPr>
        <w:t>上市的交易所。</w:t>
      </w:r>
    </w:p>
    <w:p w:rsidR="009A2694" w:rsidRDefault="00C5726F">
      <w:pPr>
        <w:pStyle w:val="BodyText"/>
        <w:rPr>
          <w:lang w:eastAsia="zh-CN"/>
        </w:rPr>
      </w:pPr>
      <w:r>
        <w:rPr>
          <w:lang w:eastAsia="zh-CN"/>
        </w:rPr>
        <w:t>2010</w:t>
      </w:r>
      <w:r>
        <w:rPr>
          <w:lang w:eastAsia="zh-CN"/>
        </w:rPr>
        <w:t>年</w:t>
      </w:r>
      <w:r>
        <w:rPr>
          <w:lang w:eastAsia="zh-CN"/>
        </w:rPr>
        <w:t>1</w:t>
      </w:r>
      <w:r>
        <w:rPr>
          <w:lang w:eastAsia="zh-CN"/>
        </w:rPr>
        <w:t>月，新加坡首次就接纳</w:t>
      </w:r>
      <w:r>
        <w:rPr>
          <w:lang w:eastAsia="zh-CN"/>
        </w:rPr>
        <w:t>SPAC</w:t>
      </w:r>
      <w:r>
        <w:rPr>
          <w:lang w:eastAsia="zh-CN"/>
        </w:rPr>
        <w:t>在新交所上市事宜进行考虑，但是基于当时的市场反馈搁置了该等建议。之后，随着</w:t>
      </w:r>
      <w:r>
        <w:rPr>
          <w:lang w:eastAsia="zh-CN"/>
        </w:rPr>
        <w:t>SPACs</w:t>
      </w:r>
      <w:r>
        <w:rPr>
          <w:lang w:eastAsia="zh-CN"/>
        </w:rPr>
        <w:t>在美国的普及，市场对所谓的空白支票公司进行上市的兴趣复兴了，</w:t>
      </w:r>
      <w:r>
        <w:rPr>
          <w:lang w:eastAsia="zh-CN"/>
        </w:rPr>
        <w:t>2021</w:t>
      </w:r>
      <w:r>
        <w:rPr>
          <w:lang w:eastAsia="zh-CN"/>
        </w:rPr>
        <w:t>年</w:t>
      </w:r>
      <w:r>
        <w:rPr>
          <w:lang w:eastAsia="zh-CN"/>
        </w:rPr>
        <w:t>3</w:t>
      </w:r>
      <w:r>
        <w:rPr>
          <w:lang w:eastAsia="zh-CN"/>
        </w:rPr>
        <w:t>月</w:t>
      </w:r>
      <w:r>
        <w:rPr>
          <w:lang w:eastAsia="zh-CN"/>
        </w:rPr>
        <w:t>1</w:t>
      </w:r>
      <w:r>
        <w:rPr>
          <w:lang w:eastAsia="zh-CN"/>
        </w:rPr>
        <w:t>日，新交所发出了谘询文件</w:t>
      </w:r>
      <w:hyperlink w:anchor="footnote-8693-2">
        <w:r>
          <w:rPr>
            <w:vertAlign w:val="superscript"/>
            <w:lang w:eastAsia="zh-CN"/>
          </w:rPr>
          <w:t>2</w:t>
        </w:r>
      </w:hyperlink>
      <w:r>
        <w:rPr>
          <w:lang w:eastAsia="zh-CN"/>
        </w:rPr>
        <w:t>，建议推出</w:t>
      </w:r>
      <w:r>
        <w:rPr>
          <w:lang w:eastAsia="zh-CN"/>
        </w:rPr>
        <w:t>SPACs</w:t>
      </w:r>
      <w:r>
        <w:rPr>
          <w:lang w:eastAsia="zh-CN"/>
        </w:rPr>
        <w:t>上市框架并针对其于</w:t>
      </w:r>
      <w:r>
        <w:rPr>
          <w:lang w:eastAsia="zh-CN"/>
        </w:rPr>
        <w:t>2021</w:t>
      </w:r>
      <w:r>
        <w:rPr>
          <w:lang w:eastAsia="zh-CN"/>
        </w:rPr>
        <w:t>年</w:t>
      </w:r>
      <w:r>
        <w:rPr>
          <w:lang w:eastAsia="zh-CN"/>
        </w:rPr>
        <w:t>9</w:t>
      </w:r>
      <w:r>
        <w:rPr>
          <w:lang w:eastAsia="zh-CN"/>
        </w:rPr>
        <w:t>月</w:t>
      </w:r>
      <w:r>
        <w:rPr>
          <w:lang w:eastAsia="zh-CN"/>
        </w:rPr>
        <w:t>2</w:t>
      </w:r>
      <w:r>
        <w:rPr>
          <w:lang w:eastAsia="zh-CN"/>
        </w:rPr>
        <w:t>日</w:t>
      </w:r>
      <w:r>
        <w:rPr>
          <w:lang w:eastAsia="zh-CN"/>
        </w:rPr>
        <w:t>发出的谘询文件</w:t>
      </w:r>
      <w:hyperlink w:anchor="footnote-8693-3">
        <w:r>
          <w:rPr>
            <w:vertAlign w:val="superscript"/>
            <w:lang w:eastAsia="zh-CN"/>
          </w:rPr>
          <w:t>3</w:t>
        </w:r>
      </w:hyperlink>
      <w:r>
        <w:rPr>
          <w:lang w:eastAsia="zh-CN"/>
        </w:rPr>
        <w:t>收到的意见给予了答复。</w:t>
      </w:r>
    </w:p>
    <w:p w:rsidR="009A2694" w:rsidRDefault="00C5726F">
      <w:pPr>
        <w:pStyle w:val="BodyText"/>
        <w:rPr>
          <w:lang w:eastAsia="zh-CN"/>
        </w:rPr>
      </w:pPr>
      <w:r>
        <w:rPr>
          <w:lang w:eastAsia="zh-CN"/>
        </w:rPr>
        <w:t>鉴于部分初始建议的放宽以及最初建议的</w:t>
      </w:r>
      <w:r>
        <w:rPr>
          <w:lang w:eastAsia="zh-CN"/>
        </w:rPr>
        <w:t>3</w:t>
      </w:r>
      <w:r>
        <w:rPr>
          <w:lang w:eastAsia="zh-CN"/>
        </w:rPr>
        <w:t>亿新元（</w:t>
      </w:r>
      <w:r>
        <w:rPr>
          <w:lang w:eastAsia="zh-CN"/>
        </w:rPr>
        <w:t>2.235</w:t>
      </w:r>
      <w:r>
        <w:rPr>
          <w:lang w:eastAsia="zh-CN"/>
        </w:rPr>
        <w:t>亿美元）最低市值的减半，新交所期望为</w:t>
      </w:r>
      <w:r>
        <w:rPr>
          <w:lang w:eastAsia="zh-CN"/>
        </w:rPr>
        <w:t>SPACs</w:t>
      </w:r>
      <w:r>
        <w:rPr>
          <w:lang w:eastAsia="zh-CN"/>
        </w:rPr>
        <w:t>提供一个美国交易所之外的另一个上市选择地。该新框架可能亦会重燃投资者对新加坡滞后</w:t>
      </w:r>
      <w:r>
        <w:rPr>
          <w:lang w:eastAsia="zh-CN"/>
        </w:rPr>
        <w:t>IPO</w:t>
      </w:r>
      <w:r>
        <w:rPr>
          <w:lang w:eastAsia="zh-CN"/>
        </w:rPr>
        <w:t>市场的兴趣。</w:t>
      </w:r>
      <w:r>
        <w:rPr>
          <w:lang w:eastAsia="zh-CN"/>
        </w:rPr>
        <w:t>2021</w:t>
      </w:r>
      <w:r>
        <w:rPr>
          <w:lang w:eastAsia="zh-CN"/>
        </w:rPr>
        <w:t>年上半年，新交所仅有</w:t>
      </w:r>
      <w:r>
        <w:rPr>
          <w:lang w:eastAsia="zh-CN"/>
        </w:rPr>
        <w:t>3</w:t>
      </w:r>
      <w:r>
        <w:rPr>
          <w:lang w:eastAsia="zh-CN"/>
        </w:rPr>
        <w:t>宗</w:t>
      </w:r>
      <w:r>
        <w:rPr>
          <w:lang w:eastAsia="zh-CN"/>
        </w:rPr>
        <w:t>IPO</w:t>
      </w:r>
      <w:r>
        <w:rPr>
          <w:lang w:eastAsia="zh-CN"/>
        </w:rPr>
        <w:t>，集资</w:t>
      </w:r>
      <w:r>
        <w:rPr>
          <w:lang w:eastAsia="zh-CN"/>
        </w:rPr>
        <w:t>1.07</w:t>
      </w:r>
      <w:r>
        <w:rPr>
          <w:lang w:eastAsia="zh-CN"/>
        </w:rPr>
        <w:t>亿美元，而同期香港</w:t>
      </w:r>
      <w:r>
        <w:rPr>
          <w:lang w:eastAsia="zh-CN"/>
        </w:rPr>
        <w:t>IPO</w:t>
      </w:r>
      <w:r>
        <w:rPr>
          <w:lang w:eastAsia="zh-CN"/>
        </w:rPr>
        <w:t>有</w:t>
      </w:r>
      <w:r>
        <w:rPr>
          <w:lang w:eastAsia="zh-CN"/>
        </w:rPr>
        <w:t>46</w:t>
      </w:r>
      <w:r>
        <w:rPr>
          <w:lang w:eastAsia="zh-CN"/>
        </w:rPr>
        <w:t>宗，集资额达</w:t>
      </w:r>
      <w:r>
        <w:rPr>
          <w:lang w:eastAsia="zh-CN"/>
        </w:rPr>
        <w:t>274</w:t>
      </w:r>
      <w:r>
        <w:rPr>
          <w:lang w:eastAsia="zh-CN"/>
        </w:rPr>
        <w:t>亿美元。</w:t>
      </w:r>
      <w:hyperlink w:anchor="footnote-8693-4">
        <w:r>
          <w:rPr>
            <w:vertAlign w:val="superscript"/>
            <w:lang w:eastAsia="zh-CN"/>
          </w:rPr>
          <w:t>4</w:t>
        </w:r>
      </w:hyperlink>
    </w:p>
    <w:p w:rsidR="009A2694" w:rsidRDefault="00C5726F">
      <w:pPr>
        <w:pStyle w:val="BodyText"/>
        <w:rPr>
          <w:lang w:eastAsia="zh-CN"/>
        </w:rPr>
      </w:pPr>
      <w:r>
        <w:rPr>
          <w:lang w:eastAsia="zh-CN"/>
        </w:rPr>
        <w:t>以下是新</w:t>
      </w:r>
      <w:r>
        <w:rPr>
          <w:lang w:eastAsia="zh-CN"/>
        </w:rPr>
        <w:t>交所</w:t>
      </w:r>
      <w:r>
        <w:rPr>
          <w:lang w:eastAsia="zh-CN"/>
        </w:rPr>
        <w:t>SPAC</w:t>
      </w:r>
      <w:r>
        <w:rPr>
          <w:lang w:eastAsia="zh-CN"/>
        </w:rPr>
        <w:t>上市框架的主要要点和要求摘要。作为香港律师，易周律师行团队不合资格就新加坡法例提供法律意见，以下代表我们对新交所该等规定的理解：</w:t>
      </w:r>
    </w:p>
    <w:p w:rsidR="009A2694" w:rsidRDefault="00C5726F">
      <w:pPr>
        <w:pStyle w:val="BodyText"/>
        <w:rPr>
          <w:lang w:eastAsia="zh-CN"/>
        </w:rPr>
      </w:pPr>
      <w:r>
        <w:rPr>
          <w:lang w:eastAsia="zh-CN"/>
        </w:rPr>
        <w:t>新交所</w:t>
      </w:r>
      <w:r>
        <w:rPr>
          <w:lang w:eastAsia="zh-CN"/>
        </w:rPr>
        <w:t>SPAC</w:t>
      </w:r>
      <w:r>
        <w:rPr>
          <w:lang w:eastAsia="zh-CN"/>
        </w:rPr>
        <w:t>框架</w:t>
      </w:r>
    </w:p>
    <w:p w:rsidR="009A2694" w:rsidRDefault="00C5726F">
      <w:pPr>
        <w:pStyle w:val="BodyText"/>
        <w:rPr>
          <w:lang w:eastAsia="zh-CN"/>
        </w:rPr>
      </w:pPr>
      <w:r>
        <w:rPr>
          <w:lang w:eastAsia="zh-CN"/>
        </w:rPr>
        <w:t>SPACs</w:t>
      </w:r>
      <w:r>
        <w:rPr>
          <w:lang w:eastAsia="zh-CN"/>
        </w:rPr>
        <w:t>一般以没有运营历史，创收业务或者资产的公司身份在证券交易所上市。其成立的目的就是为了透过</w:t>
      </w:r>
      <w:r>
        <w:rPr>
          <w:lang w:eastAsia="zh-CN"/>
        </w:rPr>
        <w:t>IPO</w:t>
      </w:r>
      <w:r>
        <w:rPr>
          <w:lang w:eastAsia="zh-CN"/>
        </w:rPr>
        <w:t>筹集资金用于获得运营业务或者资产。</w:t>
      </w:r>
      <w:r>
        <w:rPr>
          <w:lang w:eastAsia="zh-CN"/>
        </w:rPr>
        <w:t>SPACs</w:t>
      </w:r>
      <w:r>
        <w:rPr>
          <w:lang w:eastAsia="zh-CN"/>
        </w:rPr>
        <w:t>通常由经验丰富的创始股东（主要指发起人）成立并提供最初融资。投资者基于发起人已有证明的过往记录，</w:t>
      </w:r>
      <w:r>
        <w:rPr>
          <w:lang w:eastAsia="zh-CN"/>
        </w:rPr>
        <w:t>SPAC</w:t>
      </w:r>
      <w:r>
        <w:rPr>
          <w:lang w:eastAsia="zh-CN"/>
        </w:rPr>
        <w:t>管理团队以及创始股东的背景资料对</w:t>
      </w:r>
      <w:r>
        <w:rPr>
          <w:lang w:eastAsia="zh-CN"/>
        </w:rPr>
        <w:t>SPACs</w:t>
      </w:r>
      <w:r>
        <w:rPr>
          <w:lang w:eastAsia="zh-CN"/>
        </w:rPr>
        <w:t>进行投资。</w:t>
      </w:r>
    </w:p>
    <w:p w:rsidR="009A2694" w:rsidRDefault="00C5726F">
      <w:pPr>
        <w:pStyle w:val="BodyText"/>
        <w:rPr>
          <w:lang w:eastAsia="zh-CN"/>
        </w:rPr>
      </w:pPr>
      <w:r>
        <w:rPr>
          <w:lang w:eastAsia="zh-CN"/>
        </w:rPr>
        <w:t>以下是新交所</w:t>
      </w:r>
      <w:r>
        <w:rPr>
          <w:lang w:eastAsia="zh-CN"/>
        </w:rPr>
        <w:t>SPAC</w:t>
      </w:r>
      <w:r>
        <w:rPr>
          <w:lang w:eastAsia="zh-CN"/>
        </w:rPr>
        <w:t>框架下主要上市规定的摘要</w:t>
      </w:r>
      <w:r>
        <w:rPr>
          <w:lang w:eastAsia="zh-CN"/>
        </w:rPr>
        <w:t>。</w:t>
      </w:r>
    </w:p>
    <w:p w:rsidR="009A2694" w:rsidRDefault="00C5726F">
      <w:pPr>
        <w:pStyle w:val="BodyText"/>
        <w:rPr>
          <w:lang w:eastAsia="zh-CN"/>
        </w:rPr>
      </w:pPr>
      <w:r>
        <w:rPr>
          <w:lang w:eastAsia="zh-CN"/>
        </w:rPr>
        <w:t>1. SPAC</w:t>
      </w:r>
      <w:r>
        <w:rPr>
          <w:lang w:eastAsia="zh-CN"/>
        </w:rPr>
        <w:t>上市时市值不可低于</w:t>
      </w:r>
      <w:r>
        <w:rPr>
          <w:lang w:eastAsia="zh-CN"/>
        </w:rPr>
        <w:t>1.5</w:t>
      </w:r>
      <w:r>
        <w:rPr>
          <w:lang w:eastAsia="zh-CN"/>
        </w:rPr>
        <w:t>亿新元</w:t>
      </w:r>
    </w:p>
    <w:p w:rsidR="009A2694" w:rsidRDefault="00C5726F">
      <w:pPr>
        <w:pStyle w:val="BodyText"/>
        <w:rPr>
          <w:lang w:eastAsia="zh-CN"/>
        </w:rPr>
      </w:pPr>
      <w:r>
        <w:rPr>
          <w:lang w:eastAsia="zh-CN"/>
        </w:rPr>
        <w:t>在考虑市场反馈之后，新交所在该咨询文件中按照建议将规定的最低市值从</w:t>
      </w:r>
      <w:r>
        <w:rPr>
          <w:lang w:eastAsia="zh-CN"/>
        </w:rPr>
        <w:t>3</w:t>
      </w:r>
      <w:r>
        <w:rPr>
          <w:lang w:eastAsia="zh-CN"/>
        </w:rPr>
        <w:t>亿新元（</w:t>
      </w:r>
      <w:r>
        <w:rPr>
          <w:lang w:eastAsia="zh-CN"/>
        </w:rPr>
        <w:t>2.235</w:t>
      </w:r>
      <w:r>
        <w:rPr>
          <w:lang w:eastAsia="zh-CN"/>
        </w:rPr>
        <w:t>亿美元）降至</w:t>
      </w:r>
      <w:r>
        <w:rPr>
          <w:lang w:eastAsia="zh-CN"/>
        </w:rPr>
        <w:t>1.5</w:t>
      </w:r>
      <w:r>
        <w:rPr>
          <w:lang w:eastAsia="zh-CN"/>
        </w:rPr>
        <w:t>亿新元（约</w:t>
      </w:r>
      <w:r>
        <w:rPr>
          <w:lang w:eastAsia="zh-CN"/>
        </w:rPr>
        <w:t>1.118</w:t>
      </w:r>
      <w:r>
        <w:rPr>
          <w:lang w:eastAsia="zh-CN"/>
        </w:rPr>
        <w:t>亿美元）。因此，</w:t>
      </w:r>
      <w:r>
        <w:rPr>
          <w:lang w:eastAsia="zh-CN"/>
        </w:rPr>
        <w:t>SPAC</w:t>
      </w:r>
      <w:r>
        <w:rPr>
          <w:lang w:eastAsia="zh-CN"/>
        </w:rPr>
        <w:t>须基于</w:t>
      </w:r>
      <w:r>
        <w:rPr>
          <w:lang w:eastAsia="zh-CN"/>
        </w:rPr>
        <w:t>IPO</w:t>
      </w:r>
      <w:r>
        <w:rPr>
          <w:lang w:eastAsia="zh-CN"/>
        </w:rPr>
        <w:t>发行价及招股后已发行的股本达到</w:t>
      </w:r>
      <w:r>
        <w:rPr>
          <w:lang w:eastAsia="zh-CN"/>
        </w:rPr>
        <w:t>1.5</w:t>
      </w:r>
      <w:r>
        <w:rPr>
          <w:lang w:eastAsia="zh-CN"/>
        </w:rPr>
        <w:t>亿新元（</w:t>
      </w:r>
      <w:r>
        <w:rPr>
          <w:lang w:eastAsia="zh-CN"/>
        </w:rPr>
        <w:t>1.118</w:t>
      </w:r>
      <w:r>
        <w:rPr>
          <w:lang w:eastAsia="zh-CN"/>
        </w:rPr>
        <w:t>亿美元）最低市值的量化准入标准。</w:t>
      </w:r>
    </w:p>
    <w:p w:rsidR="009A2694" w:rsidRDefault="00C5726F">
      <w:pPr>
        <w:pStyle w:val="BodyText"/>
        <w:rPr>
          <w:lang w:eastAsia="zh-CN"/>
        </w:rPr>
      </w:pPr>
      <w:r>
        <w:rPr>
          <w:lang w:eastAsia="zh-CN"/>
        </w:rPr>
        <w:t>新交所作出该项变更的理据在于调整后的款额足够促成有素质有规模的业务合并的完成。该款额亦与标准</w:t>
      </w:r>
      <w:r>
        <w:rPr>
          <w:lang w:eastAsia="zh-CN"/>
        </w:rPr>
        <w:t>IPOs</w:t>
      </w:r>
      <w:r>
        <w:rPr>
          <w:lang w:eastAsia="zh-CN"/>
        </w:rPr>
        <w:t>的款额相若。</w:t>
      </w:r>
    </w:p>
    <w:p w:rsidR="009A2694" w:rsidRDefault="00C5726F">
      <w:pPr>
        <w:pStyle w:val="BodyText"/>
        <w:rPr>
          <w:lang w:eastAsia="zh-CN"/>
        </w:rPr>
      </w:pPr>
      <w:r>
        <w:rPr>
          <w:lang w:eastAsia="zh-CN"/>
        </w:rPr>
        <w:t>2. SPAC</w:t>
      </w:r>
      <w:r>
        <w:rPr>
          <w:lang w:eastAsia="zh-CN"/>
        </w:rPr>
        <w:t>必须在上市后的</w:t>
      </w:r>
      <w:r>
        <w:rPr>
          <w:lang w:eastAsia="zh-CN"/>
        </w:rPr>
        <w:t>24</w:t>
      </w:r>
      <w:r>
        <w:rPr>
          <w:lang w:eastAsia="zh-CN"/>
        </w:rPr>
        <w:t>个月内完成并购交易，如符合相关规定条件，期限可延长最多</w:t>
      </w:r>
      <w:r>
        <w:rPr>
          <w:lang w:eastAsia="zh-CN"/>
        </w:rPr>
        <w:t>12</w:t>
      </w:r>
      <w:r>
        <w:rPr>
          <w:lang w:eastAsia="zh-CN"/>
        </w:rPr>
        <w:t>个月。</w:t>
      </w:r>
    </w:p>
    <w:p w:rsidR="009A2694" w:rsidRDefault="00C5726F">
      <w:pPr>
        <w:pStyle w:val="BodyText"/>
        <w:rPr>
          <w:lang w:eastAsia="zh-CN"/>
        </w:rPr>
      </w:pPr>
      <w:r>
        <w:rPr>
          <w:lang w:eastAsia="zh-CN"/>
        </w:rPr>
        <w:t>虽</w:t>
      </w:r>
      <w:r>
        <w:rPr>
          <w:lang w:eastAsia="zh-CN"/>
        </w:rPr>
        <w:t>然大部分反馈意见同意</w:t>
      </w:r>
      <w:r>
        <w:rPr>
          <w:lang w:eastAsia="zh-CN"/>
        </w:rPr>
        <w:t>SPAC</w:t>
      </w:r>
      <w:r>
        <w:rPr>
          <w:lang w:eastAsia="zh-CN"/>
        </w:rPr>
        <w:t>有</w:t>
      </w:r>
      <w:r>
        <w:rPr>
          <w:lang w:eastAsia="zh-CN"/>
        </w:rPr>
        <w:t>36</w:t>
      </w:r>
      <w:r>
        <w:rPr>
          <w:lang w:eastAsia="zh-CN"/>
        </w:rPr>
        <w:t>个月的时间在上市后完成业务并购，但是新交所认为</w:t>
      </w:r>
      <w:r>
        <w:rPr>
          <w:lang w:eastAsia="zh-CN"/>
        </w:rPr>
        <w:t>24</w:t>
      </w:r>
      <w:r>
        <w:rPr>
          <w:lang w:eastAsia="zh-CN"/>
        </w:rPr>
        <w:t>个月更符合一般的市场惯例</w:t>
      </w:r>
      <w:hyperlink w:anchor="footnote-8693-5">
        <w:r>
          <w:rPr>
            <w:vertAlign w:val="superscript"/>
            <w:lang w:eastAsia="zh-CN"/>
          </w:rPr>
          <w:t>5</w:t>
        </w:r>
      </w:hyperlink>
      <w:r>
        <w:rPr>
          <w:lang w:eastAsia="zh-CN"/>
        </w:rPr>
        <w:t>，并鼓励</w:t>
      </w:r>
      <w:r>
        <w:rPr>
          <w:lang w:eastAsia="zh-CN"/>
        </w:rPr>
        <w:t>SPACs</w:t>
      </w:r>
      <w:r>
        <w:rPr>
          <w:lang w:eastAsia="zh-CN"/>
        </w:rPr>
        <w:t>不要将股东投资长期进行托管。</w:t>
      </w:r>
    </w:p>
    <w:p w:rsidR="009A2694" w:rsidRDefault="00C5726F">
      <w:pPr>
        <w:pStyle w:val="BodyText"/>
        <w:rPr>
          <w:lang w:eastAsia="zh-CN"/>
        </w:rPr>
      </w:pPr>
      <w:r>
        <w:rPr>
          <w:lang w:eastAsia="zh-CN"/>
        </w:rPr>
        <w:t>但是，该</w:t>
      </w:r>
      <w:r>
        <w:rPr>
          <w:lang w:eastAsia="zh-CN"/>
        </w:rPr>
        <w:t>24</w:t>
      </w:r>
      <w:r>
        <w:rPr>
          <w:lang w:eastAsia="zh-CN"/>
        </w:rPr>
        <w:t>个月的期间能够以两种方式获得延长：</w:t>
      </w:r>
    </w:p>
    <w:p w:rsidR="009A2694" w:rsidRDefault="00C5726F">
      <w:pPr>
        <w:pStyle w:val="Compact"/>
        <w:numPr>
          <w:ilvl w:val="0"/>
          <w:numId w:val="3"/>
        </w:numPr>
        <w:rPr>
          <w:lang w:eastAsia="zh-CN"/>
        </w:rPr>
      </w:pPr>
      <w:r>
        <w:rPr>
          <w:lang w:eastAsia="zh-CN"/>
        </w:rPr>
        <w:t>如在该</w:t>
      </w:r>
      <w:r>
        <w:rPr>
          <w:lang w:eastAsia="zh-CN"/>
        </w:rPr>
        <w:t>24</w:t>
      </w:r>
      <w:r>
        <w:rPr>
          <w:lang w:eastAsia="zh-CN"/>
        </w:rPr>
        <w:t>个月期间到期之前已订立关于该业务并购的有约束力的协议且该</w:t>
      </w:r>
      <w:r>
        <w:rPr>
          <w:lang w:eastAsia="zh-CN"/>
        </w:rPr>
        <w:t>SPAC</w:t>
      </w:r>
      <w:r>
        <w:rPr>
          <w:lang w:eastAsia="zh-CN"/>
        </w:rPr>
        <w:t>需要超过</w:t>
      </w:r>
      <w:r>
        <w:rPr>
          <w:lang w:eastAsia="zh-CN"/>
        </w:rPr>
        <w:t>24</w:t>
      </w:r>
      <w:r>
        <w:rPr>
          <w:lang w:eastAsia="zh-CN"/>
        </w:rPr>
        <w:t>个月的期间完成业务并购，将批给进行</w:t>
      </w:r>
      <w:r>
        <w:rPr>
          <w:b/>
          <w:lang w:eastAsia="zh-CN"/>
        </w:rPr>
        <w:t>自动延长</w:t>
      </w:r>
      <w:r>
        <w:rPr>
          <w:lang w:eastAsia="zh-CN"/>
        </w:rPr>
        <w:t>最多</w:t>
      </w:r>
      <w:r>
        <w:rPr>
          <w:lang w:eastAsia="zh-CN"/>
        </w:rPr>
        <w:t>12</w:t>
      </w:r>
      <w:r>
        <w:rPr>
          <w:lang w:eastAsia="zh-CN"/>
        </w:rPr>
        <w:t>个月。该自动延长的目的是准许</w:t>
      </w:r>
      <w:r>
        <w:rPr>
          <w:lang w:eastAsia="zh-CN"/>
        </w:rPr>
        <w:t>SPACs</w:t>
      </w:r>
      <w:r>
        <w:rPr>
          <w:lang w:eastAsia="zh-CN"/>
        </w:rPr>
        <w:t>专注于尽职审查并完成该业务并购而无需考量是否必须取得股东</w:t>
      </w:r>
      <w:r>
        <w:rPr>
          <w:lang w:eastAsia="zh-CN"/>
        </w:rPr>
        <w:t>对该期限延长的批准。</w:t>
      </w:r>
    </w:p>
    <w:p w:rsidR="009A2694" w:rsidRDefault="00C5726F">
      <w:pPr>
        <w:pStyle w:val="Compact"/>
        <w:numPr>
          <w:ilvl w:val="0"/>
          <w:numId w:val="3"/>
        </w:numPr>
        <w:rPr>
          <w:lang w:eastAsia="zh-CN"/>
        </w:rPr>
      </w:pPr>
      <w:r>
        <w:rPr>
          <w:lang w:eastAsia="zh-CN"/>
        </w:rPr>
        <w:lastRenderedPageBreak/>
        <w:t>如</w:t>
      </w:r>
      <w:r>
        <w:rPr>
          <w:lang w:eastAsia="zh-CN"/>
        </w:rPr>
        <w:t>SPAC</w:t>
      </w:r>
      <w:r>
        <w:rPr>
          <w:lang w:eastAsia="zh-CN"/>
        </w:rPr>
        <w:t>在该</w:t>
      </w:r>
      <w:r>
        <w:rPr>
          <w:lang w:eastAsia="zh-CN"/>
        </w:rPr>
        <w:t>24</w:t>
      </w:r>
      <w:r>
        <w:rPr>
          <w:lang w:eastAsia="zh-CN"/>
        </w:rPr>
        <w:t>个月期间结束之前尚未就该业务并购订立有约束力的协议且需要更多的时间物色合适的业务并购，</w:t>
      </w:r>
      <w:r>
        <w:rPr>
          <w:b/>
          <w:lang w:eastAsia="zh-CN"/>
        </w:rPr>
        <w:t>经新交所及股东批准后进行延长</w:t>
      </w:r>
      <w:r>
        <w:rPr>
          <w:lang w:eastAsia="zh-CN"/>
        </w:rPr>
        <w:t>是可能的。</w:t>
      </w:r>
      <w:r>
        <w:rPr>
          <w:lang w:eastAsia="zh-CN"/>
        </w:rPr>
        <w:t>SPACs</w:t>
      </w:r>
      <w:r>
        <w:rPr>
          <w:lang w:eastAsia="zh-CN"/>
        </w:rPr>
        <w:t>将能够申请延长期限最多</w:t>
      </w:r>
      <w:r>
        <w:rPr>
          <w:lang w:eastAsia="zh-CN"/>
        </w:rPr>
        <w:t>12</w:t>
      </w:r>
      <w:r>
        <w:rPr>
          <w:lang w:eastAsia="zh-CN"/>
        </w:rPr>
        <w:t>个月。</w:t>
      </w:r>
      <w:r>
        <w:rPr>
          <w:lang w:eastAsia="zh-CN"/>
        </w:rPr>
        <w:t>SPAC</w:t>
      </w:r>
      <w:r>
        <w:rPr>
          <w:lang w:eastAsia="zh-CN"/>
        </w:rPr>
        <w:t>须证明存在延长期限的有说服力的原因，并需在该</w:t>
      </w:r>
      <w:r>
        <w:rPr>
          <w:lang w:eastAsia="zh-CN"/>
        </w:rPr>
        <w:t>24</w:t>
      </w:r>
      <w:r>
        <w:rPr>
          <w:lang w:eastAsia="zh-CN"/>
        </w:rPr>
        <w:t>个月到期之前至少提前</w:t>
      </w:r>
      <w:r>
        <w:rPr>
          <w:lang w:eastAsia="zh-CN"/>
        </w:rPr>
        <w:t>2</w:t>
      </w:r>
      <w:r>
        <w:rPr>
          <w:lang w:eastAsia="zh-CN"/>
        </w:rPr>
        <w:t>个月向新交所呈递延期申请。股东批准的门槛为召集的股东大会上出席股东投票至少达</w:t>
      </w:r>
      <w:r>
        <w:rPr>
          <w:lang w:eastAsia="zh-CN"/>
        </w:rPr>
        <w:t>75%</w:t>
      </w:r>
      <w:r>
        <w:rPr>
          <w:lang w:eastAsia="zh-CN"/>
        </w:rPr>
        <w:t>大多数。</w:t>
      </w:r>
    </w:p>
    <w:p w:rsidR="009A2694" w:rsidRDefault="00C5726F">
      <w:pPr>
        <w:pStyle w:val="FirstParagraph"/>
        <w:rPr>
          <w:lang w:eastAsia="zh-CN"/>
        </w:rPr>
      </w:pPr>
      <w:r>
        <w:rPr>
          <w:lang w:eastAsia="zh-CN"/>
        </w:rPr>
        <w:t xml:space="preserve">3. </w:t>
      </w:r>
      <w:r>
        <w:rPr>
          <w:lang w:eastAsia="zh-CN"/>
        </w:rPr>
        <w:t>发起人，管理团队及其各自联系人须遵守的锁股期</w:t>
      </w:r>
    </w:p>
    <w:p w:rsidR="009A2694" w:rsidRDefault="00C5726F">
      <w:pPr>
        <w:pStyle w:val="BodyText"/>
        <w:rPr>
          <w:lang w:eastAsia="zh-CN"/>
        </w:rPr>
      </w:pPr>
      <w:r>
        <w:rPr>
          <w:lang w:eastAsia="zh-CN"/>
        </w:rPr>
        <w:t>根据新交所一般</w:t>
      </w:r>
      <w:r>
        <w:rPr>
          <w:lang w:eastAsia="zh-CN"/>
        </w:rPr>
        <w:t>IPO</w:t>
      </w:r>
      <w:r>
        <w:rPr>
          <w:lang w:eastAsia="zh-CN"/>
        </w:rPr>
        <w:t>规则，上市后适用</w:t>
      </w:r>
      <w:r>
        <w:rPr>
          <w:lang w:eastAsia="zh-CN"/>
        </w:rPr>
        <w:t>6</w:t>
      </w:r>
      <w:r>
        <w:rPr>
          <w:lang w:eastAsia="zh-CN"/>
        </w:rPr>
        <w:t>个月锁股期。如发行人</w:t>
      </w:r>
      <w:r>
        <w:rPr>
          <w:lang w:eastAsia="zh-CN"/>
        </w:rPr>
        <w:t>(i)</w:t>
      </w:r>
      <w:r>
        <w:rPr>
          <w:lang w:eastAsia="zh-CN"/>
        </w:rPr>
        <w:t>市值达</w:t>
      </w:r>
      <w:r>
        <w:rPr>
          <w:lang w:eastAsia="zh-CN"/>
        </w:rPr>
        <w:t>3</w:t>
      </w:r>
      <w:r>
        <w:rPr>
          <w:lang w:eastAsia="zh-CN"/>
        </w:rPr>
        <w:t>亿新元（</w:t>
      </w:r>
      <w:r>
        <w:rPr>
          <w:lang w:eastAsia="zh-CN"/>
        </w:rPr>
        <w:t>2.</w:t>
      </w:r>
      <w:r>
        <w:rPr>
          <w:lang w:eastAsia="zh-CN"/>
        </w:rPr>
        <w:t>235</w:t>
      </w:r>
      <w:r>
        <w:rPr>
          <w:lang w:eastAsia="zh-CN"/>
        </w:rPr>
        <w:t>亿美元）但不能通过新交所主板规则中的盈利测试，且</w:t>
      </w:r>
      <w:r>
        <w:rPr>
          <w:lang w:eastAsia="zh-CN"/>
        </w:rPr>
        <w:t>(ii)</w:t>
      </w:r>
      <w:r>
        <w:rPr>
          <w:lang w:eastAsia="zh-CN"/>
        </w:rPr>
        <w:t>属矿业，石油及天然气公司，或者</w:t>
      </w:r>
      <w:r>
        <w:rPr>
          <w:lang w:eastAsia="zh-CN"/>
        </w:rPr>
        <w:t>(iii)</w:t>
      </w:r>
      <w:r>
        <w:rPr>
          <w:lang w:eastAsia="zh-CN"/>
        </w:rPr>
        <w:t>属生命科技公司（各自属</w:t>
      </w:r>
      <w:r>
        <w:rPr>
          <w:b/>
          <w:lang w:eastAsia="zh-CN"/>
        </w:rPr>
        <w:t>相关发行人</w:t>
      </w:r>
      <w:r>
        <w:rPr>
          <w:lang w:eastAsia="zh-CN"/>
        </w:rPr>
        <w:t>），则最初持股量的</w:t>
      </w:r>
      <w:r>
        <w:rPr>
          <w:lang w:eastAsia="zh-CN"/>
        </w:rPr>
        <w:t>50%</w:t>
      </w:r>
      <w:r>
        <w:rPr>
          <w:lang w:eastAsia="zh-CN"/>
        </w:rPr>
        <w:t>锁股期另外增加</w:t>
      </w:r>
      <w:r>
        <w:rPr>
          <w:lang w:eastAsia="zh-CN"/>
        </w:rPr>
        <w:t>6</w:t>
      </w:r>
      <w:r>
        <w:rPr>
          <w:lang w:eastAsia="zh-CN"/>
        </w:rPr>
        <w:t>个月。</w:t>
      </w:r>
    </w:p>
    <w:p w:rsidR="009A2694" w:rsidRDefault="00C5726F">
      <w:pPr>
        <w:pStyle w:val="BodyText"/>
        <w:rPr>
          <w:lang w:eastAsia="zh-CN"/>
        </w:rPr>
      </w:pPr>
      <w:r>
        <w:rPr>
          <w:lang w:eastAsia="zh-CN"/>
        </w:rPr>
        <w:t>根据该新交所</w:t>
      </w:r>
      <w:r>
        <w:rPr>
          <w:lang w:eastAsia="zh-CN"/>
        </w:rPr>
        <w:t>SPAC</w:t>
      </w:r>
      <w:r>
        <w:rPr>
          <w:lang w:eastAsia="zh-CN"/>
        </w:rPr>
        <w:t>框架，将存在以下锁股期规定：</w:t>
      </w:r>
    </w:p>
    <w:p w:rsidR="009A2694" w:rsidRDefault="00C5726F">
      <w:pPr>
        <w:pStyle w:val="Compact"/>
        <w:numPr>
          <w:ilvl w:val="0"/>
          <w:numId w:val="4"/>
        </w:numPr>
        <w:rPr>
          <w:lang w:eastAsia="zh-CN"/>
        </w:rPr>
      </w:pPr>
      <w:r>
        <w:rPr>
          <w:lang w:eastAsia="zh-CN"/>
        </w:rPr>
        <w:t>自该</w:t>
      </w:r>
      <w:r>
        <w:rPr>
          <w:lang w:eastAsia="zh-CN"/>
        </w:rPr>
        <w:t>SPAC</w:t>
      </w:r>
      <w:r>
        <w:rPr>
          <w:lang w:eastAsia="zh-CN"/>
        </w:rPr>
        <w:t>在新交所主板市场上市之日起至业务并购完成止为锁股期，适用于该</w:t>
      </w:r>
      <w:r>
        <w:rPr>
          <w:lang w:eastAsia="zh-CN"/>
        </w:rPr>
        <w:t>SPAC</w:t>
      </w:r>
      <w:r>
        <w:rPr>
          <w:lang w:eastAsia="zh-CN"/>
        </w:rPr>
        <w:t>发起人，管理团队及其各自联系人的股份；及</w:t>
      </w:r>
    </w:p>
    <w:p w:rsidR="009A2694" w:rsidRDefault="00C5726F">
      <w:pPr>
        <w:pStyle w:val="Compact"/>
        <w:numPr>
          <w:ilvl w:val="0"/>
          <w:numId w:val="4"/>
        </w:numPr>
        <w:rPr>
          <w:lang w:eastAsia="zh-CN"/>
        </w:rPr>
      </w:pPr>
      <w:r>
        <w:rPr>
          <w:lang w:eastAsia="zh-CN"/>
        </w:rPr>
        <w:t>自该并购交易完成时起的</w:t>
      </w:r>
      <w:r>
        <w:rPr>
          <w:lang w:eastAsia="zh-CN"/>
        </w:rPr>
        <w:t>6</w:t>
      </w:r>
      <w:r>
        <w:rPr>
          <w:lang w:eastAsia="zh-CN"/>
        </w:rPr>
        <w:t>个月锁股期，适用于以下相关方的股份：</w:t>
      </w:r>
      <w:r>
        <w:rPr>
          <w:lang w:eastAsia="zh-CN"/>
        </w:rPr>
        <w:t>(i)</w:t>
      </w:r>
      <w:r>
        <w:rPr>
          <w:lang w:eastAsia="zh-CN"/>
        </w:rPr>
        <w:t>该</w:t>
      </w:r>
      <w:r>
        <w:rPr>
          <w:lang w:eastAsia="zh-CN"/>
        </w:rPr>
        <w:t>SPAC</w:t>
      </w:r>
      <w:r>
        <w:rPr>
          <w:lang w:eastAsia="zh-CN"/>
        </w:rPr>
        <w:t>发起人，管理团队及其各自联系人；及</w:t>
      </w:r>
      <w:r>
        <w:rPr>
          <w:lang w:eastAsia="zh-CN"/>
        </w:rPr>
        <w:t>(ii)</w:t>
      </w:r>
      <w:r>
        <w:rPr>
          <w:lang w:eastAsia="zh-CN"/>
        </w:rPr>
        <w:t>发行人控股股东及其各自联系人，以及业务并</w:t>
      </w:r>
      <w:r>
        <w:rPr>
          <w:lang w:eastAsia="zh-CN"/>
        </w:rPr>
        <w:t>购后发行人在其已发行股本中持有</w:t>
      </w:r>
      <w:r>
        <w:rPr>
          <w:lang w:eastAsia="zh-CN"/>
        </w:rPr>
        <w:t>5%</w:t>
      </w:r>
      <w:r>
        <w:rPr>
          <w:lang w:eastAsia="zh-CN"/>
        </w:rPr>
        <w:t>或以上权益的执行董事。如该发行人属相关发行人，则最初所持股份的</w:t>
      </w:r>
      <w:r>
        <w:rPr>
          <w:lang w:eastAsia="zh-CN"/>
        </w:rPr>
        <w:t>50%</w:t>
      </w:r>
      <w:r>
        <w:rPr>
          <w:lang w:eastAsia="zh-CN"/>
        </w:rPr>
        <w:t>须根据传统</w:t>
      </w:r>
      <w:r>
        <w:rPr>
          <w:lang w:eastAsia="zh-CN"/>
        </w:rPr>
        <w:t>IPO</w:t>
      </w:r>
      <w:r>
        <w:rPr>
          <w:lang w:eastAsia="zh-CN"/>
        </w:rPr>
        <w:t>规则履行多</w:t>
      </w:r>
      <w:r>
        <w:rPr>
          <w:lang w:eastAsia="zh-CN"/>
        </w:rPr>
        <w:t>6</w:t>
      </w:r>
      <w:r>
        <w:rPr>
          <w:lang w:eastAsia="zh-CN"/>
        </w:rPr>
        <w:t>个月的锁股期。</w:t>
      </w:r>
    </w:p>
    <w:p w:rsidR="009A2694" w:rsidRDefault="00C5726F">
      <w:pPr>
        <w:pStyle w:val="FirstParagraph"/>
        <w:rPr>
          <w:lang w:eastAsia="zh-CN"/>
        </w:rPr>
      </w:pPr>
      <w:r>
        <w:rPr>
          <w:lang w:eastAsia="zh-CN"/>
        </w:rPr>
        <w:t>4. SPAC</w:t>
      </w:r>
      <w:r>
        <w:rPr>
          <w:lang w:eastAsia="zh-CN"/>
        </w:rPr>
        <w:t>发起人及管理团队最低认购量</w:t>
      </w:r>
    </w:p>
    <w:p w:rsidR="009A2694" w:rsidRDefault="00C5726F">
      <w:pPr>
        <w:pStyle w:val="BodyText"/>
      </w:pPr>
      <w:r>
        <w:rPr>
          <w:lang w:eastAsia="zh-CN"/>
        </w:rPr>
        <w:t>根据</w:t>
      </w:r>
      <w:r>
        <w:rPr>
          <w:lang w:eastAsia="zh-CN"/>
        </w:rPr>
        <w:t>SPAC</w:t>
      </w:r>
      <w:r>
        <w:rPr>
          <w:lang w:eastAsia="zh-CN"/>
        </w:rPr>
        <w:t>的市值规模，发起人及管理团队必须在</w:t>
      </w:r>
      <w:r>
        <w:rPr>
          <w:lang w:eastAsia="zh-CN"/>
        </w:rPr>
        <w:t>SPAC</w:t>
      </w:r>
      <w:r>
        <w:rPr>
          <w:lang w:eastAsia="zh-CN"/>
        </w:rPr>
        <w:t>上市时认购不低于</w:t>
      </w:r>
      <w:r>
        <w:rPr>
          <w:lang w:eastAsia="zh-CN"/>
        </w:rPr>
        <w:t>2.5%</w:t>
      </w:r>
      <w:r>
        <w:rPr>
          <w:lang w:eastAsia="zh-CN"/>
        </w:rPr>
        <w:t>至</w:t>
      </w:r>
      <w:r>
        <w:rPr>
          <w:lang w:eastAsia="zh-CN"/>
        </w:rPr>
        <w:t>3.5%</w:t>
      </w:r>
      <w:r>
        <w:rPr>
          <w:lang w:eastAsia="zh-CN"/>
        </w:rPr>
        <w:t>的</w:t>
      </w:r>
      <w:r>
        <w:rPr>
          <w:lang w:eastAsia="zh-CN"/>
        </w:rPr>
        <w:t>IPO</w:t>
      </w:r>
      <w:r>
        <w:rPr>
          <w:lang w:eastAsia="zh-CN"/>
        </w:rPr>
        <w:t>股份、单位或认股权证。该最低证券认购量规定旨在调整</w:t>
      </w:r>
      <w:r>
        <w:rPr>
          <w:lang w:eastAsia="zh-CN"/>
        </w:rPr>
        <w:t>SPAC</w:t>
      </w:r>
      <w:r>
        <w:rPr>
          <w:lang w:eastAsia="zh-CN"/>
        </w:rPr>
        <w:t>发起人及管理团队的利益与独立股东保持一致。</w:t>
      </w:r>
      <w:r>
        <w:t>该最低证券认购量规定摘要如下表：</w:t>
      </w:r>
    </w:p>
    <w:tbl>
      <w:tblPr>
        <w:tblW w:w="5000" w:type="pct"/>
        <w:tblLook w:val="07C0" w:firstRow="0" w:lastRow="1" w:firstColumn="1" w:lastColumn="1" w:noHBand="1" w:noVBand="1"/>
      </w:tblPr>
      <w:tblGrid>
        <w:gridCol w:w="3997"/>
        <w:gridCol w:w="4061"/>
        <w:gridCol w:w="2336"/>
      </w:tblGrid>
      <w:tr w:rsidR="009A2694">
        <w:tc>
          <w:tcPr>
            <w:tcW w:w="0" w:type="auto"/>
          </w:tcPr>
          <w:p w:rsidR="009A2694" w:rsidRDefault="00C5726F">
            <w:pPr>
              <w:jc w:val="center"/>
            </w:pPr>
            <w:r>
              <w:rPr>
                <w:b/>
              </w:rPr>
              <w:t>SPAC</w:t>
            </w:r>
            <w:r>
              <w:rPr>
                <w:b/>
              </w:rPr>
              <w:t>市值</w:t>
            </w:r>
          </w:p>
          <w:p w:rsidR="009A2694" w:rsidRDefault="00C5726F">
            <w:pPr>
              <w:jc w:val="center"/>
            </w:pPr>
            <w:r>
              <w:rPr>
                <w:b/>
              </w:rPr>
              <w:t>(</w:t>
            </w:r>
            <w:r>
              <w:rPr>
                <w:b/>
              </w:rPr>
              <w:t>百万新元</w:t>
            </w:r>
            <w:r>
              <w:rPr>
                <w:b/>
              </w:rPr>
              <w:t>) (“M”)</w:t>
            </w:r>
          </w:p>
        </w:tc>
        <w:tc>
          <w:tcPr>
            <w:tcW w:w="0" w:type="auto"/>
          </w:tcPr>
          <w:p w:rsidR="009A2694" w:rsidRDefault="00C5726F">
            <w:pPr>
              <w:jc w:val="center"/>
            </w:pPr>
            <w:r>
              <w:rPr>
                <w:b/>
              </w:rPr>
              <w:t>等额美元</w:t>
            </w:r>
          </w:p>
          <w:p w:rsidR="009A2694" w:rsidRDefault="00C5726F">
            <w:pPr>
              <w:jc w:val="center"/>
            </w:pPr>
            <w:r>
              <w:rPr>
                <w:b/>
              </w:rPr>
              <w:t>(</w:t>
            </w:r>
            <w:r>
              <w:rPr>
                <w:b/>
              </w:rPr>
              <w:t>百万</w:t>
            </w:r>
            <w:r>
              <w:rPr>
                <w:b/>
              </w:rPr>
              <w:t>USD)</w:t>
            </w:r>
          </w:p>
        </w:tc>
        <w:tc>
          <w:tcPr>
            <w:tcW w:w="0" w:type="auto"/>
          </w:tcPr>
          <w:p w:rsidR="009A2694" w:rsidRDefault="00C5726F">
            <w:pPr>
              <w:jc w:val="center"/>
            </w:pPr>
            <w:r>
              <w:rPr>
                <w:b/>
              </w:rPr>
              <w:t>认购比例</w:t>
            </w:r>
          </w:p>
        </w:tc>
      </w:tr>
      <w:tr w:rsidR="009A2694">
        <w:tc>
          <w:tcPr>
            <w:tcW w:w="0" w:type="auto"/>
          </w:tcPr>
          <w:p w:rsidR="009A2694" w:rsidRDefault="00C5726F">
            <w:pPr>
              <w:jc w:val="center"/>
            </w:pPr>
            <w:r>
              <w:t>150 ≤ M &lt; 300</w:t>
            </w:r>
          </w:p>
        </w:tc>
        <w:tc>
          <w:tcPr>
            <w:tcW w:w="0" w:type="auto"/>
          </w:tcPr>
          <w:p w:rsidR="009A2694" w:rsidRDefault="00C5726F">
            <w:pPr>
              <w:jc w:val="center"/>
            </w:pPr>
            <w:r>
              <w:t>111.8 ≤ M &lt; 223.5</w:t>
            </w:r>
          </w:p>
        </w:tc>
        <w:tc>
          <w:tcPr>
            <w:tcW w:w="0" w:type="auto"/>
          </w:tcPr>
          <w:p w:rsidR="009A2694" w:rsidRDefault="00C5726F">
            <w:pPr>
              <w:jc w:val="center"/>
            </w:pPr>
            <w:r>
              <w:t>3.5%</w:t>
            </w:r>
          </w:p>
        </w:tc>
      </w:tr>
      <w:tr w:rsidR="009A2694">
        <w:tc>
          <w:tcPr>
            <w:tcW w:w="0" w:type="auto"/>
          </w:tcPr>
          <w:p w:rsidR="009A2694" w:rsidRDefault="00C5726F">
            <w:pPr>
              <w:jc w:val="center"/>
            </w:pPr>
            <w:r>
              <w:t>300 ≤ M &lt; 500</w:t>
            </w:r>
          </w:p>
        </w:tc>
        <w:tc>
          <w:tcPr>
            <w:tcW w:w="0" w:type="auto"/>
          </w:tcPr>
          <w:p w:rsidR="009A2694" w:rsidRDefault="00C5726F">
            <w:pPr>
              <w:jc w:val="center"/>
            </w:pPr>
            <w:r>
              <w:t>223.5 ≤ M &lt; 372.5</w:t>
            </w:r>
          </w:p>
        </w:tc>
        <w:tc>
          <w:tcPr>
            <w:tcW w:w="0" w:type="auto"/>
          </w:tcPr>
          <w:p w:rsidR="009A2694" w:rsidRDefault="00C5726F">
            <w:pPr>
              <w:jc w:val="center"/>
            </w:pPr>
            <w:r>
              <w:t>3.0%</w:t>
            </w:r>
          </w:p>
        </w:tc>
      </w:tr>
      <w:tr w:rsidR="009A2694">
        <w:tc>
          <w:tcPr>
            <w:tcW w:w="0" w:type="auto"/>
          </w:tcPr>
          <w:p w:rsidR="009A2694" w:rsidRDefault="00C5726F">
            <w:pPr>
              <w:jc w:val="center"/>
            </w:pPr>
            <w:r>
              <w:t>M ≥ 500</w:t>
            </w:r>
          </w:p>
        </w:tc>
        <w:tc>
          <w:tcPr>
            <w:tcW w:w="0" w:type="auto"/>
          </w:tcPr>
          <w:p w:rsidR="009A2694" w:rsidRDefault="00C5726F">
            <w:pPr>
              <w:jc w:val="center"/>
            </w:pPr>
            <w:r>
              <w:t>M ≥ 372.5</w:t>
            </w:r>
          </w:p>
        </w:tc>
        <w:tc>
          <w:tcPr>
            <w:tcW w:w="0" w:type="auto"/>
          </w:tcPr>
          <w:p w:rsidR="009A2694" w:rsidRDefault="00C5726F">
            <w:pPr>
              <w:jc w:val="center"/>
            </w:pPr>
            <w:r>
              <w:t>2.5%</w:t>
            </w:r>
          </w:p>
        </w:tc>
      </w:tr>
    </w:tbl>
    <w:p w:rsidR="009A2694" w:rsidRDefault="00C5726F">
      <w:pPr>
        <w:pStyle w:val="BodyText"/>
        <w:rPr>
          <w:lang w:eastAsia="zh-CN"/>
        </w:rPr>
      </w:pPr>
      <w:r>
        <w:rPr>
          <w:lang w:eastAsia="zh-CN"/>
        </w:rPr>
        <w:t>5. SPAC</w:t>
      </w:r>
      <w:r>
        <w:rPr>
          <w:lang w:eastAsia="zh-CN"/>
        </w:rPr>
        <w:t>并购交易须获得的批准</w:t>
      </w:r>
    </w:p>
    <w:p w:rsidR="009A2694" w:rsidRDefault="00C5726F">
      <w:pPr>
        <w:pStyle w:val="BodyText"/>
        <w:rPr>
          <w:lang w:eastAsia="zh-CN"/>
        </w:rPr>
      </w:pPr>
      <w:r>
        <w:rPr>
          <w:lang w:eastAsia="zh-CN"/>
        </w:rPr>
        <w:t>进行业务并购须获得独立董事过半数票的支持，并由股东在召集的股东大会上通过一项普通决议。为对该业务并购投票，创始股东，管理团队及其联系人不得以在发行人</w:t>
      </w:r>
      <w:r>
        <w:rPr>
          <w:lang w:eastAsia="zh-CN"/>
        </w:rPr>
        <w:t>IPO</w:t>
      </w:r>
      <w:r>
        <w:rPr>
          <w:lang w:eastAsia="zh-CN"/>
        </w:rPr>
        <w:t>之前及之时以低价或者无对价获取的股份投票。</w:t>
      </w:r>
    </w:p>
    <w:p w:rsidR="009A2694" w:rsidRDefault="00C5726F">
      <w:pPr>
        <w:pStyle w:val="BodyText"/>
        <w:rPr>
          <w:lang w:eastAsia="zh-CN"/>
        </w:rPr>
      </w:pPr>
      <w:r>
        <w:rPr>
          <w:lang w:eastAsia="zh-CN"/>
        </w:rPr>
        <w:t xml:space="preserve">6. </w:t>
      </w:r>
      <w:r>
        <w:rPr>
          <w:lang w:eastAsia="zh-CN"/>
        </w:rPr>
        <w:t>股东所持有的认股权证可以与普通股分离，且认股权证行权导致的股东稀释影响不</w:t>
      </w:r>
      <w:r>
        <w:rPr>
          <w:lang w:eastAsia="zh-CN"/>
        </w:rPr>
        <w:t>得超过</w:t>
      </w:r>
      <w:r>
        <w:rPr>
          <w:lang w:eastAsia="zh-CN"/>
        </w:rPr>
        <w:t>50%</w:t>
      </w:r>
    </w:p>
    <w:p w:rsidR="009A2694" w:rsidRDefault="00C5726F">
      <w:pPr>
        <w:pStyle w:val="BodyText"/>
        <w:rPr>
          <w:lang w:eastAsia="zh-CN"/>
        </w:rPr>
      </w:pPr>
      <w:r>
        <w:rPr>
          <w:lang w:eastAsia="zh-CN"/>
        </w:rPr>
        <w:t>认股权证或者其他可转换证券可以与该</w:t>
      </w:r>
      <w:r>
        <w:rPr>
          <w:lang w:eastAsia="zh-CN"/>
        </w:rPr>
        <w:t>SPAC</w:t>
      </w:r>
      <w:r>
        <w:rPr>
          <w:lang w:eastAsia="zh-CN"/>
        </w:rPr>
        <w:t>的相关普通股份分离，这就准许认股权证能够在新交所主板市场单独买卖。这是对认股权证及其他可转换证券应具不可分离性的初始建议的逆转。反馈中提出的主要观点是可分离认股权证仍然是投资者进行</w:t>
      </w:r>
      <w:r>
        <w:rPr>
          <w:lang w:eastAsia="zh-CN"/>
        </w:rPr>
        <w:t>SPAC</w:t>
      </w:r>
      <w:r>
        <w:rPr>
          <w:lang w:eastAsia="zh-CN"/>
        </w:rPr>
        <w:t>投资时考量的基本要素以及不可分离性可能会降低在新交所主板市场进行</w:t>
      </w:r>
      <w:r>
        <w:rPr>
          <w:lang w:eastAsia="zh-CN"/>
        </w:rPr>
        <w:t>SPAC</w:t>
      </w:r>
      <w:r>
        <w:rPr>
          <w:lang w:eastAsia="zh-CN"/>
        </w:rPr>
        <w:t>上市的吸引力。新交所注意到该可分离认股权证的特征成为一种风险溢价，而</w:t>
      </w:r>
      <w:r>
        <w:rPr>
          <w:lang w:eastAsia="zh-CN"/>
        </w:rPr>
        <w:t>SPAC</w:t>
      </w:r>
      <w:r>
        <w:rPr>
          <w:lang w:eastAsia="zh-CN"/>
        </w:rPr>
        <w:t>的</w:t>
      </w:r>
      <w:r>
        <w:rPr>
          <w:lang w:eastAsia="zh-CN"/>
        </w:rPr>
        <w:t>IPO</w:t>
      </w:r>
      <w:r>
        <w:rPr>
          <w:lang w:eastAsia="zh-CN"/>
        </w:rPr>
        <w:t>投资者在投资该</w:t>
      </w:r>
      <w:r>
        <w:rPr>
          <w:lang w:eastAsia="zh-CN"/>
        </w:rPr>
        <w:t>SPAC</w:t>
      </w:r>
      <w:r>
        <w:rPr>
          <w:lang w:eastAsia="zh-CN"/>
        </w:rPr>
        <w:t>最长达</w:t>
      </w:r>
      <w:r>
        <w:rPr>
          <w:lang w:eastAsia="zh-CN"/>
        </w:rPr>
        <w:t>36</w:t>
      </w:r>
      <w:r>
        <w:rPr>
          <w:lang w:eastAsia="zh-CN"/>
        </w:rPr>
        <w:t>个月后预期可获得该风险溢价，鉴于此新交所同意采纳。</w:t>
      </w:r>
    </w:p>
    <w:p w:rsidR="009A2694" w:rsidRDefault="00C5726F">
      <w:pPr>
        <w:pStyle w:val="BodyText"/>
        <w:rPr>
          <w:lang w:eastAsia="zh-CN"/>
        </w:rPr>
      </w:pPr>
      <w:r>
        <w:rPr>
          <w:lang w:eastAsia="zh-CN"/>
        </w:rPr>
        <w:t>新交所要求</w:t>
      </w:r>
      <w:r>
        <w:rPr>
          <w:lang w:eastAsia="zh-CN"/>
        </w:rPr>
        <w:t>SPACs</w:t>
      </w:r>
      <w:r>
        <w:rPr>
          <w:lang w:eastAsia="zh-CN"/>
        </w:rPr>
        <w:t>就其在与</w:t>
      </w:r>
      <w:r>
        <w:rPr>
          <w:lang w:eastAsia="zh-CN"/>
        </w:rPr>
        <w:t>IPO</w:t>
      </w:r>
      <w:r>
        <w:rPr>
          <w:lang w:eastAsia="zh-CN"/>
        </w:rPr>
        <w:t>相关联而发行的任何认股权证或者其他可转换证券的转换事宜上针对发行人邀请后已发行股本的稀释率施加不超过</w:t>
      </w:r>
      <w:r>
        <w:rPr>
          <w:lang w:eastAsia="zh-CN"/>
        </w:rPr>
        <w:t>50%</w:t>
      </w:r>
      <w:r>
        <w:rPr>
          <w:lang w:eastAsia="zh-CN"/>
        </w:rPr>
        <w:t>的百分比限制。鉴于市场在确保与认股权证</w:t>
      </w:r>
      <w:r>
        <w:rPr>
          <w:lang w:eastAsia="zh-CN"/>
        </w:rPr>
        <w:lastRenderedPageBreak/>
        <w:t>转换相关的稀释的最高百分比上限属合适及可获接纳中会发生作用，新交所认为对认股权证稀释设定上限将有助于确保发起人的素质。然而，新交所仍然会密切关注当地发展动态，并可能考虑依据个案情况豁免</w:t>
      </w:r>
      <w:r>
        <w:rPr>
          <w:lang w:eastAsia="zh-CN"/>
        </w:rPr>
        <w:t>50%</w:t>
      </w:r>
      <w:r>
        <w:rPr>
          <w:lang w:eastAsia="zh-CN"/>
        </w:rPr>
        <w:t>稀释上限规定（如该</w:t>
      </w:r>
      <w:r>
        <w:rPr>
          <w:lang w:eastAsia="zh-CN"/>
        </w:rPr>
        <w:t>SPAC</w:t>
      </w:r>
      <w:r>
        <w:rPr>
          <w:lang w:eastAsia="zh-CN"/>
        </w:rPr>
        <w:t>能够证明存在充分原因）。</w:t>
      </w:r>
    </w:p>
    <w:p w:rsidR="009A2694" w:rsidRDefault="00C5726F">
      <w:pPr>
        <w:pStyle w:val="BodyText"/>
        <w:rPr>
          <w:lang w:eastAsia="zh-CN"/>
        </w:rPr>
      </w:pPr>
      <w:r>
        <w:rPr>
          <w:lang w:eastAsia="zh-CN"/>
        </w:rPr>
        <w:t xml:space="preserve">7. </w:t>
      </w:r>
      <w:r>
        <w:rPr>
          <w:lang w:eastAsia="zh-CN"/>
        </w:rPr>
        <w:t>所有独立股东均享有赎回权</w:t>
      </w:r>
    </w:p>
    <w:p w:rsidR="009A2694" w:rsidRDefault="00C5726F">
      <w:pPr>
        <w:pStyle w:val="BodyText"/>
        <w:rPr>
          <w:lang w:eastAsia="zh-CN"/>
        </w:rPr>
      </w:pPr>
      <w:r>
        <w:rPr>
          <w:lang w:eastAsia="zh-CN"/>
        </w:rPr>
        <w:t>新交所最初的建议是仅投票反对业务并购的股东可以赎回其股份。但是，在考量市场反馈后，新交所已决定不再将赎回权与股东对业务并购的投票决定挂钩，并准许所有独立股东行使其赎回权（包含未对该业务并购投票的独立股东）。</w:t>
      </w:r>
    </w:p>
    <w:p w:rsidR="009A2694" w:rsidRDefault="00C5726F">
      <w:pPr>
        <w:pStyle w:val="BodyText"/>
        <w:rPr>
          <w:lang w:eastAsia="zh-CN"/>
        </w:rPr>
      </w:pPr>
      <w:r>
        <w:rPr>
          <w:lang w:eastAsia="zh-CN"/>
        </w:rPr>
        <w:t>这项决定作出之前，美国发出了</w:t>
      </w:r>
      <w:r>
        <w:rPr>
          <w:lang w:eastAsia="zh-CN"/>
        </w:rPr>
        <w:t>SPAC</w:t>
      </w:r>
      <w:r>
        <w:rPr>
          <w:lang w:eastAsia="zh-CN"/>
        </w:rPr>
        <w:t>框架立场，英国金融行为监管局发出了政策声明，在该等立场及声明中，他们认为赎回选项以及其他保障措施是一项重要的投资者保护机制。</w:t>
      </w:r>
    </w:p>
    <w:p w:rsidR="009A2694" w:rsidRDefault="00C5726F">
      <w:pPr>
        <w:pStyle w:val="BodyText"/>
        <w:rPr>
          <w:lang w:eastAsia="zh-CN"/>
        </w:rPr>
      </w:pPr>
      <w:r>
        <w:rPr>
          <w:lang w:eastAsia="zh-CN"/>
        </w:rPr>
        <w:t xml:space="preserve">8. </w:t>
      </w:r>
      <w:r>
        <w:rPr>
          <w:lang w:eastAsia="zh-CN"/>
        </w:rPr>
        <w:t>发起人在</w:t>
      </w:r>
      <w:r>
        <w:rPr>
          <w:lang w:eastAsia="zh-CN"/>
        </w:rPr>
        <w:t>SPAC</w:t>
      </w:r>
      <w:r>
        <w:rPr>
          <w:lang w:eastAsia="zh-CN"/>
        </w:rPr>
        <w:t>上市时持有的</w:t>
      </w:r>
      <w:r>
        <w:rPr>
          <w:lang w:eastAsia="zh-CN"/>
        </w:rPr>
        <w:t>“</w:t>
      </w:r>
      <w:r>
        <w:rPr>
          <w:lang w:eastAsia="zh-CN"/>
        </w:rPr>
        <w:t>提振激励</w:t>
      </w:r>
      <w:r>
        <w:rPr>
          <w:lang w:eastAsia="zh-CN"/>
        </w:rPr>
        <w:t>”</w:t>
      </w:r>
      <w:r>
        <w:rPr>
          <w:lang w:eastAsia="zh-CN"/>
        </w:rPr>
        <w:t>（</w:t>
      </w:r>
      <w:r>
        <w:rPr>
          <w:lang w:eastAsia="zh-CN"/>
        </w:rPr>
        <w:t>promote</w:t>
      </w:r>
      <w:r>
        <w:rPr>
          <w:lang w:eastAsia="zh-CN"/>
        </w:rPr>
        <w:t>）股份上限为</w:t>
      </w:r>
      <w:r>
        <w:rPr>
          <w:lang w:eastAsia="zh-CN"/>
        </w:rPr>
        <w:t>20%</w:t>
      </w:r>
      <w:r>
        <w:rPr>
          <w:lang w:eastAsia="zh-CN"/>
        </w:rPr>
        <w:t>。</w:t>
      </w:r>
    </w:p>
    <w:p w:rsidR="009A2694" w:rsidRDefault="00C5726F">
      <w:pPr>
        <w:pStyle w:val="BodyText"/>
        <w:rPr>
          <w:lang w:eastAsia="zh-CN"/>
        </w:rPr>
      </w:pPr>
      <w:r>
        <w:rPr>
          <w:lang w:eastAsia="zh-CN"/>
        </w:rPr>
        <w:t>「发起人提振激励」指的是发起人基于发起该</w:t>
      </w:r>
      <w:r>
        <w:rPr>
          <w:lang w:eastAsia="zh-CN"/>
        </w:rPr>
        <w:t>SPAC</w:t>
      </w:r>
      <w:r>
        <w:rPr>
          <w:lang w:eastAsia="zh-CN"/>
        </w:rPr>
        <w:t>的回报而以</w:t>
      </w:r>
      <w:r>
        <w:rPr>
          <w:lang w:eastAsia="zh-CN"/>
        </w:rPr>
        <w:t>低价或者无对价获得</w:t>
      </w:r>
      <w:r>
        <w:rPr>
          <w:lang w:eastAsia="zh-CN"/>
        </w:rPr>
        <w:t>SPAC</w:t>
      </w:r>
      <w:r>
        <w:rPr>
          <w:lang w:eastAsia="zh-CN"/>
        </w:rPr>
        <w:t>额外股本证券的权利。在进行市场调研并征询反馈意见后，新交所采纳了「发起人提振激励」制度，上限不超过该</w:t>
      </w:r>
      <w:r>
        <w:rPr>
          <w:lang w:eastAsia="zh-CN"/>
        </w:rPr>
        <w:t>SPAC</w:t>
      </w:r>
      <w:r>
        <w:rPr>
          <w:lang w:eastAsia="zh-CN"/>
        </w:rPr>
        <w:t>上市之时已发行股本的</w:t>
      </w:r>
      <w:r>
        <w:rPr>
          <w:lang w:eastAsia="zh-CN"/>
        </w:rPr>
        <w:t>20%</w:t>
      </w:r>
      <w:r>
        <w:rPr>
          <w:lang w:eastAsia="zh-CN"/>
        </w:rPr>
        <w:t>（在完全稀释的基础上）。该</w:t>
      </w:r>
      <w:r>
        <w:rPr>
          <w:lang w:eastAsia="zh-CN"/>
        </w:rPr>
        <w:t>20%</w:t>
      </w:r>
      <w:r>
        <w:rPr>
          <w:lang w:eastAsia="zh-CN"/>
        </w:rPr>
        <w:t>上限规定将会把该「发起人提振激励」（以认股权证及</w:t>
      </w:r>
      <w:r>
        <w:rPr>
          <w:lang w:eastAsia="zh-CN"/>
        </w:rPr>
        <w:t>/</w:t>
      </w:r>
      <w:r>
        <w:rPr>
          <w:lang w:eastAsia="zh-CN"/>
        </w:rPr>
        <w:t>或其他可转换证券形式存在）纳入考量。新交所将在考量该「发起人提振激励」是否适当时保留酌情权，同时会考量该</w:t>
      </w:r>
      <w:r>
        <w:rPr>
          <w:lang w:eastAsia="zh-CN"/>
        </w:rPr>
        <w:t>SPAC</w:t>
      </w:r>
      <w:r>
        <w:rPr>
          <w:lang w:eastAsia="zh-CN"/>
        </w:rPr>
        <w:t>的整体架构。</w:t>
      </w:r>
    </w:p>
    <w:p w:rsidR="009A2694" w:rsidRDefault="00C5726F" w:rsidP="00C5726F">
      <w:pPr>
        <w:pStyle w:val="BodyText"/>
        <w:jc w:val="left"/>
      </w:pPr>
      <w:hyperlink w:anchor="footnote-8693-1-backlink">
        <w:r>
          <w:t>1</w:t>
        </w:r>
      </w:hyperlink>
      <w:r>
        <w:t xml:space="preserve"> </w:t>
      </w:r>
      <w:hyperlink r:id="rId8">
        <w:r>
          <w:t>https://www.sgx.com/zh-hans/media-centre/20210902-sgx-introduces-spac-listing-framework</w:t>
        </w:r>
      </w:hyperlink>
    </w:p>
    <w:p w:rsidR="009A2694" w:rsidRDefault="00C5726F" w:rsidP="00C5726F">
      <w:pPr>
        <w:pStyle w:val="BodyText"/>
        <w:jc w:val="left"/>
      </w:pPr>
      <w:hyperlink w:anchor="footnote-8693-2-backlink">
        <w:r>
          <w:t>2</w:t>
        </w:r>
      </w:hyperlink>
      <w:r>
        <w:t xml:space="preserve"> </w:t>
      </w:r>
      <w:hyperlink r:id="rId9">
        <w:r>
          <w:t>https://api2.sgx.com/sites/default/files/2021-03/Consultation%20Paper%20on%20Proposed%20Listing%20Framework%</w:t>
        </w:r>
        <w:r>
          <w:t>20for%20Special%20Purpose%20Acquisition%20Companies.pdf</w:t>
        </w:r>
      </w:hyperlink>
    </w:p>
    <w:p w:rsidR="009A2694" w:rsidRDefault="00C5726F" w:rsidP="00C5726F">
      <w:pPr>
        <w:pStyle w:val="BodyText"/>
        <w:jc w:val="left"/>
      </w:pPr>
      <w:hyperlink w:anchor="footnote-8693-3-backlink">
        <w:r>
          <w:t>3</w:t>
        </w:r>
      </w:hyperlink>
      <w:r>
        <w:t xml:space="preserve"> </w:t>
      </w:r>
      <w:hyperlink r:id="rId10">
        <w:r>
          <w:t>https://api2.sgx.com/sites/default/files/2021-09/Response%20Paper%20on%20Proposed%20Listing%20Framework%20for%20Special%20Purpose%20Acquisition%20Companies.pdf</w:t>
        </w:r>
      </w:hyperlink>
    </w:p>
    <w:p w:rsidR="009A2694" w:rsidRDefault="00C5726F" w:rsidP="00C5726F">
      <w:pPr>
        <w:pStyle w:val="BodyText"/>
        <w:jc w:val="left"/>
      </w:pPr>
      <w:hyperlink w:anchor="footnote-8693-4-backlink">
        <w:r>
          <w:t>4</w:t>
        </w:r>
      </w:hyperlink>
      <w:r>
        <w:t xml:space="preserve"> EY Global IPO Trend</w:t>
      </w:r>
      <w:r>
        <w:t>s report Q2 2021</w:t>
      </w:r>
    </w:p>
    <w:p w:rsidR="009A2694" w:rsidRDefault="00C5726F">
      <w:pPr>
        <w:pStyle w:val="BodyText"/>
        <w:rPr>
          <w:lang w:eastAsia="zh-CN"/>
        </w:rPr>
      </w:pPr>
      <w:hyperlink w:anchor="footnote-8693-5-backlink">
        <w:r>
          <w:rPr>
            <w:lang w:eastAsia="zh-CN"/>
          </w:rPr>
          <w:t>5</w:t>
        </w:r>
      </w:hyperlink>
      <w:r>
        <w:rPr>
          <w:lang w:eastAsia="zh-CN"/>
        </w:rPr>
        <w:t xml:space="preserve"> </w:t>
      </w:r>
      <w:r>
        <w:rPr>
          <w:lang w:eastAsia="zh-CN"/>
        </w:rPr>
        <w:t>美国活跃的</w:t>
      </w:r>
      <w:r>
        <w:rPr>
          <w:lang w:eastAsia="zh-CN"/>
        </w:rPr>
        <w:t>SPACs</w:t>
      </w:r>
      <w:r>
        <w:rPr>
          <w:lang w:eastAsia="zh-CN"/>
        </w:rPr>
        <w:t>市场亦要求企业在上市后</w:t>
      </w:r>
      <w:r>
        <w:rPr>
          <w:lang w:eastAsia="zh-CN"/>
        </w:rPr>
        <w:t>24</w:t>
      </w:r>
      <w:r>
        <w:rPr>
          <w:lang w:eastAsia="zh-CN"/>
        </w:rPr>
        <w:t>个月内完成业务并购</w:t>
      </w:r>
    </w:p>
    <w:p w:rsidR="009A2694" w:rsidRDefault="00C5726F">
      <w:pPr>
        <w:pStyle w:val="DisclaimerBold"/>
        <w:rPr>
          <w:lang w:eastAsia="zh-CN"/>
        </w:rPr>
      </w:pPr>
      <w:r>
        <w:rPr>
          <w:lang w:eastAsia="zh-CN"/>
        </w:rPr>
        <w:t>此法讯仅为提供相关资料信息之用，其内容并</w:t>
      </w:r>
    </w:p>
    <w:p w:rsidR="009A2694" w:rsidRDefault="00C5726F">
      <w:pPr>
        <w:pStyle w:val="Disclaimer"/>
        <w:rPr>
          <w:lang w:eastAsia="zh-CN"/>
        </w:rPr>
      </w:pPr>
      <w:r>
        <w:rPr>
          <w:lang w:eastAsia="zh-CN"/>
        </w:rPr>
        <w:t>不构成法律建议及个案的法律分析。</w:t>
      </w:r>
    </w:p>
    <w:p w:rsidR="009A2694" w:rsidRDefault="00C5726F">
      <w:pPr>
        <w:pStyle w:val="Disclaimer"/>
        <w:rPr>
          <w:lang w:eastAsia="zh-CN"/>
        </w:rPr>
      </w:pPr>
      <w:r>
        <w:rPr>
          <w:lang w:eastAsia="zh-CN"/>
        </w:rPr>
        <w:t>此法讯的发送并不是为了在易周律师行与用户或浏览者之间建立一种律师与客户之关系。</w:t>
      </w:r>
    </w:p>
    <w:p w:rsidR="009A2694" w:rsidRDefault="00C5726F">
      <w:pPr>
        <w:pStyle w:val="Disclaimer"/>
        <w:rPr>
          <w:lang w:eastAsia="zh-CN"/>
        </w:rPr>
      </w:pPr>
      <w:r>
        <w:rPr>
          <w:lang w:eastAsia="zh-CN"/>
        </w:rPr>
        <w:t>易周律师行并不对可从互联网获得的任何第三方内容负责。</w:t>
      </w:r>
    </w:p>
    <w:p w:rsidR="009A2694" w:rsidRDefault="00C5726F">
      <w:pPr>
        <w:pStyle w:val="Disclaimer"/>
        <w:rPr>
          <w:lang w:eastAsia="zh-CN"/>
        </w:rPr>
      </w:pPr>
      <w:r>
        <w:rPr>
          <w:lang w:eastAsia="zh-CN"/>
        </w:rPr>
        <w:t>如你不希望再收到易周法讯，请发送电邮至</w:t>
      </w:r>
      <w:r>
        <w:rPr>
          <w:lang w:eastAsia="zh-CN"/>
        </w:rPr>
        <w:t xml:space="preserve">  </w:t>
      </w:r>
      <w:hyperlink r:id="rId11">
        <w:r>
          <w:rPr>
            <w:lang w:eastAsia="zh-CN"/>
          </w:rPr>
          <w:t>unsubscribe@charltonslaw.com</w:t>
        </w:r>
      </w:hyperlink>
    </w:p>
    <w:p w:rsidR="009A2694" w:rsidRDefault="00C5726F">
      <w:pPr>
        <w:pStyle w:val="BlackStrips"/>
      </w:pPr>
      <w:r>
        <w:t xml:space="preserve">Charltons - </w:t>
      </w:r>
      <w:r>
        <w:t>香港法</w:t>
      </w:r>
      <w:bookmarkStart w:id="0" w:name="_GoBack"/>
      <w:bookmarkEnd w:id="0"/>
      <w:r>
        <w:t>律</w:t>
      </w:r>
      <w:r>
        <w:t xml:space="preserve"> - 2022</w:t>
      </w:r>
      <w:r>
        <w:t>年</w:t>
      </w:r>
      <w:r>
        <w:t>1</w:t>
      </w:r>
      <w:r>
        <w:t>月</w:t>
      </w:r>
      <w:r>
        <w:t>24</w:t>
      </w:r>
      <w:r>
        <w:t>日</w:t>
      </w:r>
    </w:p>
    <w:sectPr w:rsidR="009A2694">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5726F">
      <w:pPr>
        <w:spacing w:after="0"/>
      </w:pPr>
      <w:r>
        <w:separator/>
      </w:r>
    </w:p>
  </w:endnote>
  <w:endnote w:type="continuationSeparator" w:id="0">
    <w:p w:rsidR="00000000" w:rsidRDefault="00C572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694" w:rsidRDefault="00C5726F">
      <w:r>
        <w:separator/>
      </w:r>
    </w:p>
  </w:footnote>
  <w:footnote w:type="continuationSeparator" w:id="0">
    <w:p w:rsidR="009A2694" w:rsidRDefault="00C57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35DEE49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55669D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11BA55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9A2694"/>
    <w:rsid w:val="00B86B75"/>
    <w:rsid w:val="00BC48D5"/>
    <w:rsid w:val="00C36279"/>
    <w:rsid w:val="00C5726F"/>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0C8A9-2F70-4428-BA44-A44F448D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x.com/zh-hans/media-centre/20210902-sgx-introduces-spac-listing-frame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xin-jia-po-jiao-yi-suo-zheng-shi-chu-tai-spacshang-shi-kuang-j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api2.sgx.com/sites/default/files/2021-09/Response%20Paper%20on%20Proposed%20Listing%20Framework%20for%20Special%20Purpose%20Acquisition%20Companies.pdf" TargetMode="External"/><Relationship Id="rId4" Type="http://schemas.openxmlformats.org/officeDocument/2006/relationships/webSettings" Target="webSettings.xml"/><Relationship Id="rId9" Type="http://schemas.openxmlformats.org/officeDocument/2006/relationships/hyperlink" Target="https://api2.sgx.com/sites/default/files/2021-03/Consultation%20Paper%20on%20Proposed%20Listing%20Framework%20for%20Special%20Purpose%20Acquisition%20Compan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735</Words>
  <Characters>4193</Characters>
  <Application>Microsoft Office Word</Application>
  <DocSecurity>0</DocSecurity>
  <Lines>34</Lines>
  <Paragraphs>9</Paragraphs>
  <ScaleCrop>false</ScaleCrop>
  <Company>Charltons</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2022-01-24T07:29:00Z</dcterms:created>
  <dcterms:modified xsi:type="dcterms:W3CDTF">2022-01-24T07:30:00Z</dcterms:modified>
</cp:coreProperties>
</file>