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A0" w:rsidRDefault="00811FDE">
      <w:pPr>
        <w:pStyle w:val="BlackStrips"/>
      </w:pPr>
      <w:r>
        <w:t xml:space="preserve">Charltons - </w:t>
      </w:r>
      <w:r>
        <w:t>香港法律</w:t>
      </w:r>
      <w:r>
        <w:t xml:space="preserve"> - 2022</w:t>
      </w:r>
      <w:r>
        <w:t>年</w:t>
      </w:r>
      <w:r>
        <w:t>3</w:t>
      </w:r>
      <w:r>
        <w:t>月</w:t>
      </w:r>
      <w:r>
        <w:t>15</w:t>
      </w:r>
      <w:r>
        <w:t>日</w:t>
      </w:r>
    </w:p>
    <w:p w:rsidR="00E229A0" w:rsidRDefault="00811FDE">
      <w:pPr>
        <w:pStyle w:val="ReadOnline"/>
        <w:rPr>
          <w:lang w:eastAsia="zh-CN"/>
        </w:rPr>
      </w:pPr>
      <w:hyperlink r:id="rId7">
        <w:r>
          <w:rPr>
            <w:lang w:eastAsia="zh-CN"/>
          </w:rPr>
          <w:t>online version</w:t>
        </w:r>
      </w:hyperlink>
    </w:p>
    <w:p w:rsidR="00E229A0" w:rsidRDefault="00811FDE">
      <w:pPr>
        <w:pStyle w:val="Title"/>
        <w:rPr>
          <w:lang w:eastAsia="zh-CN"/>
        </w:rPr>
      </w:pPr>
      <w:r>
        <w:rPr>
          <w:lang w:eastAsia="zh-CN"/>
        </w:rPr>
        <w:t>易周律师行代表</w:t>
      </w:r>
      <w:r>
        <w:rPr>
          <w:lang w:eastAsia="zh-CN"/>
        </w:rPr>
        <w:t>7</w:t>
      </w:r>
      <w:r>
        <w:rPr>
          <w:lang w:eastAsia="zh-CN"/>
        </w:rPr>
        <w:t>家企业金融公司对交易所</w:t>
      </w:r>
      <w:r>
        <w:rPr>
          <w:lang w:eastAsia="zh-CN"/>
        </w:rPr>
        <w:t>SPAC</w:t>
      </w:r>
      <w:r>
        <w:rPr>
          <w:lang w:eastAsia="zh-CN"/>
        </w:rPr>
        <w:t>谘询文件回复</w:t>
      </w:r>
    </w:p>
    <w:p w:rsidR="00E229A0" w:rsidRDefault="00811FDE">
      <w:pPr>
        <w:pStyle w:val="FirstParagraph"/>
        <w:rPr>
          <w:lang w:eastAsia="zh-CN"/>
        </w:rPr>
      </w:pPr>
      <w:r>
        <w:rPr>
          <w:lang w:eastAsia="zh-CN"/>
        </w:rPr>
        <w:t>香港联合交易所（简称</w:t>
      </w:r>
      <w:r>
        <w:rPr>
          <w:lang w:eastAsia="zh-CN"/>
        </w:rPr>
        <w:t>“</w:t>
      </w:r>
      <w:r>
        <w:rPr>
          <w:b/>
          <w:lang w:eastAsia="zh-CN"/>
        </w:rPr>
        <w:t>交易所</w:t>
      </w:r>
      <w:r>
        <w:rPr>
          <w:lang w:eastAsia="zh-CN"/>
        </w:rPr>
        <w:t>”</w:t>
      </w:r>
      <w:r>
        <w:rPr>
          <w:lang w:eastAsia="zh-CN"/>
        </w:rPr>
        <w:t>）于</w:t>
      </w:r>
      <w:r>
        <w:rPr>
          <w:lang w:eastAsia="zh-CN"/>
        </w:rPr>
        <w:t>2021</w:t>
      </w:r>
      <w:r>
        <w:rPr>
          <w:lang w:eastAsia="zh-CN"/>
        </w:rPr>
        <w:t>年</w:t>
      </w:r>
      <w:r>
        <w:rPr>
          <w:lang w:eastAsia="zh-CN"/>
        </w:rPr>
        <w:t>9</w:t>
      </w:r>
      <w:r>
        <w:rPr>
          <w:lang w:eastAsia="zh-CN"/>
        </w:rPr>
        <w:t>月发布</w:t>
      </w:r>
      <w:hyperlink r:id="rId8">
        <w:r>
          <w:rPr>
            <w:lang w:eastAsia="zh-CN"/>
          </w:rPr>
          <w:t>《关于特殊目的收购公司的谘询文件》</w:t>
        </w:r>
      </w:hyperlink>
      <w:hyperlink w:anchor="footnote-8693-1">
        <w:r>
          <w:rPr>
            <w:vertAlign w:val="superscript"/>
            <w:lang w:eastAsia="zh-CN"/>
          </w:rPr>
          <w:t>1</w:t>
        </w:r>
      </w:hyperlink>
      <w:r>
        <w:rPr>
          <w:lang w:eastAsia="zh-CN"/>
        </w:rPr>
        <w:t>（简称</w:t>
      </w:r>
      <w:r>
        <w:rPr>
          <w:lang w:eastAsia="zh-CN"/>
        </w:rPr>
        <w:t>“</w:t>
      </w:r>
      <w:r>
        <w:rPr>
          <w:b/>
          <w:lang w:eastAsia="zh-CN"/>
        </w:rPr>
        <w:t>谘询文件</w:t>
      </w:r>
      <w:r>
        <w:rPr>
          <w:lang w:eastAsia="zh-CN"/>
        </w:rPr>
        <w:t>”</w:t>
      </w:r>
      <w:r>
        <w:rPr>
          <w:lang w:eastAsia="zh-CN"/>
        </w:rPr>
        <w:t>），邀请市场参与者就该文件</w:t>
      </w:r>
      <w:r>
        <w:rPr>
          <w:lang w:eastAsia="zh-CN"/>
        </w:rPr>
        <w:t>提交书面回复。</w:t>
      </w:r>
    </w:p>
    <w:p w:rsidR="00E229A0" w:rsidRDefault="00811FDE">
      <w:pPr>
        <w:pStyle w:val="BodyText"/>
        <w:rPr>
          <w:lang w:eastAsia="zh-CN"/>
        </w:rPr>
      </w:pPr>
      <w:r>
        <w:rPr>
          <w:lang w:eastAsia="zh-CN"/>
        </w:rPr>
        <w:t>易周律师行代表同人融资有限公司、浩德融资有限公司、英高财务顾问有限公司、富比资本有限公司、东英亚洲有限公司、新百利融资控股有限公司和禹铭投资管理有限公司（</w:t>
      </w:r>
      <w:r>
        <w:rPr>
          <w:lang w:eastAsia="zh-CN"/>
        </w:rPr>
        <w:t>“</w:t>
      </w:r>
      <w:r>
        <w:rPr>
          <w:b/>
          <w:lang w:eastAsia="zh-CN"/>
        </w:rPr>
        <w:t>集团</w:t>
      </w:r>
      <w:r>
        <w:rPr>
          <w:lang w:eastAsia="zh-CN"/>
        </w:rPr>
        <w:t>”</w:t>
      </w:r>
      <w:r>
        <w:rPr>
          <w:lang w:eastAsia="zh-CN"/>
        </w:rPr>
        <w:t>）就香港交易所谘询文件提交了回复。该集团的完整回应可</w:t>
      </w:r>
      <w:hyperlink r:id="rId9">
        <w:r>
          <w:rPr>
            <w:lang w:eastAsia="zh-CN"/>
          </w:rPr>
          <w:t>在此阅读</w:t>
        </w:r>
      </w:hyperlink>
      <w:r>
        <w:rPr>
          <w:lang w:eastAsia="zh-CN"/>
        </w:rPr>
        <w:t>。</w:t>
      </w:r>
      <w:hyperlink w:anchor="footnote-8693-2">
        <w:r>
          <w:rPr>
            <w:vertAlign w:val="superscript"/>
            <w:lang w:eastAsia="zh-CN"/>
          </w:rPr>
          <w:t>2</w:t>
        </w:r>
      </w:hyperlink>
      <w:r>
        <w:rPr>
          <w:lang w:eastAsia="zh-CN"/>
        </w:rPr>
        <w:t xml:space="preserve"> </w:t>
      </w:r>
      <w:r>
        <w:rPr>
          <w:lang w:eastAsia="zh-CN"/>
        </w:rPr>
        <w:t>请参阅</w:t>
      </w:r>
      <w:hyperlink r:id="rId10">
        <w:r>
          <w:rPr>
            <w:lang w:eastAsia="zh-CN"/>
          </w:rPr>
          <w:t>香港交易所关于</w:t>
        </w:r>
        <w:r>
          <w:rPr>
            <w:lang w:eastAsia="zh-CN"/>
          </w:rPr>
          <w:t>SPAC</w:t>
        </w:r>
        <w:r>
          <w:rPr>
            <w:lang w:eastAsia="zh-CN"/>
          </w:rPr>
          <w:t>谘询文件</w:t>
        </w:r>
      </w:hyperlink>
      <w:hyperlink w:anchor="footnote-8693-3">
        <w:r>
          <w:rPr>
            <w:vertAlign w:val="superscript"/>
            <w:lang w:eastAsia="zh-CN"/>
          </w:rPr>
          <w:t>3</w:t>
        </w:r>
      </w:hyperlink>
      <w:r>
        <w:rPr>
          <w:lang w:eastAsia="zh-CN"/>
        </w:rPr>
        <w:t>，这是易周律师行对谘询文件的通讯摘要。</w:t>
      </w:r>
    </w:p>
    <w:p w:rsidR="00E229A0" w:rsidRDefault="00811FDE">
      <w:pPr>
        <w:pStyle w:val="BodyText"/>
        <w:rPr>
          <w:lang w:eastAsia="zh-CN"/>
        </w:rPr>
      </w:pPr>
      <w:r>
        <w:rPr>
          <w:lang w:eastAsia="zh-CN"/>
        </w:rPr>
        <w:t>该集团提交回应的依据是，在切实可行的范围内，香港交易所现行的《上市规则》应同样适用于</w:t>
      </w:r>
      <w:r>
        <w:rPr>
          <w:lang w:eastAsia="zh-CN"/>
        </w:rPr>
        <w:t>SPAC</w:t>
      </w:r>
      <w:r>
        <w:rPr>
          <w:lang w:eastAsia="zh-CN"/>
        </w:rPr>
        <w:t>的上市。在</w:t>
      </w:r>
      <w:r>
        <w:rPr>
          <w:lang w:eastAsia="zh-CN"/>
        </w:rPr>
        <w:t>某种程度上讲，这是不可能的，该集团认为，应谨慎行事，不要对</w:t>
      </w:r>
      <w:r>
        <w:rPr>
          <w:lang w:eastAsia="zh-CN"/>
        </w:rPr>
        <w:t>SPAC</w:t>
      </w:r>
      <w:r>
        <w:rPr>
          <w:lang w:eastAsia="zh-CN"/>
        </w:rPr>
        <w:t>提出过于苛刻的要求，以免限制与</w:t>
      </w:r>
      <w:r>
        <w:rPr>
          <w:lang w:eastAsia="zh-CN"/>
        </w:rPr>
        <w:t>SPAC</w:t>
      </w:r>
      <w:r>
        <w:rPr>
          <w:lang w:eastAsia="zh-CN"/>
        </w:rPr>
        <w:t>相关的创新，也不排除香港本地市场。集团提交的两份主要回应，是不应只让专业投资者买卖</w:t>
      </w:r>
      <w:r>
        <w:rPr>
          <w:lang w:eastAsia="zh-CN"/>
        </w:rPr>
        <w:t>SPAC</w:t>
      </w:r>
      <w:r>
        <w:rPr>
          <w:lang w:eastAsia="zh-CN"/>
        </w:rPr>
        <w:t>股份，以及将市值要求由建议的</w:t>
      </w:r>
      <w:r>
        <w:rPr>
          <w:lang w:eastAsia="zh-CN"/>
        </w:rPr>
        <w:t>10</w:t>
      </w:r>
      <w:r>
        <w:rPr>
          <w:lang w:eastAsia="zh-CN"/>
        </w:rPr>
        <w:t>亿港元调低至</w:t>
      </w:r>
      <w:r>
        <w:rPr>
          <w:lang w:eastAsia="zh-CN"/>
        </w:rPr>
        <w:t>5</w:t>
      </w:r>
      <w:r>
        <w:rPr>
          <w:lang w:eastAsia="zh-CN"/>
        </w:rPr>
        <w:t>亿港元。</w:t>
      </w:r>
    </w:p>
    <w:p w:rsidR="00E229A0" w:rsidRDefault="00811FDE">
      <w:pPr>
        <w:pStyle w:val="BodyText"/>
      </w:pPr>
      <w:r>
        <w:rPr>
          <w:lang w:eastAsia="zh-CN"/>
        </w:rPr>
        <w:t>以下是集团就谘询文件主要建议所作的回复摘要。该集团的完整回复可以</w:t>
      </w:r>
      <w:hyperlink r:id="rId11">
        <w:r>
          <w:rPr>
            <w:lang w:eastAsia="zh-CN"/>
          </w:rPr>
          <w:t>访问此处</w:t>
        </w:r>
      </w:hyperlink>
      <w:r>
        <w:rPr>
          <w:lang w:eastAsia="zh-CN"/>
        </w:rPr>
        <w:t>。</w:t>
      </w:r>
      <w:hyperlink w:anchor="footnote-8693-4">
        <w:r>
          <w:rPr>
            <w:vertAlign w:val="superscript"/>
          </w:rPr>
          <w:t>4</w:t>
        </w:r>
      </w:hyperlink>
    </w:p>
    <w:tbl>
      <w:tblPr>
        <w:tblW w:w="5000" w:type="pct"/>
        <w:tblLook w:val="04A0" w:firstRow="1" w:lastRow="0" w:firstColumn="1" w:lastColumn="0" w:noHBand="0" w:noVBand="1"/>
      </w:tblPr>
      <w:tblGrid>
        <w:gridCol w:w="2268"/>
        <w:gridCol w:w="19737"/>
      </w:tblGrid>
      <w:tr w:rsidR="00811FDE" w:rsidRPr="00960225" w:rsidTr="00811FDE">
        <w:tc>
          <w:tcPr>
            <w:tcW w:w="515" w:type="pct"/>
            <w:tcBorders>
              <w:bottom w:val="single" w:sz="0" w:space="0" w:color="auto"/>
            </w:tcBorders>
            <w:vAlign w:val="bottom"/>
          </w:tcPr>
          <w:p w:rsidR="00811FDE" w:rsidRPr="00811FDE" w:rsidRDefault="00811FDE" w:rsidP="00C404E9">
            <w:pPr>
              <w:rPr>
                <w:rFonts w:ascii="DFKai-SB" w:eastAsia="DFKai-SB" w:hAnsi="DFKai-SB"/>
                <w:b/>
                <w:lang w:eastAsia="zh-CN"/>
              </w:rPr>
            </w:pPr>
            <w:r w:rsidRPr="00811FDE">
              <w:rPr>
                <w:rFonts w:ascii="DFKai-SB" w:eastAsia="DFKai-SB" w:hAnsi="DFKai-SB" w:hint="eastAsia"/>
                <w:b/>
                <w:lang w:eastAsia="zh-CN"/>
              </w:rPr>
              <w:t>主题</w:t>
            </w:r>
          </w:p>
        </w:tc>
        <w:tc>
          <w:tcPr>
            <w:tcW w:w="4485" w:type="pct"/>
            <w:tcBorders>
              <w:bottom w:val="single" w:sz="0" w:space="0" w:color="auto"/>
            </w:tcBorders>
            <w:vAlign w:val="bottom"/>
          </w:tcPr>
          <w:p w:rsidR="00811FDE" w:rsidRPr="00811FDE" w:rsidRDefault="00811FDE" w:rsidP="00C404E9">
            <w:pPr>
              <w:rPr>
                <w:rFonts w:ascii="DFKai-SB" w:eastAsia="DFKai-SB" w:hAnsi="DFKai-SB"/>
                <w:b/>
                <w:lang w:eastAsia="zh-CN"/>
              </w:rPr>
            </w:pPr>
            <w:r w:rsidRPr="00811FDE">
              <w:rPr>
                <w:rFonts w:ascii="DFKai-SB" w:eastAsia="DFKai-SB" w:hAnsi="DFKai-SB" w:hint="eastAsia"/>
                <w:b/>
                <w:lang w:eastAsia="zh-CN"/>
              </w:rPr>
              <w:t>集团回复</w:t>
            </w:r>
            <w:bookmarkStart w:id="0" w:name="_GoBack"/>
            <w:bookmarkEnd w:id="0"/>
          </w:p>
        </w:tc>
      </w:tr>
      <w:tr w:rsidR="00811FDE" w:rsidRPr="00960225" w:rsidTr="00811FDE">
        <w:tc>
          <w:tcPr>
            <w:tcW w:w="515" w:type="pct"/>
          </w:tcPr>
          <w:p w:rsidR="00811FDE" w:rsidRPr="00960225" w:rsidRDefault="00811FDE" w:rsidP="00C404E9">
            <w:pPr>
              <w:rPr>
                <w:rFonts w:ascii="DFKai-SB" w:eastAsia="DFKai-SB" w:hAnsi="DFKai-SB"/>
                <w:b/>
                <w:bCs/>
              </w:rPr>
            </w:pPr>
            <w:r w:rsidRPr="00960225">
              <w:rPr>
                <w:rFonts w:ascii="DFKai-SB" w:eastAsia="DFKai-SB" w:hAnsi="DFKai-SB" w:hint="eastAsia"/>
                <w:b/>
                <w:bCs/>
              </w:rPr>
              <w:t>投</w:t>
            </w:r>
            <w:r w:rsidRPr="00960225">
              <w:rPr>
                <w:rFonts w:ascii="DFKai-SB" w:eastAsia="DFKai-SB" w:hAnsi="DFKai-SB" w:hint="eastAsia"/>
                <w:b/>
                <w:bCs/>
                <w:lang w:eastAsia="zh-CN"/>
              </w:rPr>
              <w:t>资</w:t>
            </w:r>
            <w:r w:rsidRPr="00960225">
              <w:rPr>
                <w:rFonts w:ascii="DFKai-SB" w:eastAsia="DFKai-SB" w:hAnsi="DFKai-SB" w:hint="eastAsia"/>
                <w:b/>
                <w:bCs/>
              </w:rPr>
              <w:t>者的</w:t>
            </w:r>
            <w:r w:rsidRPr="00960225">
              <w:rPr>
                <w:rFonts w:ascii="DFKai-SB" w:eastAsia="DFKai-SB" w:hAnsi="DFKai-SB" w:hint="eastAsia"/>
                <w:b/>
                <w:bCs/>
                <w:lang w:eastAsia="zh-CN"/>
              </w:rPr>
              <w:t>资</w:t>
            </w:r>
            <w:r w:rsidRPr="00960225">
              <w:rPr>
                <w:rFonts w:ascii="DFKai-SB" w:eastAsia="DFKai-SB" w:hAnsi="DFKai-SB" w:hint="eastAsia"/>
                <w:b/>
                <w:bCs/>
              </w:rPr>
              <w:t>格</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认为，不应对专业投资者设限，散户投资者应能够在SPAC并购交易之前买卖SPAC的股票。有足够的保障措施来保护投资者—尤其是，投资者的资金由信托机构持有，在发生某些事件时以及在SPAC并购交易时，股东有权赎回。</w:t>
            </w:r>
          </w:p>
        </w:tc>
      </w:tr>
      <w:tr w:rsidR="00811FDE" w:rsidRPr="00960225" w:rsidTr="00811FDE">
        <w:tc>
          <w:tcPr>
            <w:tcW w:w="515" w:type="pct"/>
          </w:tcPr>
          <w:p w:rsidR="00811FDE" w:rsidRPr="00960225" w:rsidRDefault="00811FDE" w:rsidP="00C404E9">
            <w:pPr>
              <w:rPr>
                <w:rFonts w:ascii="DFKai-SB" w:eastAsia="DFKai-SB" w:hAnsi="DFKai-SB"/>
              </w:rPr>
            </w:pPr>
            <w:r w:rsidRPr="00960225">
              <w:rPr>
                <w:rFonts w:ascii="DFKai-SB" w:eastAsia="DFKai-SB" w:hAnsi="DFKai-SB" w:hint="eastAsia"/>
                <w:b/>
                <w:bCs/>
              </w:rPr>
              <w:t>交易安排</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集团同意，在SPAC上市至SPAC并购交易期间，允许SPAC股票和SPAC权证分开买卖。  </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集团不认为SPAC权证必定比谘询文件所暗示的其他权证波动更大。</w:t>
            </w:r>
          </w:p>
        </w:tc>
      </w:tr>
      <w:tr w:rsidR="00811FDE" w:rsidRPr="00960225" w:rsidTr="00811FDE">
        <w:tc>
          <w:tcPr>
            <w:tcW w:w="515" w:type="pct"/>
          </w:tcPr>
          <w:p w:rsidR="00811FDE" w:rsidRPr="00960225" w:rsidRDefault="00811FDE" w:rsidP="00C404E9">
            <w:pPr>
              <w:rPr>
                <w:rFonts w:ascii="DFKai-SB" w:eastAsia="DFKai-SB" w:hAnsi="DFKai-SB"/>
                <w:b/>
                <w:bCs/>
              </w:rPr>
            </w:pPr>
            <w:r w:rsidRPr="00811FDE">
              <w:rPr>
                <w:rFonts w:ascii="DFKai-SB" w:eastAsia="SimSun" w:hAnsi="DFKai-SB" w:hint="eastAsia"/>
                <w:b/>
                <w:bCs/>
                <w:lang w:eastAsia="zh-CN"/>
              </w:rPr>
              <w:t>摊</w:t>
            </w:r>
            <w:r w:rsidRPr="00960225">
              <w:rPr>
                <w:rFonts w:ascii="DFKai-SB" w:eastAsia="DFKai-SB" w:hAnsi="DFKai-SB" w:hint="eastAsia"/>
                <w:b/>
                <w:bCs/>
              </w:rPr>
              <w:t>薄上限</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本集团认为，交易所没有必要对转换发起人股份或行使SPAC权证所可能产生的最大摊薄率设定上限。</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本集团认为，这应由市场来决定，并应在上市文件中充分披露发起人股份转换或行使SPAC权证所产生的最大摊薄。如果交易所打算施加摊薄上限，则应适用交易所《上市规则》下的现有做法。 </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b/>
              </w:rPr>
              <w:t>SPAC</w:t>
            </w:r>
            <w:r w:rsidRPr="00960225">
              <w:rPr>
                <w:rFonts w:ascii="DFKai-SB" w:eastAsia="DFKai-SB" w:hAnsi="DFKai-SB" w:hint="eastAsia"/>
                <w:b/>
                <w:lang w:eastAsia="zh-CN"/>
              </w:rPr>
              <w:t>发起人</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本集团认为没有必要要求每个SPAC 有至少一个SPAC发起人（该发起人为持有证监会颁发的第6类（就机构融资提供意见）及/或第9类（提供资产管理）牌照）。</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按照提议，SPAC将需要指定IPO保荐人。因此每个SPAC发起人必须持有证监会颁发的第6类（就机构融资提供意见）及/或第9类（提供资产管理）牌照）是没有必要的。本集团认为这一要求没有任何合理性，因为尽职审查将由IPO保荐人进行，保荐人将在继任者公司上市至少两个月前正式获得任命。IPO保荐人 须作出声明（以香港交易所《上市规则》附录19的形式），声明除其他事项外：(a)继承公司符合香港交易所《上市规则》第8章的所有条件；以及(b)继承公司的上市文件包含足够的资料，使合理人士能够对继承公司的财务状况和盈利能力形成有效、合理的意见。 </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这些要求也超出了美国、英国和新加坡的要求。有足够的保障措施（包括拟议的IPO保荐人制度）来保护投资者，并确保市场秩序井然，而无须规定只限持有第6类及/或第9类牌照的人士担任发起人。   </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除了上述提交的资料外，本集团不同意SPAC发起人必须满足额外的合适性和资格要求，以及SPAC发起人的品格、经验和诚信必须满足交易所的要求。在这种程度上，集团认为香港发起人可能为一个公司，谘询文件中有关发起人合适性及资格要求的建议可能把很大一部分香港市场排除在外，除了“超大规模投资银行”。集团担心目前形式的提议可能还会将任何希望在SPAC市场发展技能的人排除在香港市场之外。</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集团认为，显而易见的是，SPAC发起人和SPAC并购交易事项的完成需要相同或相似的技能，且要求相同或相似的交易的谈判经验，如上市公司进行大规模收购的谈判及筹划，以及透过筹划、推广、记录及进行详细尽职审查，安排拟根据香港交易所《上市规则》的现行上市机制上市的公司进行首次公开招股</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这些技能和经验在香港随处可见，有鉴于此，应该没有必要将SPAC上市和SPAC并购交易的推广和资助限制在一小部分精选的财务顾问和基金经理身上。  </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lang w:eastAsia="zh-CN"/>
              </w:rPr>
              <w:t>受托人</w:t>
            </w:r>
            <w:r w:rsidRPr="00960225">
              <w:rPr>
                <w:rFonts w:ascii="DFKai-SB" w:eastAsia="DFKai-SB" w:hAnsi="DFKai-SB"/>
                <w:b/>
              </w:rPr>
              <w:t>/</w:t>
            </w:r>
            <w:r w:rsidRPr="00960225">
              <w:rPr>
                <w:rFonts w:ascii="DFKai-SB" w:eastAsia="DFKai-SB" w:hAnsi="DFKai-SB" w:hint="eastAsia"/>
                <w:b/>
                <w:lang w:eastAsia="zh-CN"/>
              </w:rPr>
              <w:t>托管人要求</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本集团同意，SPAC首次公开招股的全部收益，应以现金或现金等价物的形式，存入位于香港的信托帐户。但是，集团认为，拟议的关于受托人/托管人的资格标准限制过严，可以扩大受托人/托管人的类别 。《单位信托及互惠基金守则》第4章对受托人/托管人的要求非常严格。导致只有</w:t>
            </w:r>
            <w:r w:rsidRPr="00960225">
              <w:rPr>
                <w:rFonts w:ascii="DFKai-SB" w:eastAsia="DFKai-SB" w:hAnsi="DFKai-SB"/>
                <w:lang w:eastAsia="zh-CN"/>
              </w:rPr>
              <w:t>(a)</w:t>
            </w:r>
            <w:r w:rsidRPr="00960225">
              <w:rPr>
                <w:rFonts w:ascii="DFKai-SB" w:eastAsia="DFKai-SB" w:hAnsi="DFKai-SB" w:hint="eastAsia"/>
                <w:lang w:eastAsia="zh-CN"/>
              </w:rPr>
              <w:t>《银行业条例》（第155章）中获发牌的银行，</w:t>
            </w:r>
            <w:r w:rsidRPr="00960225">
              <w:rPr>
                <w:rFonts w:ascii="DFKai-SB" w:eastAsia="DFKai-SB" w:hAnsi="DFKai-SB"/>
                <w:lang w:eastAsia="zh-CN"/>
              </w:rPr>
              <w:t>(b)</w:t>
            </w:r>
            <w:r w:rsidRPr="00960225">
              <w:rPr>
                <w:rFonts w:ascii="DFKai-SB" w:eastAsia="DFKai-SB" w:hAnsi="DFKai-SB" w:hint="eastAsia"/>
                <w:lang w:eastAsia="zh-CN"/>
              </w:rPr>
              <w:t>《受托人条例》（第29章）获注册的注册信托公司，为上述(a)类银行的附属银行，或根据《强制性公积金计划条例》（第485章）成为注册强制性公积金计划划受托人的信托公司。因此，合资格的受托人/保管人的类别应更广泛。 例如，该类别可扩大至包括获证监会发牌进行第1类受规管活动（满足额外要求）的法团或注册机构，这已被私募开放式基金公司所采纳。</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此外，为减轻与汇率波动有关的风险，集团认为，首次公开招股筹集的资金应以与发行价格相匹配的货币存放。 </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lang w:eastAsia="zh-CN"/>
              </w:rPr>
              <w:t>募集资金规模</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本集团认为，最低募资规模应为5亿港元，符合交易所《上市规则》第8章的规定。这将使符合交易所《上市规则》首次公开招股要求的企业更有可能通过SPAC的形式上市。</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lang w:eastAsia="zh-CN"/>
              </w:rPr>
              <w:t>独立第三方投资</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本集团不同意交易所应强制SPAC从外部独立私募基金投资者获取资金以完成SPAC并购交易。</w:t>
            </w:r>
            <w:r w:rsidRPr="00960225">
              <w:rPr>
                <w:rFonts w:ascii="DFKai-SB" w:eastAsia="DFKai-SB" w:hAnsi="DFKai-SB"/>
                <w:lang w:eastAsia="zh-CN"/>
              </w:rPr>
              <w:t>集团认为，在某些情况下，任意强加交易要求可能会阻碍SPAC并购交易的结构，并导致不太理想的交易发生。  </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lang w:eastAsia="zh-CN"/>
              </w:rPr>
              <w:t>股东对SPAC并购交易投票</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集团同意，SPAC并购交易必须得到股东的批准。然而，本集团认为，无论股东对谘询文件第352段所列事项（包括对SPAC并购交易进行投票）作出何种投票决定，都应能够赎回其股份。这将与新加坡和美国的做法一致，即允许所有独立股东都有赎回选择权，无论他们的投票决定如何。</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lang w:eastAsia="zh-CN"/>
              </w:rPr>
              <w:t>前瞻性资料</w:t>
            </w:r>
          </w:p>
        </w:tc>
        <w:tc>
          <w:tcPr>
            <w:tcW w:w="4485" w:type="pct"/>
          </w:tcPr>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集团同意，应要求</w:t>
            </w:r>
            <w:r w:rsidRPr="00960225">
              <w:rPr>
                <w:rFonts w:ascii="DFKai-SB" w:eastAsia="DFKai-SB" w:hAnsi="DFKai-SB"/>
                <w:lang w:eastAsia="zh-CN"/>
              </w:rPr>
              <w:t xml:space="preserve"> SPAC</w:t>
            </w:r>
            <w:r w:rsidRPr="00960225">
              <w:rPr>
                <w:rFonts w:ascii="DFKai-SB" w:eastAsia="DFKai-SB" w:hAnsi="DFKai-SB" w:hint="eastAsia"/>
                <w:lang w:eastAsia="zh-CN"/>
              </w:rPr>
              <w:t>遵守为</w:t>
            </w:r>
            <w:r w:rsidRPr="00960225">
              <w:rPr>
                <w:rFonts w:ascii="DFKai-SB" w:eastAsia="DFKai-SB" w:hAnsi="DFKai-SB"/>
                <w:lang w:eastAsia="zh-CN"/>
              </w:rPr>
              <w:t xml:space="preserve"> SPAC</w:t>
            </w:r>
            <w:r w:rsidRPr="00960225">
              <w:rPr>
                <w:rFonts w:ascii="DFKai-SB" w:eastAsia="DFKai-SB" w:hAnsi="DFKai-SB" w:hint="eastAsia"/>
                <w:lang w:eastAsia="zh-CN"/>
              </w:rPr>
              <w:t>并购交易编制的上市文件中所包含的前瞻性陈述的现有要求。 如前所述，交易所现行的《上市规则》应尽可能平等地适用于</w:t>
            </w:r>
            <w:r w:rsidRPr="00960225">
              <w:rPr>
                <w:rFonts w:ascii="DFKai-SB" w:eastAsia="DFKai-SB" w:hAnsi="DFKai-SB"/>
                <w:lang w:eastAsia="zh-CN"/>
              </w:rPr>
              <w:t xml:space="preserve"> SPAC</w:t>
            </w:r>
            <w:r w:rsidRPr="00960225">
              <w:rPr>
                <w:rFonts w:ascii="DFKai-SB" w:eastAsia="DFKai-SB" w:hAnsi="DFKai-SB" w:hint="eastAsia"/>
                <w:lang w:eastAsia="zh-CN"/>
              </w:rPr>
              <w:t>。</w:t>
            </w:r>
          </w:p>
        </w:tc>
      </w:tr>
      <w:tr w:rsidR="00811FDE" w:rsidRPr="00960225" w:rsidTr="00811FDE">
        <w:tc>
          <w:tcPr>
            <w:tcW w:w="515" w:type="pct"/>
          </w:tcPr>
          <w:p w:rsidR="00811FDE" w:rsidRPr="00960225" w:rsidRDefault="00811FDE" w:rsidP="00C404E9">
            <w:pPr>
              <w:rPr>
                <w:rFonts w:ascii="DFKai-SB" w:eastAsia="DFKai-SB" w:hAnsi="DFKai-SB"/>
                <w:lang w:eastAsia="zh-CN"/>
              </w:rPr>
            </w:pPr>
            <w:r w:rsidRPr="00960225">
              <w:rPr>
                <w:rFonts w:ascii="DFKai-SB" w:eastAsia="DFKai-SB" w:hAnsi="DFKai-SB" w:hint="eastAsia"/>
                <w:b/>
                <w:bCs/>
                <w:lang w:eastAsia="zh-CN"/>
              </w:rPr>
              <w:t xml:space="preserve">继承人公司股票的公开市场  </w:t>
            </w:r>
          </w:p>
        </w:tc>
        <w:tc>
          <w:tcPr>
            <w:tcW w:w="4485" w:type="pct"/>
          </w:tcPr>
          <w:p w:rsidR="00811FDE" w:rsidRPr="00960225" w:rsidRDefault="00811FDE" w:rsidP="00C404E9">
            <w:pPr>
              <w:rPr>
                <w:rFonts w:ascii="DFKai-SB" w:eastAsia="DFKai-SB" w:hAnsi="DFKai-SB"/>
                <w:lang w:eastAsia="zh-CN"/>
              </w:rPr>
            </w:pPr>
            <w:r w:rsidRPr="00960225">
              <w:rPr>
                <w:rFonts w:ascii="DFKai-SB" w:eastAsia="DFKai-SB" w:hAnsi="DFKai-SB" w:hint="eastAsia"/>
                <w:lang w:eastAsia="zh-CN"/>
              </w:rPr>
              <w:t xml:space="preserve">集团认为最低市值应减少至5亿港元。 </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 xml:space="preserve">不应限制投资者的类型（即应允许散户投资者在完成SPAC并购交易之前购买和交易SPAC股票）。  </w:t>
            </w:r>
          </w:p>
          <w:p w:rsidR="00811FDE" w:rsidRPr="00960225" w:rsidRDefault="00811FDE" w:rsidP="00C404E9">
            <w:pPr>
              <w:jc w:val="both"/>
              <w:rPr>
                <w:rFonts w:ascii="DFKai-SB" w:eastAsia="DFKai-SB" w:hAnsi="DFKai-SB"/>
                <w:lang w:eastAsia="zh-CN"/>
              </w:rPr>
            </w:pPr>
            <w:r w:rsidRPr="00960225">
              <w:rPr>
                <w:rFonts w:ascii="DFKai-SB" w:eastAsia="DFKai-SB" w:hAnsi="DFKai-SB" w:hint="eastAsia"/>
                <w:lang w:eastAsia="zh-CN"/>
              </w:rPr>
              <w:t>此外，本集团建议继承人公司应拥有至少300名股东，符合目前交易所《上市规则》第8章的要求。 取消专业投资者限制将意味着，这些与股东息差和流动性相关的异常现象和问题将消失。</w:t>
            </w:r>
          </w:p>
        </w:tc>
      </w:tr>
    </w:tbl>
    <w:p w:rsidR="00E229A0" w:rsidRDefault="00811FDE">
      <w:pPr>
        <w:pStyle w:val="BodyText"/>
        <w:rPr>
          <w:lang w:eastAsia="zh-CN"/>
        </w:rPr>
      </w:pPr>
      <w:r>
        <w:rPr>
          <w:lang w:eastAsia="zh-CN"/>
        </w:rPr>
        <w:t>此外，本集团建议继承人公司应拥有至少</w:t>
      </w:r>
      <w:r>
        <w:rPr>
          <w:lang w:eastAsia="zh-CN"/>
        </w:rPr>
        <w:t>300</w:t>
      </w:r>
      <w:r>
        <w:rPr>
          <w:lang w:eastAsia="zh-CN"/>
        </w:rPr>
        <w:t>名股东，符合目前交易所《上市规则》第</w:t>
      </w:r>
      <w:r>
        <w:rPr>
          <w:lang w:eastAsia="zh-CN"/>
        </w:rPr>
        <w:t>8</w:t>
      </w:r>
      <w:r>
        <w:rPr>
          <w:lang w:eastAsia="zh-CN"/>
        </w:rPr>
        <w:t>章的要求。</w:t>
      </w:r>
      <w:r>
        <w:rPr>
          <w:lang w:eastAsia="zh-CN"/>
        </w:rPr>
        <w:t xml:space="preserve"> </w:t>
      </w:r>
      <w:r>
        <w:rPr>
          <w:lang w:eastAsia="zh-CN"/>
        </w:rPr>
        <w:t>取消专业投资者限制将意味着，这些与股东息差和流动性相关的异常现象和问题将消失。</w:t>
      </w:r>
    </w:p>
    <w:p w:rsidR="00E229A0" w:rsidRDefault="00811FDE">
      <w:pPr>
        <w:pStyle w:val="BodyText"/>
        <w:rPr>
          <w:lang w:eastAsia="zh-CN"/>
        </w:rPr>
      </w:pPr>
      <w:r>
        <w:rPr>
          <w:lang w:eastAsia="zh-CN"/>
        </w:rPr>
        <w:t>交易所确认，将很快发布有关</w:t>
      </w:r>
      <w:r>
        <w:rPr>
          <w:lang w:eastAsia="zh-CN"/>
        </w:rPr>
        <w:t>SPAC</w:t>
      </w:r>
      <w:r>
        <w:rPr>
          <w:lang w:eastAsia="zh-CN"/>
        </w:rPr>
        <w:t>在香</w:t>
      </w:r>
      <w:r>
        <w:rPr>
          <w:lang w:eastAsia="zh-CN"/>
        </w:rPr>
        <w:t>港上市的公告，但尚未提供交易所预计公布谘询总结的具体时间表。</w:t>
      </w:r>
    </w:p>
    <w:p w:rsidR="00E229A0" w:rsidRDefault="00811FDE">
      <w:pPr>
        <w:pStyle w:val="BodyText"/>
      </w:pPr>
      <w:hyperlink w:anchor="footnote-8693-1-backlink">
        <w:r>
          <w:t>1</w:t>
        </w:r>
      </w:hyperlink>
      <w:r>
        <w:t xml:space="preserve"> </w:t>
      </w:r>
      <w:hyperlink r:id="rId12">
        <w:r>
          <w:t>https://www.hkex.com.hk/-/media/HKEX-Market/News/Market-Consultations/2016-Present/September-2021-Special-Purpose-Acquisition-Co/Consultation-Paper/cp202109.pdf</w:t>
        </w:r>
      </w:hyperlink>
    </w:p>
    <w:p w:rsidR="00E229A0" w:rsidRDefault="00811FDE">
      <w:pPr>
        <w:pStyle w:val="BodyText"/>
      </w:pPr>
      <w:hyperlink w:anchor="footnote-8693-2-backlink">
        <w:r>
          <w:t>2</w:t>
        </w:r>
      </w:hyperlink>
      <w:r>
        <w:t xml:space="preserve"> </w:t>
      </w:r>
      <w:hyperlink r:id="rId13">
        <w:r>
          <w:t>https://www.charltonslaw.com/our-work/corporate-finance-and-capital-markets/services/listing-in-hong-kong/hk-spacs/</w:t>
        </w:r>
      </w:hyperlink>
    </w:p>
    <w:p w:rsidR="00E229A0" w:rsidRDefault="00811FDE">
      <w:pPr>
        <w:pStyle w:val="BodyText"/>
      </w:pPr>
      <w:hyperlink w:anchor="footnote-8693-3-backlink">
        <w:r>
          <w:t>3</w:t>
        </w:r>
      </w:hyperlink>
      <w:r>
        <w:t xml:space="preserve"> </w:t>
      </w:r>
      <w:hyperlink r:id="rId14">
        <w:r>
          <w:t>https://www.charltonslaw.com/hkex-issues-consultation-paper-on-spacs/</w:t>
        </w:r>
      </w:hyperlink>
    </w:p>
    <w:p w:rsidR="00E229A0" w:rsidRDefault="00811FDE">
      <w:pPr>
        <w:pStyle w:val="BodyText"/>
      </w:pPr>
      <w:hyperlink w:anchor="footnote-8693-4-backlink">
        <w:r>
          <w:t>4</w:t>
        </w:r>
      </w:hyperlink>
      <w:r>
        <w:t xml:space="preserve"> </w:t>
      </w:r>
      <w:hyperlink r:id="rId15">
        <w:r>
          <w:t>https://www.charltonslaw.com/our-work/corporate-finance-and-capital-markets/services/listing-in-hong-kong/hk-spacs/</w:t>
        </w:r>
      </w:hyperlink>
    </w:p>
    <w:p w:rsidR="00E229A0" w:rsidRDefault="00811FDE">
      <w:pPr>
        <w:pStyle w:val="DisclaimerBold"/>
        <w:rPr>
          <w:lang w:eastAsia="zh-CN"/>
        </w:rPr>
      </w:pPr>
      <w:r>
        <w:rPr>
          <w:lang w:eastAsia="zh-CN"/>
        </w:rPr>
        <w:t>此法讯仅为提供相关资料信息之用，其内容并</w:t>
      </w:r>
    </w:p>
    <w:p w:rsidR="00E229A0" w:rsidRDefault="00811FDE">
      <w:pPr>
        <w:pStyle w:val="Disclaimer"/>
        <w:rPr>
          <w:lang w:eastAsia="zh-CN"/>
        </w:rPr>
      </w:pPr>
      <w:r>
        <w:rPr>
          <w:lang w:eastAsia="zh-CN"/>
        </w:rPr>
        <w:t>不构成法律建议及个案的法律分析。</w:t>
      </w:r>
    </w:p>
    <w:p w:rsidR="00E229A0" w:rsidRDefault="00811FDE">
      <w:pPr>
        <w:pStyle w:val="Disclaimer"/>
        <w:rPr>
          <w:lang w:eastAsia="zh-CN"/>
        </w:rPr>
      </w:pPr>
      <w:r>
        <w:rPr>
          <w:lang w:eastAsia="zh-CN"/>
        </w:rPr>
        <w:t>此法讯的发送并不是为了在易</w:t>
      </w:r>
      <w:r>
        <w:rPr>
          <w:lang w:eastAsia="zh-CN"/>
        </w:rPr>
        <w:t>周律师行与用户或浏览者之间建立一种律师与客户之关系。</w:t>
      </w:r>
    </w:p>
    <w:p w:rsidR="00E229A0" w:rsidRDefault="00811FDE">
      <w:pPr>
        <w:pStyle w:val="Disclaimer"/>
        <w:rPr>
          <w:lang w:eastAsia="zh-CN"/>
        </w:rPr>
      </w:pPr>
      <w:r>
        <w:rPr>
          <w:lang w:eastAsia="zh-CN"/>
        </w:rPr>
        <w:t>易周律师行并不对可从互联网获得的任何第三方内容负责。</w:t>
      </w:r>
    </w:p>
    <w:p w:rsidR="00E229A0" w:rsidRDefault="00811FDE">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E229A0" w:rsidRDefault="00811FDE">
      <w:pPr>
        <w:pStyle w:val="BlackStrips"/>
      </w:pPr>
      <w:r>
        <w:t xml:space="preserve">Charltons - </w:t>
      </w:r>
      <w:r>
        <w:t>香港法律</w:t>
      </w:r>
      <w:r>
        <w:t xml:space="preserve"> - 2022</w:t>
      </w:r>
      <w:r>
        <w:t>年</w:t>
      </w:r>
      <w:r>
        <w:t>3</w:t>
      </w:r>
      <w:r>
        <w:t>月</w:t>
      </w:r>
      <w:r>
        <w:t>15</w:t>
      </w:r>
      <w:r>
        <w:t>日</w:t>
      </w:r>
    </w:p>
    <w:sectPr w:rsidR="00E229A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1FDE">
      <w:pPr>
        <w:spacing w:after="0"/>
      </w:pPr>
      <w:r>
        <w:separator/>
      </w:r>
    </w:p>
  </w:endnote>
  <w:endnote w:type="continuationSeparator" w:id="0">
    <w:p w:rsidR="00000000" w:rsidRDefault="00811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DFKai-SB">
    <w:altName w:val="Microsoft JhengHei Light"/>
    <w:charset w:val="88"/>
    <w:family w:val="script"/>
    <w:pitch w:val="fixed"/>
    <w:sig w:usb0="00000000"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A0" w:rsidRDefault="00811FDE">
      <w:r>
        <w:separator/>
      </w:r>
    </w:p>
  </w:footnote>
  <w:footnote w:type="continuationSeparator" w:id="0">
    <w:p w:rsidR="00E229A0" w:rsidRDefault="0081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525046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7EB436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11FDE"/>
    <w:rsid w:val="008D6863"/>
    <w:rsid w:val="00B86B75"/>
    <w:rsid w:val="00BC48D5"/>
    <w:rsid w:val="00C36279"/>
    <w:rsid w:val="00E229A0"/>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04B53-CF02-460B-A457-B60E1D7B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September-2021-Special-Purpose-Acquisition-Co/Consultation-Paper/cp202109.pdf" TargetMode="External"/><Relationship Id="rId13" Type="http://schemas.openxmlformats.org/officeDocument/2006/relationships/hyperlink" Target="https://www.charltonslaw.com/our-work/corporate-finance-and-capital-markets/services/listing-in-hong-kong/hk-spa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yi-zhou-lu-shi-xing-dai-biao-7jia-qi-ye-jin-rong-gong-si-dui-jiao-yi-suo-spaczi-xun-wen-jian-hui-fu" TargetMode="External"/><Relationship Id="rId12" Type="http://schemas.openxmlformats.org/officeDocument/2006/relationships/hyperlink" Target="https://www.hkex.com.hk/-/media/HKEX-Market/News/Market-Consultations/2016-Present/September-2021-Special-Purpose-Acquisition-Co/Consultation-Paper/cp20210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our-work/corporate-finance-and-capital-markets/services/listing-in-hong-kong/hk-spacs/" TargetMode="External"/><Relationship Id="rId5" Type="http://schemas.openxmlformats.org/officeDocument/2006/relationships/footnotes" Target="footnotes.xml"/><Relationship Id="rId15" Type="http://schemas.openxmlformats.org/officeDocument/2006/relationships/hyperlink" Target="https://www.charltonslaw.com/our-work/corporate-finance-and-capital-markets/services/listing-in-hong-kong/hk-spacs/" TargetMode="External"/><Relationship Id="rId10" Type="http://schemas.openxmlformats.org/officeDocument/2006/relationships/hyperlink" Target="https://www.charltonslaw.com/hkex-issues-consultation-paper-on-spacs/" TargetMode="External"/><Relationship Id="rId4" Type="http://schemas.openxmlformats.org/officeDocument/2006/relationships/webSettings" Target="webSettings.xml"/><Relationship Id="rId9" Type="http://schemas.openxmlformats.org/officeDocument/2006/relationships/hyperlink" Target="https://www.charltonslaw.com/our-work/corporate-finance-and-capital-markets/services/listing-in-hong-kong/hk-spacs/" TargetMode="External"/><Relationship Id="rId14" Type="http://schemas.openxmlformats.org/officeDocument/2006/relationships/hyperlink" Target="https://www.charltonslaw.com/hkex-issues-consultation-paper-on-spa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2022-03-15T08:34:00Z</dcterms:created>
  <dcterms:modified xsi:type="dcterms:W3CDTF">2022-03-15T08:36:00Z</dcterms:modified>
</cp:coreProperties>
</file>