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D0" w:rsidRDefault="000A5B04">
      <w:pPr>
        <w:pStyle w:val="BlackStrips"/>
      </w:pPr>
      <w:r>
        <w:t xml:space="preserve">Charltons - </w:t>
      </w:r>
      <w:r>
        <w:t>香港法律</w:t>
      </w:r>
      <w:r>
        <w:t xml:space="preserve"> - 2023</w:t>
      </w:r>
      <w:r>
        <w:t>年</w:t>
      </w:r>
      <w:r>
        <w:t>2</w:t>
      </w:r>
      <w:r>
        <w:t>月</w:t>
      </w:r>
      <w:r>
        <w:t>23</w:t>
      </w:r>
      <w:r>
        <w:t>日</w:t>
      </w:r>
    </w:p>
    <w:p w:rsidR="006E11D0" w:rsidRDefault="000A5B04">
      <w:pPr>
        <w:pStyle w:val="ReadOnline"/>
        <w:rPr>
          <w:lang w:eastAsia="zh-CN"/>
        </w:rPr>
      </w:pPr>
      <w:hyperlink r:id="rId7">
        <w:r>
          <w:rPr>
            <w:lang w:eastAsia="zh-CN"/>
          </w:rPr>
          <w:t>online version</w:t>
        </w:r>
      </w:hyperlink>
    </w:p>
    <w:p w:rsidR="006E11D0" w:rsidRDefault="000A5B04">
      <w:pPr>
        <w:pStyle w:val="Title"/>
        <w:rPr>
          <w:lang w:eastAsia="zh-CN"/>
        </w:rPr>
      </w:pPr>
      <w:r>
        <w:rPr>
          <w:lang w:eastAsia="zh-CN"/>
        </w:rPr>
        <w:t>香港证监会及香港交易所于</w:t>
      </w:r>
      <w:r>
        <w:rPr>
          <w:lang w:eastAsia="zh-CN"/>
        </w:rPr>
        <w:t>2022</w:t>
      </w:r>
      <w:r>
        <w:rPr>
          <w:lang w:eastAsia="zh-CN"/>
        </w:rPr>
        <w:t>年</w:t>
      </w:r>
      <w:r>
        <w:rPr>
          <w:lang w:eastAsia="zh-CN"/>
        </w:rPr>
        <w:t>5</w:t>
      </w:r>
      <w:r>
        <w:rPr>
          <w:lang w:eastAsia="zh-CN"/>
        </w:rPr>
        <w:t>月份采取的纪律行动</w:t>
      </w:r>
    </w:p>
    <w:p w:rsidR="006E11D0" w:rsidRDefault="000A5B04">
      <w:pPr>
        <w:pStyle w:val="FirstParagraph"/>
        <w:rPr>
          <w:lang w:eastAsia="zh-CN"/>
        </w:rPr>
      </w:pPr>
      <w:r>
        <w:rPr>
          <w:lang w:eastAsia="zh-CN"/>
        </w:rPr>
        <w:t>2022</w:t>
      </w:r>
      <w:r>
        <w:rPr>
          <w:lang w:eastAsia="zh-CN"/>
        </w:rPr>
        <w:t>年</w:t>
      </w:r>
      <w:r>
        <w:rPr>
          <w:lang w:eastAsia="zh-CN"/>
        </w:rPr>
        <w:t>5</w:t>
      </w:r>
      <w:r>
        <w:rPr>
          <w:lang w:eastAsia="zh-CN"/>
        </w:rPr>
        <w:t>月，香港联合交易所有限公司（</w:t>
      </w:r>
      <w:r>
        <w:rPr>
          <w:b/>
          <w:lang w:eastAsia="zh-CN"/>
        </w:rPr>
        <w:t>香港交易所</w:t>
      </w:r>
      <w:r>
        <w:rPr>
          <w:lang w:eastAsia="zh-CN"/>
        </w:rPr>
        <w:t>）刊发了</w:t>
      </w:r>
      <w:r>
        <w:rPr>
          <w:lang w:eastAsia="zh-CN"/>
        </w:rPr>
        <w:t>4</w:t>
      </w:r>
      <w:r>
        <w:rPr>
          <w:lang w:eastAsia="zh-CN"/>
        </w:rPr>
        <w:t>份纪律行动。第一份是香港交易所因应五洲国际控股有限公司及</w:t>
      </w:r>
      <w:r>
        <w:rPr>
          <w:lang w:eastAsia="zh-CN"/>
        </w:rPr>
        <w:t>9</w:t>
      </w:r>
      <w:r>
        <w:rPr>
          <w:lang w:eastAsia="zh-CN"/>
        </w:rPr>
        <w:t>名有关董事在以下相关方面的若干违规事项对其采取的纪律行动：违反《上市规则》规定中须予公布的关联交易规定，原因是其未能竭力促使该公司遵守《上市规则》以及未能确保该公司设立及维持足够及有效的内部监控系统。第二份纪律行动针对的是华建控股有限公司两名董事，原因是该公司及该等董事未有采取行动保障该公司利益以及确保该公司实施及维持充足及有效的内部监控措施。香港交易所采取了针对富一国际控股有限公司及其九名董事的纪律行动，原因是该公司及该等董事未有遵守并促</w:t>
      </w:r>
      <w:r>
        <w:rPr>
          <w:lang w:eastAsia="zh-CN"/>
        </w:rPr>
        <w:t>使该公司遵守《上市规则》规定以及确保该公司维持充足及有效的内部监控系统。香港交易所采取的第四份纪律行动是针对华营建筑集团控股有限公司、其</w:t>
      </w:r>
      <w:r>
        <w:rPr>
          <w:lang w:eastAsia="zh-CN"/>
        </w:rPr>
        <w:t>6</w:t>
      </w:r>
      <w:r>
        <w:rPr>
          <w:lang w:eastAsia="zh-CN"/>
        </w:rPr>
        <w:t>名董事及浙江省国有资本运营有限公司的，原因是其未在首次公开发售招股章程中（及向香港交易所）披露重组协议以及违反为期</w:t>
      </w:r>
      <w:r>
        <w:rPr>
          <w:lang w:eastAsia="zh-CN"/>
        </w:rPr>
        <w:t>6</w:t>
      </w:r>
      <w:r>
        <w:rPr>
          <w:lang w:eastAsia="zh-CN"/>
        </w:rPr>
        <w:t>个月的上市后出售限制规定。</w:t>
      </w:r>
    </w:p>
    <w:p w:rsidR="006E11D0" w:rsidRDefault="000A5B04">
      <w:pPr>
        <w:pStyle w:val="BodyText"/>
        <w:rPr>
          <w:lang w:eastAsia="zh-CN"/>
        </w:rPr>
      </w:pPr>
      <w:r>
        <w:t>2022</w:t>
      </w:r>
      <w:r>
        <w:t>年</w:t>
      </w:r>
      <w:r>
        <w:t>5</w:t>
      </w:r>
      <w:r>
        <w:t>月，原讼法庭应证券及期货事务监察委员会（</w:t>
      </w:r>
      <w:r>
        <w:rPr>
          <w:b/>
        </w:rPr>
        <w:t>证监会</w:t>
      </w:r>
      <w:r>
        <w:t>）的申请，对</w:t>
      </w:r>
      <w:r>
        <w:t>DFRF Enterprises LLC</w:t>
      </w:r>
      <w:r>
        <w:t>及</w:t>
      </w:r>
      <w:r>
        <w:t>DFRF Enterprises, LLC</w:t>
      </w:r>
      <w:r>
        <w:t>以及这两家公司的创办人</w:t>
      </w:r>
      <w:r>
        <w:t>Daniel Fernande</w:t>
      </w:r>
      <w:bookmarkStart w:id="0" w:name="_GoBack"/>
      <w:bookmarkEnd w:id="0"/>
      <w:r>
        <w:t>s Rojo Filho</w:t>
      </w:r>
      <w:r>
        <w:t>（男）作出命令，饬令他们向一宗全球性层压式及庞氏骗局的香港受害者作出赔偿。</w:t>
      </w:r>
      <w:r>
        <w:rPr>
          <w:lang w:eastAsia="zh-CN"/>
        </w:rPr>
        <w:t>证监会于</w:t>
      </w:r>
      <w:r>
        <w:rPr>
          <w:lang w:eastAsia="zh-CN"/>
        </w:rPr>
        <w:t>2022</w:t>
      </w:r>
      <w:r>
        <w:rPr>
          <w:lang w:eastAsia="zh-CN"/>
        </w:rPr>
        <w:t>年</w:t>
      </w:r>
      <w:r>
        <w:rPr>
          <w:lang w:eastAsia="zh-CN"/>
        </w:rPr>
        <w:t>5</w:t>
      </w:r>
      <w:r>
        <w:rPr>
          <w:lang w:eastAsia="zh-CN"/>
        </w:rPr>
        <w:t>月份采取了另一项纪律行动，结果是证监会因应何柏熙挪用及不当使用合共</w:t>
      </w:r>
      <w:r>
        <w:rPr>
          <w:lang w:eastAsia="zh-CN"/>
        </w:rPr>
        <w:t>180</w:t>
      </w:r>
      <w:r>
        <w:rPr>
          <w:lang w:eastAsia="zh-CN"/>
        </w:rPr>
        <w:t>万港元款项终身禁止其重投业界。</w:t>
      </w:r>
    </w:p>
    <w:p w:rsidR="006E11D0" w:rsidRDefault="000A5B04">
      <w:pPr>
        <w:pStyle w:val="BodyText"/>
        <w:rPr>
          <w:lang w:eastAsia="zh-CN"/>
        </w:rPr>
      </w:pPr>
      <w:r>
        <w:rPr>
          <w:lang w:eastAsia="zh-CN"/>
        </w:rPr>
        <w:t>香港交易所针对五洲国际控股有限公司及</w:t>
      </w:r>
      <w:r>
        <w:rPr>
          <w:lang w:eastAsia="zh-CN"/>
        </w:rPr>
        <w:t>9</w:t>
      </w:r>
      <w:r>
        <w:rPr>
          <w:lang w:eastAsia="zh-CN"/>
        </w:rPr>
        <w:t>名前董事采取的纪律行动</w:t>
      </w:r>
    </w:p>
    <w:p w:rsidR="006E11D0" w:rsidRDefault="000A5B04">
      <w:pPr>
        <w:pStyle w:val="BodyText"/>
        <w:rPr>
          <w:lang w:eastAsia="zh-CN"/>
        </w:rPr>
      </w:pPr>
      <w:r>
        <w:rPr>
          <w:lang w:eastAsia="zh-CN"/>
        </w:rPr>
        <w:t>2022</w:t>
      </w:r>
      <w:r>
        <w:rPr>
          <w:lang w:eastAsia="zh-CN"/>
        </w:rPr>
        <w:t>年</w:t>
      </w:r>
      <w:r>
        <w:rPr>
          <w:lang w:eastAsia="zh-CN"/>
        </w:rPr>
        <w:t>5</w:t>
      </w:r>
      <w:r>
        <w:rPr>
          <w:lang w:eastAsia="zh-CN"/>
        </w:rPr>
        <w:t>月</w:t>
      </w:r>
      <w:r>
        <w:rPr>
          <w:lang w:eastAsia="zh-CN"/>
        </w:rPr>
        <w:t>5</w:t>
      </w:r>
      <w:r>
        <w:rPr>
          <w:lang w:eastAsia="zh-CN"/>
        </w:rPr>
        <w:t>日，香港交易所谴责五洲国际控股有限公司（</w:t>
      </w:r>
      <w:r>
        <w:rPr>
          <w:b/>
          <w:lang w:eastAsia="zh-CN"/>
        </w:rPr>
        <w:t>五洲</w:t>
      </w:r>
      <w:r>
        <w:rPr>
          <w:lang w:eastAsia="zh-CN"/>
        </w:rPr>
        <w:t>），并向两位人士作出损害投资者权益声明</w:t>
      </w:r>
      <w:r>
        <w:rPr>
          <w:lang w:eastAsia="zh-CN"/>
        </w:rPr>
        <w:t>——</w:t>
      </w:r>
      <w:r>
        <w:rPr>
          <w:lang w:eastAsia="zh-CN"/>
        </w:rPr>
        <w:t>该公司前主席兼执行董事（舒策城先生），以及该公司前主席、行政总裁兼执行董事（舒策丸先生）。同一天，香港交易所批评了该公司其他</w:t>
      </w:r>
      <w:r>
        <w:rPr>
          <w:lang w:eastAsia="zh-CN"/>
        </w:rPr>
        <w:t>7</w:t>
      </w:r>
      <w:r>
        <w:rPr>
          <w:lang w:eastAsia="zh-CN"/>
        </w:rPr>
        <w:t>名前董事（曾任该公司执行</w:t>
      </w:r>
      <w:r>
        <w:rPr>
          <w:lang w:eastAsia="zh-CN"/>
        </w:rPr>
        <w:t>董事或者独立非执行董事（</w:t>
      </w:r>
      <w:r>
        <w:rPr>
          <w:b/>
          <w:lang w:eastAsia="zh-CN"/>
        </w:rPr>
        <w:t>独立非执行董事</w:t>
      </w:r>
      <w:r>
        <w:rPr>
          <w:lang w:eastAsia="zh-CN"/>
        </w:rPr>
        <w:t>）），并指令他们须完成有关监管及法律议题以及《上市规则》合规事宜的培训。香港交易所的这两份《纪律行动声明》分别载列于香港交易所网站</w:t>
      </w:r>
      <w:hyperlink r:id="rId8">
        <w:r>
          <w:rPr>
            <w:lang w:eastAsia="zh-CN"/>
          </w:rPr>
          <w:t>此处</w:t>
        </w:r>
      </w:hyperlink>
      <w:r>
        <w:rPr>
          <w:lang w:eastAsia="zh-CN"/>
        </w:rPr>
        <w:t>及</w:t>
      </w:r>
      <w:hyperlink r:id="rId9">
        <w:r>
          <w:rPr>
            <w:lang w:eastAsia="zh-CN"/>
          </w:rPr>
          <w:t>此处</w:t>
        </w:r>
      </w:hyperlink>
      <w:r>
        <w:rPr>
          <w:lang w:eastAsia="zh-CN"/>
        </w:rPr>
        <w:t>。</w:t>
      </w:r>
    </w:p>
    <w:p w:rsidR="006E11D0" w:rsidRDefault="000A5B04">
      <w:pPr>
        <w:pStyle w:val="BodyText"/>
        <w:rPr>
          <w:lang w:eastAsia="zh-CN"/>
        </w:rPr>
      </w:pPr>
      <w:r>
        <w:rPr>
          <w:lang w:eastAsia="zh-CN"/>
        </w:rPr>
        <w:t>未公布的出售事项</w:t>
      </w:r>
    </w:p>
    <w:p w:rsidR="006E11D0" w:rsidRDefault="000A5B04">
      <w:pPr>
        <w:pStyle w:val="BodyText"/>
        <w:rPr>
          <w:lang w:eastAsia="zh-CN"/>
        </w:rPr>
      </w:pPr>
      <w:r>
        <w:rPr>
          <w:lang w:eastAsia="zh-CN"/>
        </w:rPr>
        <w:t>于</w:t>
      </w:r>
      <w:r>
        <w:rPr>
          <w:lang w:eastAsia="zh-CN"/>
        </w:rPr>
        <w:t>2017</w:t>
      </w:r>
      <w:r>
        <w:rPr>
          <w:lang w:eastAsia="zh-CN"/>
        </w:rPr>
        <w:t>年</w:t>
      </w:r>
      <w:r>
        <w:rPr>
          <w:lang w:eastAsia="zh-CN"/>
        </w:rPr>
        <w:t>1</w:t>
      </w:r>
      <w:r>
        <w:rPr>
          <w:lang w:eastAsia="zh-CN"/>
        </w:rPr>
        <w:t>月</w:t>
      </w:r>
      <w:r>
        <w:rPr>
          <w:lang w:eastAsia="zh-CN"/>
        </w:rPr>
        <w:t>21</w:t>
      </w:r>
      <w:r>
        <w:rPr>
          <w:lang w:eastAsia="zh-CN"/>
        </w:rPr>
        <w:t>日，五洲的非全资附属公司无锡洲越商业发展有限公司（</w:t>
      </w:r>
      <w:r>
        <w:rPr>
          <w:b/>
          <w:lang w:eastAsia="zh-CN"/>
        </w:rPr>
        <w:t>无锡洲越</w:t>
      </w:r>
      <w:r>
        <w:rPr>
          <w:lang w:eastAsia="zh-CN"/>
        </w:rPr>
        <w:t>）订立协议，收购</w:t>
      </w:r>
      <w:r>
        <w:rPr>
          <w:lang w:eastAsia="zh-CN"/>
        </w:rPr>
        <w:t>3</w:t>
      </w:r>
      <w:r>
        <w:rPr>
          <w:lang w:eastAsia="zh-CN"/>
        </w:rPr>
        <w:t>家公司的所有股权（</w:t>
      </w:r>
      <w:r>
        <w:rPr>
          <w:b/>
          <w:lang w:eastAsia="zh-CN"/>
        </w:rPr>
        <w:t>收购事项</w:t>
      </w:r>
      <w:r>
        <w:rPr>
          <w:lang w:eastAsia="zh-CN"/>
        </w:rPr>
        <w:t>）。经过</w:t>
      </w:r>
      <w:r>
        <w:rPr>
          <w:lang w:eastAsia="zh-CN"/>
        </w:rPr>
        <w:t>15</w:t>
      </w:r>
      <w:r>
        <w:rPr>
          <w:lang w:eastAsia="zh-CN"/>
        </w:rPr>
        <w:t>个月的延迟</w:t>
      </w:r>
      <w:r>
        <w:rPr>
          <w:lang w:eastAsia="zh-CN"/>
        </w:rPr>
        <w:t>，五洲于</w:t>
      </w:r>
      <w:r>
        <w:rPr>
          <w:lang w:eastAsia="zh-CN"/>
        </w:rPr>
        <w:t>2018</w:t>
      </w:r>
      <w:r>
        <w:rPr>
          <w:lang w:eastAsia="zh-CN"/>
        </w:rPr>
        <w:t>年</w:t>
      </w:r>
      <w:r>
        <w:rPr>
          <w:lang w:eastAsia="zh-CN"/>
        </w:rPr>
        <w:t>5</w:t>
      </w:r>
      <w:r>
        <w:rPr>
          <w:lang w:eastAsia="zh-CN"/>
        </w:rPr>
        <w:t>月</w:t>
      </w:r>
      <w:r>
        <w:rPr>
          <w:lang w:eastAsia="zh-CN"/>
        </w:rPr>
        <w:t>7</w:t>
      </w:r>
      <w:r>
        <w:rPr>
          <w:lang w:eastAsia="zh-CN"/>
        </w:rPr>
        <w:t>日公布收购事项。</w:t>
      </w:r>
    </w:p>
    <w:p w:rsidR="006E11D0" w:rsidRDefault="000A5B04">
      <w:pPr>
        <w:pStyle w:val="BodyText"/>
        <w:rPr>
          <w:lang w:eastAsia="zh-CN"/>
        </w:rPr>
      </w:pPr>
      <w:r>
        <w:rPr>
          <w:lang w:eastAsia="zh-CN"/>
        </w:rPr>
        <w:t>于</w:t>
      </w:r>
      <w:r>
        <w:rPr>
          <w:lang w:eastAsia="zh-CN"/>
        </w:rPr>
        <w:t>2017</w:t>
      </w:r>
      <w:r>
        <w:rPr>
          <w:lang w:eastAsia="zh-CN"/>
        </w:rPr>
        <w:t>年</w:t>
      </w:r>
      <w:r>
        <w:rPr>
          <w:lang w:eastAsia="zh-CN"/>
        </w:rPr>
        <w:t>11</w:t>
      </w:r>
      <w:r>
        <w:rPr>
          <w:lang w:eastAsia="zh-CN"/>
        </w:rPr>
        <w:t>月</w:t>
      </w:r>
      <w:r>
        <w:rPr>
          <w:lang w:eastAsia="zh-CN"/>
        </w:rPr>
        <w:t>29</w:t>
      </w:r>
      <w:r>
        <w:rPr>
          <w:lang w:eastAsia="zh-CN"/>
        </w:rPr>
        <w:t>日，五洲的全资附属公司订立协议，出售其于无锡洲越所持有的</w:t>
      </w:r>
      <w:r>
        <w:rPr>
          <w:lang w:eastAsia="zh-CN"/>
        </w:rPr>
        <w:t>60%</w:t>
      </w:r>
      <w:r>
        <w:rPr>
          <w:lang w:eastAsia="zh-CN"/>
        </w:rPr>
        <w:t>股权中合共</w:t>
      </w:r>
      <w:r>
        <w:rPr>
          <w:lang w:eastAsia="zh-CN"/>
        </w:rPr>
        <w:t>51%</w:t>
      </w:r>
      <w:r>
        <w:rPr>
          <w:lang w:eastAsia="zh-CN"/>
        </w:rPr>
        <w:t>的股权。经过五个月的延迟，五洲于</w:t>
      </w:r>
      <w:r>
        <w:rPr>
          <w:lang w:eastAsia="zh-CN"/>
        </w:rPr>
        <w:t xml:space="preserve"> 2018</w:t>
      </w:r>
      <w:r>
        <w:rPr>
          <w:lang w:eastAsia="zh-CN"/>
        </w:rPr>
        <w:t>年</w:t>
      </w:r>
      <w:r>
        <w:rPr>
          <w:lang w:eastAsia="zh-CN"/>
        </w:rPr>
        <w:t>5</w:t>
      </w:r>
      <w:r>
        <w:rPr>
          <w:lang w:eastAsia="zh-CN"/>
        </w:rPr>
        <w:t>月</w:t>
      </w:r>
      <w:r>
        <w:rPr>
          <w:lang w:eastAsia="zh-CN"/>
        </w:rPr>
        <w:t xml:space="preserve"> 7</w:t>
      </w:r>
      <w:r>
        <w:rPr>
          <w:lang w:eastAsia="zh-CN"/>
        </w:rPr>
        <w:t>日公布该出售事项。</w:t>
      </w:r>
    </w:p>
    <w:p w:rsidR="006E11D0" w:rsidRDefault="000A5B04">
      <w:pPr>
        <w:pStyle w:val="BodyText"/>
        <w:rPr>
          <w:lang w:eastAsia="zh-CN"/>
        </w:rPr>
      </w:pPr>
      <w:r>
        <w:rPr>
          <w:lang w:eastAsia="zh-CN"/>
        </w:rPr>
        <w:t>于</w:t>
      </w:r>
      <w:r>
        <w:rPr>
          <w:lang w:eastAsia="zh-CN"/>
        </w:rPr>
        <w:t>2017</w:t>
      </w:r>
      <w:r>
        <w:rPr>
          <w:lang w:eastAsia="zh-CN"/>
        </w:rPr>
        <w:t>年</w:t>
      </w:r>
      <w:r>
        <w:rPr>
          <w:lang w:eastAsia="zh-CN"/>
        </w:rPr>
        <w:t>12</w:t>
      </w:r>
      <w:r>
        <w:rPr>
          <w:lang w:eastAsia="zh-CN"/>
        </w:rPr>
        <w:t>月</w:t>
      </w:r>
      <w:r>
        <w:rPr>
          <w:lang w:eastAsia="zh-CN"/>
        </w:rPr>
        <w:t>25</w:t>
      </w:r>
      <w:r>
        <w:rPr>
          <w:lang w:eastAsia="zh-CN"/>
        </w:rPr>
        <w:t>日，五洲的四家附属公司（其中两家为全资拥有）订立协议，出售另一家公司的所有股权，代价为</w:t>
      </w:r>
      <w:r>
        <w:rPr>
          <w:lang w:eastAsia="zh-CN"/>
        </w:rPr>
        <w:t>3.5</w:t>
      </w:r>
      <w:r>
        <w:rPr>
          <w:lang w:eastAsia="zh-CN"/>
        </w:rPr>
        <w:t>亿元人民币。经过约八个月的延迟，五洲于</w:t>
      </w:r>
      <w:r>
        <w:rPr>
          <w:lang w:eastAsia="zh-CN"/>
        </w:rPr>
        <w:t>2018</w:t>
      </w:r>
      <w:r>
        <w:rPr>
          <w:lang w:eastAsia="zh-CN"/>
        </w:rPr>
        <w:t>年</w:t>
      </w:r>
      <w:r>
        <w:rPr>
          <w:lang w:eastAsia="zh-CN"/>
        </w:rPr>
        <w:t>8</w:t>
      </w:r>
      <w:r>
        <w:rPr>
          <w:lang w:eastAsia="zh-CN"/>
        </w:rPr>
        <w:t>月</w:t>
      </w:r>
      <w:r>
        <w:rPr>
          <w:lang w:eastAsia="zh-CN"/>
        </w:rPr>
        <w:t>20</w:t>
      </w:r>
      <w:r>
        <w:rPr>
          <w:lang w:eastAsia="zh-CN"/>
        </w:rPr>
        <w:t>日公布此第二项出售事项。</w:t>
      </w:r>
    </w:p>
    <w:p w:rsidR="006E11D0" w:rsidRDefault="000A5B04">
      <w:pPr>
        <w:pStyle w:val="BodyText"/>
        <w:rPr>
          <w:lang w:eastAsia="zh-CN"/>
        </w:rPr>
      </w:pPr>
      <w:r>
        <w:rPr>
          <w:lang w:eastAsia="zh-CN"/>
        </w:rPr>
        <w:t>2017</w:t>
      </w:r>
      <w:r>
        <w:rPr>
          <w:lang w:eastAsia="zh-CN"/>
        </w:rPr>
        <w:t>年</w:t>
      </w:r>
      <w:r>
        <w:rPr>
          <w:lang w:eastAsia="zh-CN"/>
        </w:rPr>
        <w:t>12</w:t>
      </w:r>
      <w:r>
        <w:rPr>
          <w:lang w:eastAsia="zh-CN"/>
        </w:rPr>
        <w:t>月进行的第二项出售事项的协议订明，须在买方悉数支付代价的最后期限（</w:t>
      </w:r>
      <w:r>
        <w:rPr>
          <w:lang w:eastAsia="zh-CN"/>
        </w:rPr>
        <w:t>2018</w:t>
      </w:r>
      <w:r>
        <w:rPr>
          <w:lang w:eastAsia="zh-CN"/>
        </w:rPr>
        <w:t>年</w:t>
      </w:r>
      <w:r>
        <w:rPr>
          <w:lang w:eastAsia="zh-CN"/>
        </w:rPr>
        <w:t>1</w:t>
      </w:r>
      <w:r>
        <w:rPr>
          <w:lang w:eastAsia="zh-CN"/>
        </w:rPr>
        <w:t>月</w:t>
      </w:r>
      <w:r>
        <w:rPr>
          <w:lang w:eastAsia="zh-CN"/>
        </w:rPr>
        <w:t>15</w:t>
      </w:r>
      <w:r>
        <w:rPr>
          <w:lang w:eastAsia="zh-CN"/>
        </w:rPr>
        <w:t>日）</w:t>
      </w:r>
      <w:r>
        <w:rPr>
          <w:lang w:eastAsia="zh-CN"/>
        </w:rPr>
        <w:t>前，于中国内陆有关当局登记买方为所出售公司的股东。该股东登记于</w:t>
      </w:r>
      <w:r>
        <w:rPr>
          <w:lang w:eastAsia="zh-CN"/>
        </w:rPr>
        <w:t>2017</w:t>
      </w:r>
      <w:r>
        <w:rPr>
          <w:lang w:eastAsia="zh-CN"/>
        </w:rPr>
        <w:t>年</w:t>
      </w:r>
      <w:r>
        <w:rPr>
          <w:lang w:eastAsia="zh-CN"/>
        </w:rPr>
        <w:t>12</w:t>
      </w:r>
      <w:r>
        <w:rPr>
          <w:lang w:eastAsia="zh-CN"/>
        </w:rPr>
        <w:t>月</w:t>
      </w:r>
      <w:r>
        <w:rPr>
          <w:lang w:eastAsia="zh-CN"/>
        </w:rPr>
        <w:t>27</w:t>
      </w:r>
      <w:r>
        <w:rPr>
          <w:lang w:eastAsia="zh-CN"/>
        </w:rPr>
        <w:t>日生效，但直到</w:t>
      </w:r>
      <w:r>
        <w:rPr>
          <w:lang w:eastAsia="zh-CN"/>
        </w:rPr>
        <w:t>2018</w:t>
      </w:r>
      <w:r>
        <w:rPr>
          <w:lang w:eastAsia="zh-CN"/>
        </w:rPr>
        <w:t>年</w:t>
      </w:r>
      <w:r>
        <w:rPr>
          <w:lang w:eastAsia="zh-CN"/>
        </w:rPr>
        <w:t>3</w:t>
      </w:r>
      <w:r>
        <w:rPr>
          <w:lang w:eastAsia="zh-CN"/>
        </w:rPr>
        <w:t>月</w:t>
      </w:r>
      <w:r>
        <w:rPr>
          <w:lang w:eastAsia="zh-CN"/>
        </w:rPr>
        <w:t>1</w:t>
      </w:r>
      <w:r>
        <w:rPr>
          <w:lang w:eastAsia="zh-CN"/>
        </w:rPr>
        <w:t>日才收到</w:t>
      </w:r>
      <w:r>
        <w:rPr>
          <w:lang w:eastAsia="zh-CN"/>
        </w:rPr>
        <w:t>1,000</w:t>
      </w:r>
      <w:r>
        <w:rPr>
          <w:lang w:eastAsia="zh-CN"/>
        </w:rPr>
        <w:t>万元人民币的付款。其后订约方订立自愿解除协议，而股东登记之后于</w:t>
      </w:r>
      <w:r>
        <w:rPr>
          <w:lang w:eastAsia="zh-CN"/>
        </w:rPr>
        <w:t>2019</w:t>
      </w:r>
      <w:r>
        <w:rPr>
          <w:lang w:eastAsia="zh-CN"/>
        </w:rPr>
        <w:t>年</w:t>
      </w:r>
      <w:r>
        <w:rPr>
          <w:lang w:eastAsia="zh-CN"/>
        </w:rPr>
        <w:t>12</w:t>
      </w:r>
      <w:r>
        <w:rPr>
          <w:lang w:eastAsia="zh-CN"/>
        </w:rPr>
        <w:t>月被撤销。</w:t>
      </w:r>
    </w:p>
    <w:p w:rsidR="006E11D0" w:rsidRDefault="000A5B04">
      <w:pPr>
        <w:pStyle w:val="BodyText"/>
        <w:rPr>
          <w:lang w:eastAsia="zh-CN"/>
        </w:rPr>
      </w:pPr>
      <w:r>
        <w:rPr>
          <w:lang w:eastAsia="zh-CN"/>
        </w:rPr>
        <w:lastRenderedPageBreak/>
        <w:t>于</w:t>
      </w:r>
      <w:r>
        <w:rPr>
          <w:lang w:eastAsia="zh-CN"/>
        </w:rPr>
        <w:t>2018</w:t>
      </w:r>
      <w:r>
        <w:rPr>
          <w:lang w:eastAsia="zh-CN"/>
        </w:rPr>
        <w:t>年</w:t>
      </w:r>
      <w:r>
        <w:rPr>
          <w:lang w:eastAsia="zh-CN"/>
        </w:rPr>
        <w:t>12</w:t>
      </w:r>
      <w:r>
        <w:rPr>
          <w:lang w:eastAsia="zh-CN"/>
        </w:rPr>
        <w:t>月</w:t>
      </w:r>
      <w:r>
        <w:rPr>
          <w:lang w:eastAsia="zh-CN"/>
        </w:rPr>
        <w:t>17</w:t>
      </w:r>
      <w:r>
        <w:rPr>
          <w:lang w:eastAsia="zh-CN"/>
        </w:rPr>
        <w:t>日，五洲的全资附属公司订立协议，出售其于另一家公司持有的</w:t>
      </w:r>
      <w:r>
        <w:rPr>
          <w:lang w:eastAsia="zh-CN"/>
        </w:rPr>
        <w:t>49.5%</w:t>
      </w:r>
      <w:r>
        <w:rPr>
          <w:lang w:eastAsia="zh-CN"/>
        </w:rPr>
        <w:t>股权的全部。该第三项出售事项于</w:t>
      </w:r>
      <w:r>
        <w:rPr>
          <w:lang w:eastAsia="zh-CN"/>
        </w:rPr>
        <w:t>2018</w:t>
      </w:r>
      <w:r>
        <w:rPr>
          <w:lang w:eastAsia="zh-CN"/>
        </w:rPr>
        <w:t>年</w:t>
      </w:r>
      <w:r>
        <w:rPr>
          <w:lang w:eastAsia="zh-CN"/>
        </w:rPr>
        <w:t>12</w:t>
      </w:r>
      <w:r>
        <w:rPr>
          <w:lang w:eastAsia="zh-CN"/>
        </w:rPr>
        <w:t>月</w:t>
      </w:r>
      <w:r>
        <w:rPr>
          <w:lang w:eastAsia="zh-CN"/>
        </w:rPr>
        <w:t>14</w:t>
      </w:r>
      <w:r>
        <w:rPr>
          <w:lang w:eastAsia="zh-CN"/>
        </w:rPr>
        <w:t>日获五洲董事会批准。但是，该公司延迟了两个月才于</w:t>
      </w:r>
      <w:r>
        <w:rPr>
          <w:lang w:eastAsia="zh-CN"/>
        </w:rPr>
        <w:t>2019</w:t>
      </w:r>
      <w:r>
        <w:rPr>
          <w:lang w:eastAsia="zh-CN"/>
        </w:rPr>
        <w:t>年</w:t>
      </w:r>
      <w:r>
        <w:rPr>
          <w:lang w:eastAsia="zh-CN"/>
        </w:rPr>
        <w:t>2</w:t>
      </w:r>
      <w:r>
        <w:rPr>
          <w:lang w:eastAsia="zh-CN"/>
        </w:rPr>
        <w:t>月</w:t>
      </w:r>
      <w:r>
        <w:rPr>
          <w:lang w:eastAsia="zh-CN"/>
        </w:rPr>
        <w:t xml:space="preserve"> 26</w:t>
      </w:r>
      <w:r>
        <w:rPr>
          <w:lang w:eastAsia="zh-CN"/>
        </w:rPr>
        <w:t>日作出公布。</w:t>
      </w:r>
    </w:p>
    <w:p w:rsidR="006E11D0" w:rsidRDefault="000A5B04">
      <w:pPr>
        <w:pStyle w:val="BodyText"/>
        <w:rPr>
          <w:lang w:eastAsia="zh-CN"/>
        </w:rPr>
      </w:pPr>
      <w:r>
        <w:rPr>
          <w:lang w:eastAsia="zh-CN"/>
        </w:rPr>
        <w:t>收购事项、第一项出售事项、第二项出售事项及第三项出售事项统称为</w:t>
      </w:r>
      <w:r>
        <w:rPr>
          <w:b/>
          <w:lang w:eastAsia="zh-CN"/>
        </w:rPr>
        <w:t>有关交易</w:t>
      </w:r>
      <w:r>
        <w:rPr>
          <w:lang w:eastAsia="zh-CN"/>
        </w:rPr>
        <w:t>。</w:t>
      </w:r>
    </w:p>
    <w:p w:rsidR="006E11D0" w:rsidRDefault="000A5B04">
      <w:pPr>
        <w:pStyle w:val="BodyText"/>
        <w:rPr>
          <w:lang w:eastAsia="zh-CN"/>
        </w:rPr>
      </w:pPr>
      <w:r>
        <w:rPr>
          <w:lang w:eastAsia="zh-CN"/>
        </w:rPr>
        <w:t>五洲于</w:t>
      </w:r>
      <w:r>
        <w:rPr>
          <w:lang w:eastAsia="zh-CN"/>
        </w:rPr>
        <w:t>2018</w:t>
      </w:r>
      <w:r>
        <w:rPr>
          <w:lang w:eastAsia="zh-CN"/>
        </w:rPr>
        <w:t>年</w:t>
      </w:r>
      <w:r>
        <w:rPr>
          <w:lang w:eastAsia="zh-CN"/>
        </w:rPr>
        <w:t>8</w:t>
      </w:r>
      <w:r>
        <w:rPr>
          <w:lang w:eastAsia="zh-CN"/>
        </w:rPr>
        <w:t>月委任的重组顾问罗申美企业顾问（香港）有限公司对五洲转让其于若干附属公司的股权进行独立调查。调查发现，</w:t>
      </w:r>
      <w:r>
        <w:rPr>
          <w:lang w:eastAsia="zh-CN"/>
        </w:rPr>
        <w:t>2018</w:t>
      </w:r>
      <w:r>
        <w:rPr>
          <w:lang w:eastAsia="zh-CN"/>
        </w:rPr>
        <w:t>年合共有</w:t>
      </w:r>
      <w:r>
        <w:rPr>
          <w:lang w:eastAsia="zh-CN"/>
        </w:rPr>
        <w:t>15</w:t>
      </w:r>
      <w:r>
        <w:rPr>
          <w:lang w:eastAsia="zh-CN"/>
        </w:rPr>
        <w:t>项未经五洲董事会批准的转让，其中包括第二项出售事项以及以下构成须予公布的交易的</w:t>
      </w:r>
      <w:r>
        <w:rPr>
          <w:lang w:eastAsia="zh-CN"/>
        </w:rPr>
        <w:t>6</w:t>
      </w:r>
      <w:r>
        <w:rPr>
          <w:lang w:eastAsia="zh-CN"/>
        </w:rPr>
        <w:t>项其他出售事项（</w:t>
      </w:r>
      <w:r>
        <w:rPr>
          <w:lang w:eastAsia="zh-CN"/>
        </w:rPr>
        <w:t>5</w:t>
      </w:r>
      <w:r>
        <w:rPr>
          <w:lang w:eastAsia="zh-CN"/>
        </w:rPr>
        <w:t>宗须予披露的交易及一宗非常重大出售事项，统称为</w:t>
      </w:r>
      <w:r>
        <w:rPr>
          <w:b/>
          <w:lang w:eastAsia="zh-CN"/>
        </w:rPr>
        <w:t>额外出售事项</w:t>
      </w:r>
      <w:r>
        <w:rPr>
          <w:lang w:eastAsia="zh-CN"/>
        </w:rPr>
        <w:t>）。</w:t>
      </w:r>
    </w:p>
    <w:p w:rsidR="006E11D0" w:rsidRDefault="000A5B04">
      <w:pPr>
        <w:pStyle w:val="BodyText"/>
        <w:rPr>
          <w:lang w:eastAsia="zh-CN"/>
        </w:rPr>
      </w:pPr>
      <w:r>
        <w:rPr>
          <w:lang w:eastAsia="zh-CN"/>
        </w:rPr>
        <w:t>五洲从未按《上市规则》第</w:t>
      </w:r>
      <w:r>
        <w:rPr>
          <w:lang w:eastAsia="zh-CN"/>
        </w:rPr>
        <w:t>14.58</w:t>
      </w:r>
      <w:r>
        <w:rPr>
          <w:lang w:eastAsia="zh-CN"/>
        </w:rPr>
        <w:t>条所规定公布额外出售事项的详情，及仅于</w:t>
      </w:r>
      <w:r>
        <w:rPr>
          <w:lang w:eastAsia="zh-CN"/>
        </w:rPr>
        <w:t>2020</w:t>
      </w:r>
      <w:r>
        <w:rPr>
          <w:lang w:eastAsia="zh-CN"/>
        </w:rPr>
        <w:t>年</w:t>
      </w:r>
      <w:r>
        <w:rPr>
          <w:lang w:eastAsia="zh-CN"/>
        </w:rPr>
        <w:t>9</w:t>
      </w:r>
      <w:r>
        <w:rPr>
          <w:lang w:eastAsia="zh-CN"/>
        </w:rPr>
        <w:t>月</w:t>
      </w:r>
      <w:r>
        <w:rPr>
          <w:lang w:eastAsia="zh-CN"/>
        </w:rPr>
        <w:t>24</w:t>
      </w:r>
      <w:r>
        <w:rPr>
          <w:lang w:eastAsia="zh-CN"/>
        </w:rPr>
        <w:t>日刊发的</w:t>
      </w:r>
      <w:r>
        <w:rPr>
          <w:lang w:eastAsia="zh-CN"/>
        </w:rPr>
        <w:t xml:space="preserve"> 2018</w:t>
      </w:r>
      <w:r>
        <w:rPr>
          <w:lang w:eastAsia="zh-CN"/>
        </w:rPr>
        <w:t>年报略述过有关资料。就须于公布交易（例如一宗须予披露的交易或一宗非常重大出售事项）而言，《上市规则》第</w:t>
      </w:r>
      <w:r>
        <w:rPr>
          <w:lang w:eastAsia="zh-CN"/>
        </w:rPr>
        <w:t>14.58</w:t>
      </w:r>
      <w:r>
        <w:rPr>
          <w:lang w:eastAsia="zh-CN"/>
        </w:rPr>
        <w:t>条规定在公告中披露指定详情，例如厘定有关代价的依据以及订立相关交易的缘由。</w:t>
      </w:r>
    </w:p>
    <w:p w:rsidR="006E11D0" w:rsidRDefault="000A5B04">
      <w:pPr>
        <w:pStyle w:val="BodyText"/>
        <w:rPr>
          <w:lang w:eastAsia="zh-CN"/>
        </w:rPr>
      </w:pPr>
      <w:r>
        <w:rPr>
          <w:lang w:eastAsia="zh-CN"/>
        </w:rPr>
        <w:t>董事对有关交易及额外出售事项的参与程度</w:t>
      </w:r>
    </w:p>
    <w:p w:rsidR="006E11D0" w:rsidRDefault="000A5B04">
      <w:pPr>
        <w:pStyle w:val="BodyText"/>
        <w:rPr>
          <w:lang w:eastAsia="zh-CN"/>
        </w:rPr>
      </w:pPr>
      <w:r>
        <w:rPr>
          <w:lang w:eastAsia="zh-CN"/>
        </w:rPr>
        <w:t>该两位舒先生（舒策城先生及舒策丸先生）均参与了相关交易以及额外出售事项的谈判，以及相关协议的处理。因此他们于关键时候知悉了有关交易以及额外出售事项。而且，使用五洲附属机构的印章需要舒策丸先生批准。该等附属机构印章加盖于有关交易的协议上。两位舒先生均未于关键时候通知董事会其订立的有关交易（除了第三项出售事项）以及额外出售事项（于订立之时）。</w:t>
      </w:r>
    </w:p>
    <w:p w:rsidR="006E11D0" w:rsidRDefault="000A5B04">
      <w:pPr>
        <w:pStyle w:val="BodyText"/>
        <w:rPr>
          <w:lang w:eastAsia="zh-CN"/>
        </w:rPr>
      </w:pPr>
      <w:r>
        <w:rPr>
          <w:lang w:eastAsia="zh-CN"/>
        </w:rPr>
        <w:t>至于收购事项，于</w:t>
      </w:r>
      <w:r>
        <w:rPr>
          <w:lang w:eastAsia="zh-CN"/>
        </w:rPr>
        <w:t>2017</w:t>
      </w:r>
      <w:r>
        <w:rPr>
          <w:lang w:eastAsia="zh-CN"/>
        </w:rPr>
        <w:t>年</w:t>
      </w:r>
      <w:r>
        <w:rPr>
          <w:lang w:eastAsia="zh-CN"/>
        </w:rPr>
        <w:t>8</w:t>
      </w:r>
      <w:r>
        <w:rPr>
          <w:lang w:eastAsia="zh-CN"/>
        </w:rPr>
        <w:t>月</w:t>
      </w:r>
      <w:r>
        <w:rPr>
          <w:lang w:eastAsia="zh-CN"/>
        </w:rPr>
        <w:t>31</w:t>
      </w:r>
      <w:r>
        <w:rPr>
          <w:lang w:eastAsia="zh-CN"/>
        </w:rPr>
        <w:t>日召开的审</w:t>
      </w:r>
      <w:r>
        <w:rPr>
          <w:lang w:eastAsia="zh-CN"/>
        </w:rPr>
        <w:t>核委员会会议记录显示，五洲当时一名在任的独立非执行董事询问载列于</w:t>
      </w:r>
      <w:r>
        <w:rPr>
          <w:lang w:eastAsia="zh-CN"/>
        </w:rPr>
        <w:t>2017</w:t>
      </w:r>
      <w:r>
        <w:rPr>
          <w:lang w:eastAsia="zh-CN"/>
        </w:rPr>
        <w:t>年中期报告拟稿（包含有关收购事项）的中期财务资料部分的附注</w:t>
      </w:r>
      <w:r>
        <w:rPr>
          <w:lang w:eastAsia="zh-CN"/>
        </w:rPr>
        <w:t>23</w:t>
      </w:r>
      <w:r>
        <w:rPr>
          <w:lang w:eastAsia="zh-CN"/>
        </w:rPr>
        <w:t>中披露的任何收购事项是否构成《上市规则》中的须予公布交易。该公司秘书回复公司将审核并向执行董事汇报以采取所有必要行动确保《上市规则》合规性。舒策城先生及舒策丸先生均未跟进该事项。</w:t>
      </w:r>
    </w:p>
    <w:p w:rsidR="006E11D0" w:rsidRDefault="000A5B04">
      <w:pPr>
        <w:pStyle w:val="BodyText"/>
        <w:rPr>
          <w:lang w:eastAsia="zh-CN"/>
        </w:rPr>
      </w:pPr>
      <w:r>
        <w:rPr>
          <w:lang w:eastAsia="zh-CN"/>
        </w:rPr>
        <w:t>2017</w:t>
      </w:r>
      <w:r>
        <w:rPr>
          <w:lang w:eastAsia="zh-CN"/>
        </w:rPr>
        <w:t>年年报中报财务报表的附注</w:t>
      </w:r>
      <w:r>
        <w:rPr>
          <w:lang w:eastAsia="zh-CN"/>
        </w:rPr>
        <w:t>27</w:t>
      </w:r>
      <w:r>
        <w:rPr>
          <w:lang w:eastAsia="zh-CN"/>
        </w:rPr>
        <w:t>有提述第二项出售事项，同时附注</w:t>
      </w:r>
      <w:r>
        <w:rPr>
          <w:lang w:eastAsia="zh-CN"/>
        </w:rPr>
        <w:t>25</w:t>
      </w:r>
      <w:r>
        <w:rPr>
          <w:lang w:eastAsia="zh-CN"/>
        </w:rPr>
        <w:t>亦有「应收出售公司款项」一项并述及附注</w:t>
      </w:r>
      <w:r>
        <w:rPr>
          <w:lang w:eastAsia="zh-CN"/>
        </w:rPr>
        <w:t>27</w:t>
      </w:r>
      <w:r>
        <w:rPr>
          <w:lang w:eastAsia="zh-CN"/>
        </w:rPr>
        <w:t>。</w:t>
      </w:r>
      <w:r>
        <w:rPr>
          <w:lang w:eastAsia="zh-CN"/>
        </w:rPr>
        <w:t>2017</w:t>
      </w:r>
      <w:r>
        <w:rPr>
          <w:lang w:eastAsia="zh-CN"/>
        </w:rPr>
        <w:t>年报拟搞于</w:t>
      </w:r>
      <w:r>
        <w:rPr>
          <w:lang w:eastAsia="zh-CN"/>
        </w:rPr>
        <w:t>2018</w:t>
      </w:r>
      <w:r>
        <w:rPr>
          <w:lang w:eastAsia="zh-CN"/>
        </w:rPr>
        <w:t>年</w:t>
      </w:r>
      <w:r>
        <w:rPr>
          <w:lang w:eastAsia="zh-CN"/>
        </w:rPr>
        <w:t>3</w:t>
      </w:r>
      <w:r>
        <w:rPr>
          <w:lang w:eastAsia="zh-CN"/>
        </w:rPr>
        <w:t>月</w:t>
      </w:r>
      <w:r>
        <w:rPr>
          <w:lang w:eastAsia="zh-CN"/>
        </w:rPr>
        <w:t>29</w:t>
      </w:r>
      <w:r>
        <w:rPr>
          <w:lang w:eastAsia="zh-CN"/>
        </w:rPr>
        <w:t>日的会议上提呈董事会审阅及批准，但是董事并无就第</w:t>
      </w:r>
      <w:r>
        <w:rPr>
          <w:lang w:eastAsia="zh-CN"/>
        </w:rPr>
        <w:t>二项出售事项及相关《上市规则》合规事宜提出查询。</w:t>
      </w:r>
    </w:p>
    <w:p w:rsidR="006E11D0" w:rsidRDefault="000A5B04">
      <w:pPr>
        <w:pStyle w:val="BodyText"/>
        <w:rPr>
          <w:lang w:eastAsia="zh-CN"/>
        </w:rPr>
      </w:pPr>
      <w:r>
        <w:rPr>
          <w:lang w:eastAsia="zh-CN"/>
        </w:rPr>
        <w:t>至于第三项出售事项，当时所有在任董事均有出席于</w:t>
      </w:r>
      <w:r>
        <w:rPr>
          <w:lang w:eastAsia="zh-CN"/>
        </w:rPr>
        <w:t>2018</w:t>
      </w:r>
      <w:r>
        <w:rPr>
          <w:lang w:eastAsia="zh-CN"/>
        </w:rPr>
        <w:t>年</w:t>
      </w:r>
      <w:r>
        <w:rPr>
          <w:lang w:eastAsia="zh-CN"/>
        </w:rPr>
        <w:t>12</w:t>
      </w:r>
      <w:r>
        <w:rPr>
          <w:lang w:eastAsia="zh-CN"/>
        </w:rPr>
        <w:t>月</w:t>
      </w:r>
      <w:r>
        <w:rPr>
          <w:lang w:eastAsia="zh-CN"/>
        </w:rPr>
        <w:t>14</w:t>
      </w:r>
      <w:r>
        <w:rPr>
          <w:lang w:eastAsia="zh-CN"/>
        </w:rPr>
        <w:t>日举行的董事会会议（独立非执行董事舒教授及宋博士除外），而董事会于会上批准了该交易。据该公司所述，有关第三项出售事项的文件已于会议前向全体董事传阅，而他们已于会后收到载有会议结果的简报。</w:t>
      </w:r>
    </w:p>
    <w:p w:rsidR="006E11D0" w:rsidRDefault="000A5B04">
      <w:pPr>
        <w:pStyle w:val="BodyText"/>
        <w:rPr>
          <w:lang w:eastAsia="zh-CN"/>
        </w:rPr>
      </w:pPr>
      <w:r>
        <w:rPr>
          <w:lang w:eastAsia="zh-CN"/>
        </w:rPr>
        <w:t>香港交易所上市科的调查</w:t>
      </w:r>
    </w:p>
    <w:p w:rsidR="006E11D0" w:rsidRDefault="000A5B04">
      <w:pPr>
        <w:pStyle w:val="BodyText"/>
        <w:rPr>
          <w:lang w:eastAsia="zh-CN"/>
        </w:rPr>
      </w:pPr>
      <w:r>
        <w:rPr>
          <w:lang w:eastAsia="zh-CN"/>
        </w:rPr>
        <w:t>上市科在舒策城先生及舒策丸先生不再担任五洲董事之后向其发出了调查信函及提示函，两位舒先生均未为对该等函件作出回复。</w:t>
      </w:r>
    </w:p>
    <w:p w:rsidR="006E11D0" w:rsidRDefault="000A5B04">
      <w:pPr>
        <w:pStyle w:val="BodyText"/>
        <w:rPr>
          <w:lang w:eastAsia="zh-CN"/>
        </w:rPr>
      </w:pPr>
      <w:r>
        <w:rPr>
          <w:lang w:eastAsia="zh-CN"/>
        </w:rPr>
        <w:t>香港交易所《上市规则》的规定及违规事项</w:t>
      </w:r>
    </w:p>
    <w:p w:rsidR="006E11D0" w:rsidRDefault="000A5B04">
      <w:pPr>
        <w:pStyle w:val="BodyText"/>
        <w:rPr>
          <w:lang w:eastAsia="zh-CN"/>
        </w:rPr>
      </w:pPr>
      <w:r>
        <w:rPr>
          <w:b/>
          <w:u w:val="single"/>
          <w:lang w:eastAsia="zh-CN"/>
        </w:rPr>
        <w:t>《上市规则》第</w:t>
      </w:r>
      <w:r>
        <w:rPr>
          <w:b/>
          <w:u w:val="single"/>
          <w:lang w:eastAsia="zh-CN"/>
        </w:rPr>
        <w:t>3.08</w:t>
      </w:r>
      <w:r>
        <w:rPr>
          <w:b/>
          <w:u w:val="single"/>
          <w:lang w:eastAsia="zh-CN"/>
        </w:rPr>
        <w:t>条</w:t>
      </w:r>
      <w:r>
        <w:rPr>
          <w:lang w:eastAsia="zh-CN"/>
        </w:rPr>
        <w:t>订明</w:t>
      </w:r>
      <w:r>
        <w:rPr>
          <w:lang w:eastAsia="zh-CN"/>
        </w:rPr>
        <w:t>（除了其他的）香港交易所预期发行人董事须共同与个别地履行诚信责任及以应有技能、谨慎和勤勉行事的责任，而履行上述责任时，至少须符合香港法例所确立的标准。</w:t>
      </w:r>
    </w:p>
    <w:p w:rsidR="006E11D0" w:rsidRDefault="000A5B04">
      <w:pPr>
        <w:pStyle w:val="BodyText"/>
        <w:rPr>
          <w:lang w:eastAsia="zh-CN"/>
        </w:rPr>
      </w:pPr>
      <w:r>
        <w:rPr>
          <w:lang w:eastAsia="zh-CN"/>
        </w:rPr>
        <w:t>根据向香港交易所作出的</w:t>
      </w:r>
      <w:r>
        <w:rPr>
          <w:b/>
          <w:u w:val="single"/>
          <w:lang w:eastAsia="zh-CN"/>
        </w:rPr>
        <w:t>《董事承诺》</w:t>
      </w:r>
      <w:r>
        <w:rPr>
          <w:lang w:eastAsia="zh-CN"/>
        </w:rPr>
        <w:t>（载列于《上市规则》附录五</w:t>
      </w:r>
      <w:r>
        <w:rPr>
          <w:lang w:eastAsia="zh-CN"/>
        </w:rPr>
        <w:t>B</w:t>
      </w:r>
      <w:r>
        <w:rPr>
          <w:lang w:eastAsia="zh-CN"/>
        </w:rPr>
        <w:t>）（每名董事均须遵守），（除其他以外）每名董事均须尽力遵守《上市规则》，并竭力促使该公司遵守《上市规则》，及在香港交易所所进行的任何调查中给予合作。</w:t>
      </w:r>
    </w:p>
    <w:p w:rsidR="006E11D0" w:rsidRDefault="000A5B04">
      <w:pPr>
        <w:pStyle w:val="BodyText"/>
        <w:rPr>
          <w:lang w:eastAsia="zh-CN"/>
        </w:rPr>
      </w:pPr>
      <w:r>
        <w:rPr>
          <w:lang w:eastAsia="zh-CN"/>
        </w:rPr>
        <w:t>上市委员会裁定以下事项：</w:t>
      </w:r>
    </w:p>
    <w:p w:rsidR="006E11D0" w:rsidRDefault="000A5B04">
      <w:pPr>
        <w:pStyle w:val="Compact"/>
        <w:numPr>
          <w:ilvl w:val="0"/>
          <w:numId w:val="3"/>
        </w:numPr>
        <w:rPr>
          <w:lang w:eastAsia="zh-CN"/>
        </w:rPr>
      </w:pPr>
      <w:r>
        <w:rPr>
          <w:lang w:eastAsia="zh-CN"/>
        </w:rPr>
        <w:lastRenderedPageBreak/>
        <w:t>五洲违反了《上市规则》第</w:t>
      </w:r>
      <w:r>
        <w:rPr>
          <w:lang w:eastAsia="zh-CN"/>
        </w:rPr>
        <w:t>14.34</w:t>
      </w:r>
      <w:r>
        <w:rPr>
          <w:lang w:eastAsia="zh-CN"/>
        </w:rPr>
        <w:t>条（于</w:t>
      </w:r>
      <w:r>
        <w:rPr>
          <w:lang w:eastAsia="zh-CN"/>
        </w:rPr>
        <w:t>2019</w:t>
      </w:r>
      <w:r>
        <w:rPr>
          <w:lang w:eastAsia="zh-CN"/>
        </w:rPr>
        <w:t>年</w:t>
      </w:r>
      <w:r>
        <w:rPr>
          <w:lang w:eastAsia="zh-CN"/>
        </w:rPr>
        <w:t>3</w:t>
      </w:r>
      <w:r>
        <w:rPr>
          <w:lang w:eastAsia="zh-CN"/>
        </w:rPr>
        <w:t>月</w:t>
      </w:r>
      <w:r>
        <w:rPr>
          <w:lang w:eastAsia="zh-CN"/>
        </w:rPr>
        <w:t>1</w:t>
      </w:r>
      <w:r>
        <w:rPr>
          <w:lang w:eastAsia="zh-CN"/>
        </w:rPr>
        <w:t>日之前生效），该项规定订明上市公司须在一宗须予披露的交易或一宗非常</w:t>
      </w:r>
      <w:r>
        <w:rPr>
          <w:lang w:eastAsia="zh-CN"/>
        </w:rPr>
        <w:t>重大出售事项条款确定之后尽快通知香港交易所并刊发公告。五洲违反了《上市规则》第</w:t>
      </w:r>
      <w:r>
        <w:rPr>
          <w:lang w:eastAsia="zh-CN"/>
        </w:rPr>
        <w:t>14.34</w:t>
      </w:r>
      <w:r>
        <w:rPr>
          <w:lang w:eastAsia="zh-CN"/>
        </w:rPr>
        <w:t>条的原因在于其延迟公告各项有关交易以及额外出售事项。该公司还违反了《上市规则》第</w:t>
      </w:r>
      <w:r>
        <w:rPr>
          <w:lang w:eastAsia="zh-CN"/>
        </w:rPr>
        <w:t>14.38A</w:t>
      </w:r>
      <w:r>
        <w:rPr>
          <w:lang w:eastAsia="zh-CN"/>
        </w:rPr>
        <w:t>条，第</w:t>
      </w:r>
      <w:r>
        <w:rPr>
          <w:lang w:eastAsia="zh-CN"/>
        </w:rPr>
        <w:t>14.48</w:t>
      </w:r>
      <w:r>
        <w:rPr>
          <w:lang w:eastAsia="zh-CN"/>
        </w:rPr>
        <w:t>条及第</w:t>
      </w:r>
      <w:r>
        <w:rPr>
          <w:lang w:eastAsia="zh-CN"/>
        </w:rPr>
        <w:t>14.49</w:t>
      </w:r>
      <w:r>
        <w:rPr>
          <w:lang w:eastAsia="zh-CN"/>
        </w:rPr>
        <w:t>条，原因是其未能发出通函就构成一宗非常重大出售事项的额外出售事项取得股东批准。《上市规则》第</w:t>
      </w:r>
      <w:r>
        <w:rPr>
          <w:lang w:eastAsia="zh-CN"/>
        </w:rPr>
        <w:t>14.38A</w:t>
      </w:r>
      <w:r>
        <w:rPr>
          <w:lang w:eastAsia="zh-CN"/>
        </w:rPr>
        <w:t>条，第</w:t>
      </w:r>
      <w:r>
        <w:rPr>
          <w:lang w:eastAsia="zh-CN"/>
        </w:rPr>
        <w:t>14.48</w:t>
      </w:r>
      <w:r>
        <w:rPr>
          <w:lang w:eastAsia="zh-CN"/>
        </w:rPr>
        <w:t>条及第</w:t>
      </w:r>
      <w:r>
        <w:rPr>
          <w:lang w:eastAsia="zh-CN"/>
        </w:rPr>
        <w:t>14.49</w:t>
      </w:r>
      <w:r>
        <w:rPr>
          <w:lang w:eastAsia="zh-CN"/>
        </w:rPr>
        <w:t>条规定，如属一宗非常重大出售事项，那么有关上市公司就须向其股东发送一份通函以及一宗非常重大出售事项须以股东在股东大会上批准为条件设立。</w:t>
      </w:r>
    </w:p>
    <w:p w:rsidR="006E11D0" w:rsidRDefault="000A5B04">
      <w:pPr>
        <w:pStyle w:val="Compact"/>
        <w:numPr>
          <w:ilvl w:val="0"/>
          <w:numId w:val="3"/>
        </w:numPr>
        <w:rPr>
          <w:lang w:eastAsia="zh-CN"/>
        </w:rPr>
      </w:pPr>
      <w:r>
        <w:rPr>
          <w:lang w:eastAsia="zh-CN"/>
        </w:rPr>
        <w:t>五洲的内部监控及风险管理系统存在重大缺失。据查该公司并无机制及</w:t>
      </w:r>
      <w:r>
        <w:rPr>
          <w:lang w:eastAsia="zh-CN"/>
        </w:rPr>
        <w:t>/</w:t>
      </w:r>
      <w:r>
        <w:rPr>
          <w:lang w:eastAsia="zh-CN"/>
        </w:rPr>
        <w:t>或书面程序，用以识别、汇报及执行须予公布交易或遵守香港交易所《上市规则》第十四章的规定（须予公布交易）。该公司亦无任何制度或监控规定该公司交易的磋商及</w:t>
      </w:r>
      <w:r>
        <w:rPr>
          <w:lang w:eastAsia="zh-CN"/>
        </w:rPr>
        <w:t>/</w:t>
      </w:r>
      <w:r>
        <w:rPr>
          <w:lang w:eastAsia="zh-CN"/>
        </w:rPr>
        <w:t>或发展进度或重大交易须及时向董事会汇报。该公司亦无就转让该集团附属公司的股份及资产订立内部程序及系统。此等内部监控缺失的后果可能会导致在董事会不知情或没有充分考虑香港交易所《上市规则》及合规的情况下，便由一、两名董事订立重大及</w:t>
      </w:r>
      <w:r>
        <w:rPr>
          <w:lang w:eastAsia="zh-CN"/>
        </w:rPr>
        <w:t>/</w:t>
      </w:r>
      <w:r>
        <w:rPr>
          <w:lang w:eastAsia="zh-CN"/>
        </w:rPr>
        <w:t>或须予公布的交易及</w:t>
      </w:r>
      <w:r>
        <w:rPr>
          <w:lang w:eastAsia="zh-CN"/>
        </w:rPr>
        <w:t>/</w:t>
      </w:r>
      <w:r>
        <w:rPr>
          <w:lang w:eastAsia="zh-CN"/>
        </w:rPr>
        <w:t>或出售五洲于其附属公司拥有的权益；</w:t>
      </w:r>
    </w:p>
    <w:p w:rsidR="006E11D0" w:rsidRDefault="000A5B04">
      <w:pPr>
        <w:pStyle w:val="Compact"/>
        <w:numPr>
          <w:ilvl w:val="0"/>
          <w:numId w:val="3"/>
        </w:numPr>
        <w:rPr>
          <w:lang w:eastAsia="zh-CN"/>
        </w:rPr>
      </w:pPr>
      <w:r>
        <w:rPr>
          <w:lang w:eastAsia="zh-CN"/>
        </w:rPr>
        <w:t>部分前董事</w:t>
      </w:r>
      <w:r>
        <w:rPr>
          <w:lang w:eastAsia="zh-CN"/>
        </w:rPr>
        <w:t>–</w:t>
      </w:r>
      <w:r>
        <w:rPr>
          <w:lang w:eastAsia="zh-CN"/>
        </w:rPr>
        <w:t>包括两位舒先生，周先生（前执行董事），舒国滢教授及宋敏博士（均为该公司前独立非执行董事）</w:t>
      </w:r>
      <w:r>
        <w:rPr>
          <w:lang w:eastAsia="zh-CN"/>
        </w:rPr>
        <w:t>——</w:t>
      </w:r>
      <w:r>
        <w:rPr>
          <w:lang w:eastAsia="zh-CN"/>
        </w:rPr>
        <w:t>违反了《上市规则》第</w:t>
      </w:r>
      <w:r>
        <w:rPr>
          <w:lang w:eastAsia="zh-CN"/>
        </w:rPr>
        <w:t>3.08</w:t>
      </w:r>
      <w:r>
        <w:rPr>
          <w:lang w:eastAsia="zh-CN"/>
        </w:rPr>
        <w:t>条及其《董事承诺》，原因是其准许在收到第二项出售事项对价之前于该出售事项中继续进行股东登记，以及未能尽力及竭力促使该公司遵守香港交易所《上市规则》；</w:t>
      </w:r>
    </w:p>
    <w:p w:rsidR="006E11D0" w:rsidRDefault="000A5B04">
      <w:pPr>
        <w:pStyle w:val="Compact"/>
        <w:numPr>
          <w:ilvl w:val="0"/>
          <w:numId w:val="3"/>
        </w:numPr>
        <w:rPr>
          <w:lang w:eastAsia="zh-CN"/>
        </w:rPr>
      </w:pPr>
      <w:r>
        <w:rPr>
          <w:lang w:eastAsia="zh-CN"/>
        </w:rPr>
        <w:t>两位舒先生违反了《上市规则》第</w:t>
      </w:r>
      <w:r>
        <w:rPr>
          <w:lang w:eastAsia="zh-CN"/>
        </w:rPr>
        <w:t>3.08</w:t>
      </w:r>
      <w:r>
        <w:rPr>
          <w:lang w:eastAsia="zh-CN"/>
        </w:rPr>
        <w:t>条及其《董事承诺》，原因是其未能采取步骤确保该公司就有关交易以及额外出售事项相关事宜上遵守香港交易所《上市规则》，以及未能及时向该公司董事会汇报有关交易（除第三项出售事项以外）以及额外出售事项。他们还违反</w:t>
      </w:r>
      <w:r>
        <w:rPr>
          <w:lang w:eastAsia="zh-CN"/>
        </w:rPr>
        <w:t>了其表示在香港交易所的调查中会给予配合的《董事承诺》；</w:t>
      </w:r>
    </w:p>
    <w:p w:rsidR="006E11D0" w:rsidRDefault="000A5B04">
      <w:pPr>
        <w:pStyle w:val="Compact"/>
        <w:numPr>
          <w:ilvl w:val="0"/>
          <w:numId w:val="3"/>
        </w:numPr>
        <w:rPr>
          <w:lang w:eastAsia="zh-CN"/>
        </w:rPr>
      </w:pPr>
      <w:r>
        <w:rPr>
          <w:lang w:eastAsia="zh-CN"/>
        </w:rPr>
        <w:t>两位舒先生，周晨先生、舒国滢教授及宋敏博士违反了《上市规则》第</w:t>
      </w:r>
      <w:r>
        <w:rPr>
          <w:lang w:eastAsia="zh-CN"/>
        </w:rPr>
        <w:t>3.08</w:t>
      </w:r>
      <w:r>
        <w:rPr>
          <w:lang w:eastAsia="zh-CN"/>
        </w:rPr>
        <w:t>条及其《董事承诺》，原因是其未能确保该公司设立及维持足够及有效的内部监控系统及风险管理系统；</w:t>
      </w:r>
    </w:p>
    <w:p w:rsidR="006E11D0" w:rsidRDefault="000A5B04">
      <w:pPr>
        <w:pStyle w:val="Compact"/>
        <w:numPr>
          <w:ilvl w:val="0"/>
          <w:numId w:val="3"/>
        </w:numPr>
        <w:rPr>
          <w:lang w:eastAsia="zh-CN"/>
        </w:rPr>
      </w:pPr>
      <w:r>
        <w:rPr>
          <w:lang w:eastAsia="zh-CN"/>
        </w:rPr>
        <w:t>部分现任及前任董事</w:t>
      </w:r>
      <w:r>
        <w:rPr>
          <w:lang w:eastAsia="zh-CN"/>
        </w:rPr>
        <w:t>–</w:t>
      </w:r>
      <w:r>
        <w:rPr>
          <w:lang w:eastAsia="zh-CN"/>
        </w:rPr>
        <w:t>包括朱永球先生（执行董事），蔡巧玲女士（执行董事），沈晓伟先生（行政总裁兼执行董事），周晨先生，刘朝东先生（前独立非执行董事），舒国滢教授及宋敏博士</w:t>
      </w:r>
      <w:r>
        <w:rPr>
          <w:lang w:eastAsia="zh-CN"/>
        </w:rPr>
        <w:t>——</w:t>
      </w:r>
      <w:r>
        <w:rPr>
          <w:lang w:eastAsia="zh-CN"/>
        </w:rPr>
        <w:t>未能尽力及竭力促使五洲公司就第三项出售事项遵守《上市规则》，因此违反了各自的《董事承诺》；及</w:t>
      </w:r>
    </w:p>
    <w:p w:rsidR="006E11D0" w:rsidRDefault="000A5B04">
      <w:pPr>
        <w:pStyle w:val="Compact"/>
        <w:numPr>
          <w:ilvl w:val="0"/>
          <w:numId w:val="3"/>
        </w:numPr>
        <w:rPr>
          <w:lang w:eastAsia="zh-CN"/>
        </w:rPr>
      </w:pPr>
      <w:r>
        <w:rPr>
          <w:lang w:eastAsia="zh-CN"/>
        </w:rPr>
        <w:t>两位舒先生蓄意及</w:t>
      </w:r>
      <w:r>
        <w:rPr>
          <w:lang w:eastAsia="zh-CN"/>
        </w:rPr>
        <w:t>/</w:t>
      </w:r>
      <w:r>
        <w:rPr>
          <w:lang w:eastAsia="zh-CN"/>
        </w:rPr>
        <w:t>或持续性地未能履行其在香港交易所《上市规则》下的责任，并由此需要刊发一份公开声明，即如五洲保持上市地位或者若两位舒先生保持在董事会的职位，那么其职位留任将损害投资者的权益。</w:t>
      </w:r>
    </w:p>
    <w:p w:rsidR="006E11D0" w:rsidRDefault="000A5B04">
      <w:pPr>
        <w:pStyle w:val="FirstParagraph"/>
        <w:rPr>
          <w:lang w:eastAsia="zh-CN"/>
        </w:rPr>
      </w:pPr>
      <w:r>
        <w:rPr>
          <w:lang w:eastAsia="zh-CN"/>
        </w:rPr>
        <w:t>香港交易所对华建控股有限公司两名董事采取的纪律行动</w:t>
      </w:r>
    </w:p>
    <w:p w:rsidR="006E11D0" w:rsidRDefault="000A5B04">
      <w:pPr>
        <w:pStyle w:val="BodyText"/>
        <w:rPr>
          <w:lang w:eastAsia="zh-CN"/>
        </w:rPr>
      </w:pPr>
      <w:r>
        <w:rPr>
          <w:lang w:eastAsia="zh-CN"/>
        </w:rPr>
        <w:t>2022</w:t>
      </w:r>
      <w:r>
        <w:rPr>
          <w:lang w:eastAsia="zh-CN"/>
        </w:rPr>
        <w:t>年</w:t>
      </w:r>
      <w:r>
        <w:rPr>
          <w:lang w:eastAsia="zh-CN"/>
        </w:rPr>
        <w:t>5</w:t>
      </w:r>
      <w:r>
        <w:rPr>
          <w:lang w:eastAsia="zh-CN"/>
        </w:rPr>
        <w:t>月</w:t>
      </w:r>
      <w:r>
        <w:rPr>
          <w:lang w:eastAsia="zh-CN"/>
        </w:rPr>
        <w:t>17</w:t>
      </w:r>
      <w:r>
        <w:rPr>
          <w:lang w:eastAsia="zh-CN"/>
        </w:rPr>
        <w:t>日，香港交易所批评了华建控股有限公司（</w:t>
      </w:r>
      <w:r>
        <w:rPr>
          <w:b/>
          <w:lang w:eastAsia="zh-CN"/>
        </w:rPr>
        <w:t>华建控股</w:t>
      </w:r>
      <w:r>
        <w:rPr>
          <w:lang w:eastAsia="zh-CN"/>
        </w:rPr>
        <w:t>）的两名董事</w:t>
      </w:r>
      <w:r>
        <w:rPr>
          <w:lang w:eastAsia="zh-CN"/>
        </w:rPr>
        <w:t>——</w:t>
      </w:r>
      <w:r>
        <w:rPr>
          <w:lang w:eastAsia="zh-CN"/>
        </w:rPr>
        <w:t>执行董事兼主席柯俊翔先生（</w:t>
      </w:r>
      <w:r>
        <w:rPr>
          <w:b/>
          <w:lang w:eastAsia="zh-CN"/>
        </w:rPr>
        <w:t>柯先生</w:t>
      </w:r>
      <w:r>
        <w:rPr>
          <w:lang w:eastAsia="zh-CN"/>
        </w:rPr>
        <w:t>）及执行董事付道丁先生（</w:t>
      </w:r>
      <w:r>
        <w:rPr>
          <w:b/>
          <w:lang w:eastAsia="zh-CN"/>
        </w:rPr>
        <w:t>付先生</w:t>
      </w:r>
      <w:r>
        <w:rPr>
          <w:lang w:eastAsia="zh-CN"/>
        </w:rPr>
        <w:t>）。该两名董事未有：</w:t>
      </w:r>
      <w:r>
        <w:rPr>
          <w:lang w:eastAsia="zh-CN"/>
        </w:rPr>
        <w:t>(i)</w:t>
      </w:r>
      <w:r>
        <w:rPr>
          <w:lang w:eastAsia="zh-CN"/>
        </w:rPr>
        <w:t>采取足够的行动保障华建控股的利益；及</w:t>
      </w:r>
      <w:r>
        <w:rPr>
          <w:lang w:eastAsia="zh-CN"/>
        </w:rPr>
        <w:t>(ii)</w:t>
      </w:r>
      <w:r>
        <w:rPr>
          <w:lang w:eastAsia="zh-CN"/>
        </w:rPr>
        <w:t>确保华建控股就其放债业务实施及维持充足及有效的内部监控措</w:t>
      </w:r>
      <w:r>
        <w:rPr>
          <w:lang w:eastAsia="zh-CN"/>
        </w:rPr>
        <w:t>施。香港交易所的《纪律行动声明》载列于</w:t>
      </w:r>
      <w:hyperlink r:id="rId10">
        <w:r>
          <w:rPr>
            <w:lang w:eastAsia="zh-CN"/>
          </w:rPr>
          <w:t>香港交易所网站</w:t>
        </w:r>
      </w:hyperlink>
      <w:r>
        <w:rPr>
          <w:lang w:eastAsia="zh-CN"/>
        </w:rPr>
        <w:t>。</w:t>
      </w:r>
    </w:p>
    <w:p w:rsidR="006E11D0" w:rsidRDefault="000A5B04">
      <w:pPr>
        <w:pStyle w:val="BodyText"/>
        <w:rPr>
          <w:lang w:eastAsia="zh-CN"/>
        </w:rPr>
      </w:pPr>
      <w:r>
        <w:rPr>
          <w:lang w:eastAsia="zh-CN"/>
        </w:rPr>
        <w:t>贷款减值及缺乏内部监控措施</w:t>
      </w:r>
    </w:p>
    <w:p w:rsidR="006E11D0" w:rsidRDefault="000A5B04">
      <w:pPr>
        <w:pStyle w:val="BodyText"/>
        <w:rPr>
          <w:lang w:eastAsia="zh-CN"/>
        </w:rPr>
      </w:pPr>
      <w:r>
        <w:rPr>
          <w:lang w:eastAsia="zh-CN"/>
        </w:rPr>
        <w:t>华建控股于</w:t>
      </w:r>
      <w:r>
        <w:rPr>
          <w:lang w:eastAsia="zh-CN"/>
        </w:rPr>
        <w:t>2014</w:t>
      </w:r>
      <w:r>
        <w:rPr>
          <w:lang w:eastAsia="zh-CN"/>
        </w:rPr>
        <w:t>年</w:t>
      </w:r>
      <w:r>
        <w:rPr>
          <w:lang w:eastAsia="zh-CN"/>
        </w:rPr>
        <w:t>5</w:t>
      </w:r>
      <w:r>
        <w:rPr>
          <w:lang w:eastAsia="zh-CN"/>
        </w:rPr>
        <w:t>月开展放债业务。于</w:t>
      </w:r>
      <w:r>
        <w:rPr>
          <w:lang w:eastAsia="zh-CN"/>
        </w:rPr>
        <w:t xml:space="preserve"> 2016</w:t>
      </w:r>
      <w:r>
        <w:rPr>
          <w:lang w:eastAsia="zh-CN"/>
        </w:rPr>
        <w:t>年</w:t>
      </w:r>
      <w:r>
        <w:rPr>
          <w:lang w:eastAsia="zh-CN"/>
        </w:rPr>
        <w:t>6</w:t>
      </w:r>
      <w:r>
        <w:rPr>
          <w:lang w:eastAsia="zh-CN"/>
        </w:rPr>
        <w:t>月至</w:t>
      </w:r>
      <w:r>
        <w:rPr>
          <w:lang w:eastAsia="zh-CN"/>
        </w:rPr>
        <w:t>2019</w:t>
      </w:r>
      <w:r>
        <w:rPr>
          <w:lang w:eastAsia="zh-CN"/>
        </w:rPr>
        <w:t>年</w:t>
      </w:r>
      <w:r>
        <w:rPr>
          <w:lang w:eastAsia="zh-CN"/>
        </w:rPr>
        <w:t xml:space="preserve"> 6</w:t>
      </w:r>
      <w:r>
        <w:rPr>
          <w:lang w:eastAsia="zh-CN"/>
        </w:rPr>
        <w:t>月期间，</w:t>
      </w:r>
      <w:r>
        <w:rPr>
          <w:lang w:eastAsia="zh-CN"/>
        </w:rPr>
        <w:t>华建控股授出若干贷款（</w:t>
      </w:r>
      <w:r>
        <w:rPr>
          <w:b/>
          <w:lang w:eastAsia="zh-CN"/>
        </w:rPr>
        <w:t>有关贷款</w:t>
      </w:r>
      <w:r>
        <w:rPr>
          <w:lang w:eastAsia="zh-CN"/>
        </w:rPr>
        <w:t>）。有关贷款的还款期曾经过订立新协议而多次延长。截至</w:t>
      </w:r>
      <w:r>
        <w:rPr>
          <w:lang w:eastAsia="zh-CN"/>
        </w:rPr>
        <w:t>2019</w:t>
      </w:r>
      <w:r>
        <w:rPr>
          <w:lang w:eastAsia="zh-CN"/>
        </w:rPr>
        <w:t>年</w:t>
      </w:r>
      <w:r>
        <w:rPr>
          <w:lang w:eastAsia="zh-CN"/>
        </w:rPr>
        <w:t>6</w:t>
      </w:r>
      <w:r>
        <w:rPr>
          <w:lang w:eastAsia="zh-CN"/>
        </w:rPr>
        <w:t>月</w:t>
      </w:r>
      <w:r>
        <w:rPr>
          <w:lang w:eastAsia="zh-CN"/>
        </w:rPr>
        <w:t>30</w:t>
      </w:r>
      <w:r>
        <w:rPr>
          <w:lang w:eastAsia="zh-CN"/>
        </w:rPr>
        <w:t>日，有关贷款仍未收回，并录得以下重大减值。</w:t>
      </w:r>
    </w:p>
    <w:p w:rsidR="006E11D0" w:rsidRDefault="000A5B04">
      <w:pPr>
        <w:pStyle w:val="Compact"/>
        <w:numPr>
          <w:ilvl w:val="0"/>
          <w:numId w:val="4"/>
        </w:numPr>
        <w:rPr>
          <w:lang w:eastAsia="zh-CN"/>
        </w:rPr>
      </w:pPr>
      <w:r>
        <w:rPr>
          <w:lang w:eastAsia="zh-CN"/>
        </w:rPr>
        <w:t>贷款</w:t>
      </w:r>
      <w:r>
        <w:rPr>
          <w:lang w:eastAsia="zh-CN"/>
        </w:rPr>
        <w:t>1</w:t>
      </w:r>
      <w:r>
        <w:rPr>
          <w:lang w:eastAsia="zh-CN"/>
        </w:rPr>
        <w:t>授出日期为</w:t>
      </w:r>
      <w:r>
        <w:rPr>
          <w:lang w:eastAsia="zh-CN"/>
        </w:rPr>
        <w:t>2018</w:t>
      </w:r>
      <w:r>
        <w:rPr>
          <w:lang w:eastAsia="zh-CN"/>
        </w:rPr>
        <w:t>年</w:t>
      </w:r>
      <w:r>
        <w:rPr>
          <w:lang w:eastAsia="zh-CN"/>
        </w:rPr>
        <w:t>1</w:t>
      </w:r>
      <w:r>
        <w:rPr>
          <w:lang w:eastAsia="zh-CN"/>
        </w:rPr>
        <w:t>月</w:t>
      </w:r>
      <w:r>
        <w:rPr>
          <w:lang w:eastAsia="zh-CN"/>
        </w:rPr>
        <w:t>19</w:t>
      </w:r>
      <w:r>
        <w:rPr>
          <w:lang w:eastAsia="zh-CN"/>
        </w:rPr>
        <w:t>日，到期日为</w:t>
      </w:r>
      <w:r>
        <w:rPr>
          <w:lang w:eastAsia="zh-CN"/>
        </w:rPr>
        <w:t>2019</w:t>
      </w:r>
      <w:r>
        <w:rPr>
          <w:lang w:eastAsia="zh-CN"/>
        </w:rPr>
        <w:t>年</w:t>
      </w:r>
      <w:r>
        <w:rPr>
          <w:lang w:eastAsia="zh-CN"/>
        </w:rPr>
        <w:t>1</w:t>
      </w:r>
      <w:r>
        <w:rPr>
          <w:lang w:eastAsia="zh-CN"/>
        </w:rPr>
        <w:t>月</w:t>
      </w:r>
      <w:r>
        <w:rPr>
          <w:lang w:eastAsia="zh-CN"/>
        </w:rPr>
        <w:t>18</w:t>
      </w:r>
      <w:r>
        <w:rPr>
          <w:lang w:eastAsia="zh-CN"/>
        </w:rPr>
        <w:t>日。贷款总金额</w:t>
      </w:r>
      <w:r>
        <w:rPr>
          <w:lang w:eastAsia="zh-CN"/>
        </w:rPr>
        <w:t>1070</w:t>
      </w:r>
      <w:r>
        <w:rPr>
          <w:lang w:eastAsia="zh-CN"/>
        </w:rPr>
        <w:t>万港元，但是其中确认减值亏损</w:t>
      </w:r>
      <w:r>
        <w:rPr>
          <w:lang w:eastAsia="zh-CN"/>
        </w:rPr>
        <w:t>98.1</w:t>
      </w:r>
      <w:r>
        <w:rPr>
          <w:lang w:eastAsia="zh-CN"/>
        </w:rPr>
        <w:t>万港元；</w:t>
      </w:r>
    </w:p>
    <w:p w:rsidR="006E11D0" w:rsidRDefault="000A5B04">
      <w:pPr>
        <w:pStyle w:val="Compact"/>
        <w:numPr>
          <w:ilvl w:val="0"/>
          <w:numId w:val="4"/>
        </w:numPr>
        <w:rPr>
          <w:lang w:eastAsia="zh-CN"/>
        </w:rPr>
      </w:pPr>
      <w:r>
        <w:rPr>
          <w:lang w:eastAsia="zh-CN"/>
        </w:rPr>
        <w:lastRenderedPageBreak/>
        <w:t>贷款</w:t>
      </w:r>
      <w:r>
        <w:rPr>
          <w:lang w:eastAsia="zh-CN"/>
        </w:rPr>
        <w:t>2</w:t>
      </w:r>
      <w:r>
        <w:rPr>
          <w:lang w:eastAsia="zh-CN"/>
        </w:rPr>
        <w:t>授出日期为</w:t>
      </w:r>
      <w:r>
        <w:rPr>
          <w:lang w:eastAsia="zh-CN"/>
        </w:rPr>
        <w:t>2017</w:t>
      </w:r>
      <w:r>
        <w:rPr>
          <w:lang w:eastAsia="zh-CN"/>
        </w:rPr>
        <w:t>年</w:t>
      </w:r>
      <w:r>
        <w:rPr>
          <w:lang w:eastAsia="zh-CN"/>
        </w:rPr>
        <w:t>4</w:t>
      </w:r>
      <w:r>
        <w:rPr>
          <w:lang w:eastAsia="zh-CN"/>
        </w:rPr>
        <w:t>月</w:t>
      </w:r>
      <w:r>
        <w:rPr>
          <w:lang w:eastAsia="zh-CN"/>
        </w:rPr>
        <w:t>11</w:t>
      </w:r>
      <w:r>
        <w:rPr>
          <w:lang w:eastAsia="zh-CN"/>
        </w:rPr>
        <w:t>日，到期日为</w:t>
      </w:r>
      <w:r>
        <w:rPr>
          <w:lang w:eastAsia="zh-CN"/>
        </w:rPr>
        <w:t>2017</w:t>
      </w:r>
      <w:r>
        <w:rPr>
          <w:lang w:eastAsia="zh-CN"/>
        </w:rPr>
        <w:t>年</w:t>
      </w:r>
      <w:r>
        <w:rPr>
          <w:lang w:eastAsia="zh-CN"/>
        </w:rPr>
        <w:t>10</w:t>
      </w:r>
      <w:r>
        <w:rPr>
          <w:lang w:eastAsia="zh-CN"/>
        </w:rPr>
        <w:t>月</w:t>
      </w:r>
      <w:r>
        <w:rPr>
          <w:lang w:eastAsia="zh-CN"/>
        </w:rPr>
        <w:t>10</w:t>
      </w:r>
      <w:r>
        <w:rPr>
          <w:lang w:eastAsia="zh-CN"/>
        </w:rPr>
        <w:t>日。贷款总金额</w:t>
      </w:r>
      <w:r>
        <w:rPr>
          <w:lang w:eastAsia="zh-CN"/>
        </w:rPr>
        <w:t>180</w:t>
      </w:r>
      <w:r>
        <w:rPr>
          <w:lang w:eastAsia="zh-CN"/>
        </w:rPr>
        <w:t>万港元，但是其中确认减值亏损</w:t>
      </w:r>
      <w:r>
        <w:rPr>
          <w:lang w:eastAsia="zh-CN"/>
        </w:rPr>
        <w:t>2.4</w:t>
      </w:r>
      <w:r>
        <w:rPr>
          <w:lang w:eastAsia="zh-CN"/>
        </w:rPr>
        <w:t>万港元；</w:t>
      </w:r>
    </w:p>
    <w:p w:rsidR="006E11D0" w:rsidRDefault="000A5B04">
      <w:pPr>
        <w:pStyle w:val="Compact"/>
        <w:numPr>
          <w:ilvl w:val="0"/>
          <w:numId w:val="4"/>
        </w:numPr>
        <w:rPr>
          <w:lang w:eastAsia="zh-CN"/>
        </w:rPr>
      </w:pPr>
      <w:r>
        <w:rPr>
          <w:lang w:eastAsia="zh-CN"/>
        </w:rPr>
        <w:t>贷款</w:t>
      </w:r>
      <w:r>
        <w:rPr>
          <w:lang w:eastAsia="zh-CN"/>
        </w:rPr>
        <w:t>3</w:t>
      </w:r>
      <w:r>
        <w:rPr>
          <w:lang w:eastAsia="zh-CN"/>
        </w:rPr>
        <w:t>授出日期为</w:t>
      </w:r>
      <w:r>
        <w:rPr>
          <w:lang w:eastAsia="zh-CN"/>
        </w:rPr>
        <w:t>2016</w:t>
      </w:r>
      <w:r>
        <w:rPr>
          <w:lang w:eastAsia="zh-CN"/>
        </w:rPr>
        <w:t>年</w:t>
      </w:r>
      <w:r>
        <w:rPr>
          <w:lang w:eastAsia="zh-CN"/>
        </w:rPr>
        <w:t>6</w:t>
      </w:r>
      <w:r>
        <w:rPr>
          <w:lang w:eastAsia="zh-CN"/>
        </w:rPr>
        <w:t>月</w:t>
      </w:r>
      <w:r>
        <w:rPr>
          <w:lang w:eastAsia="zh-CN"/>
        </w:rPr>
        <w:t>16</w:t>
      </w:r>
      <w:r>
        <w:rPr>
          <w:lang w:eastAsia="zh-CN"/>
        </w:rPr>
        <w:t>日，到期日为</w:t>
      </w:r>
      <w:r>
        <w:rPr>
          <w:lang w:eastAsia="zh-CN"/>
        </w:rPr>
        <w:t>2017</w:t>
      </w:r>
      <w:r>
        <w:rPr>
          <w:lang w:eastAsia="zh-CN"/>
        </w:rPr>
        <w:t>年</w:t>
      </w:r>
      <w:r>
        <w:rPr>
          <w:lang w:eastAsia="zh-CN"/>
        </w:rPr>
        <w:t>6</w:t>
      </w:r>
      <w:r>
        <w:rPr>
          <w:lang w:eastAsia="zh-CN"/>
        </w:rPr>
        <w:t>月</w:t>
      </w:r>
      <w:r>
        <w:rPr>
          <w:lang w:eastAsia="zh-CN"/>
        </w:rPr>
        <w:t>15</w:t>
      </w:r>
      <w:r>
        <w:rPr>
          <w:lang w:eastAsia="zh-CN"/>
        </w:rPr>
        <w:t>日。贷款总金额</w:t>
      </w:r>
      <w:r>
        <w:rPr>
          <w:lang w:eastAsia="zh-CN"/>
        </w:rPr>
        <w:t>310</w:t>
      </w:r>
      <w:r>
        <w:rPr>
          <w:lang w:eastAsia="zh-CN"/>
        </w:rPr>
        <w:t>万港元，但是其中确认减</w:t>
      </w:r>
      <w:r>
        <w:rPr>
          <w:lang w:eastAsia="zh-CN"/>
        </w:rPr>
        <w:t>值亏损</w:t>
      </w:r>
      <w:r>
        <w:rPr>
          <w:lang w:eastAsia="zh-CN"/>
        </w:rPr>
        <w:t>4.2</w:t>
      </w:r>
      <w:r>
        <w:rPr>
          <w:lang w:eastAsia="zh-CN"/>
        </w:rPr>
        <w:t>万港元；及</w:t>
      </w:r>
    </w:p>
    <w:p w:rsidR="006E11D0" w:rsidRDefault="000A5B04">
      <w:pPr>
        <w:pStyle w:val="Compact"/>
        <w:numPr>
          <w:ilvl w:val="0"/>
          <w:numId w:val="4"/>
        </w:numPr>
        <w:rPr>
          <w:lang w:eastAsia="zh-CN"/>
        </w:rPr>
      </w:pPr>
      <w:r>
        <w:rPr>
          <w:lang w:eastAsia="zh-CN"/>
        </w:rPr>
        <w:t>贷款</w:t>
      </w:r>
      <w:r>
        <w:rPr>
          <w:lang w:eastAsia="zh-CN"/>
        </w:rPr>
        <w:t>4</w:t>
      </w:r>
      <w:r>
        <w:rPr>
          <w:lang w:eastAsia="zh-CN"/>
        </w:rPr>
        <w:t>授出日期为</w:t>
      </w:r>
      <w:r>
        <w:rPr>
          <w:lang w:eastAsia="zh-CN"/>
        </w:rPr>
        <w:t>2019</w:t>
      </w:r>
      <w:r>
        <w:rPr>
          <w:lang w:eastAsia="zh-CN"/>
        </w:rPr>
        <w:t>年</w:t>
      </w:r>
      <w:r>
        <w:rPr>
          <w:lang w:eastAsia="zh-CN"/>
        </w:rPr>
        <w:t>6</w:t>
      </w:r>
      <w:r>
        <w:rPr>
          <w:lang w:eastAsia="zh-CN"/>
        </w:rPr>
        <w:t>月</w:t>
      </w:r>
      <w:r>
        <w:rPr>
          <w:lang w:eastAsia="zh-CN"/>
        </w:rPr>
        <w:t>14</w:t>
      </w:r>
      <w:r>
        <w:rPr>
          <w:lang w:eastAsia="zh-CN"/>
        </w:rPr>
        <w:t>日，到期日为</w:t>
      </w:r>
      <w:r>
        <w:rPr>
          <w:lang w:eastAsia="zh-CN"/>
        </w:rPr>
        <w:t>2019</w:t>
      </w:r>
      <w:r>
        <w:rPr>
          <w:lang w:eastAsia="zh-CN"/>
        </w:rPr>
        <w:t>年</w:t>
      </w:r>
      <w:r>
        <w:rPr>
          <w:lang w:eastAsia="zh-CN"/>
        </w:rPr>
        <w:t>12</w:t>
      </w:r>
      <w:r>
        <w:rPr>
          <w:lang w:eastAsia="zh-CN"/>
        </w:rPr>
        <w:t>月</w:t>
      </w:r>
      <w:r>
        <w:rPr>
          <w:lang w:eastAsia="zh-CN"/>
        </w:rPr>
        <w:t>31</w:t>
      </w:r>
      <w:r>
        <w:rPr>
          <w:lang w:eastAsia="zh-CN"/>
        </w:rPr>
        <w:t>日。贷款总金额</w:t>
      </w:r>
      <w:r>
        <w:rPr>
          <w:lang w:eastAsia="zh-CN"/>
        </w:rPr>
        <w:t>700</w:t>
      </w:r>
      <w:r>
        <w:rPr>
          <w:lang w:eastAsia="zh-CN"/>
        </w:rPr>
        <w:t>万港元，但是其中确认减值亏损</w:t>
      </w:r>
      <w:r>
        <w:rPr>
          <w:lang w:eastAsia="zh-CN"/>
        </w:rPr>
        <w:t>21.5</w:t>
      </w:r>
      <w:r>
        <w:rPr>
          <w:lang w:eastAsia="zh-CN"/>
        </w:rPr>
        <w:t>万港元。</w:t>
      </w:r>
    </w:p>
    <w:p w:rsidR="006E11D0" w:rsidRDefault="000A5B04">
      <w:pPr>
        <w:pStyle w:val="FirstParagraph"/>
        <w:rPr>
          <w:lang w:eastAsia="zh-CN"/>
        </w:rPr>
      </w:pPr>
      <w:r>
        <w:rPr>
          <w:lang w:eastAsia="zh-CN"/>
        </w:rPr>
        <w:t>华建控股截至</w:t>
      </w:r>
      <w:r>
        <w:rPr>
          <w:lang w:eastAsia="zh-CN"/>
        </w:rPr>
        <w:t>2019</w:t>
      </w:r>
      <w:r>
        <w:rPr>
          <w:lang w:eastAsia="zh-CN"/>
        </w:rPr>
        <w:t>年</w:t>
      </w:r>
      <w:r>
        <w:rPr>
          <w:lang w:eastAsia="zh-CN"/>
        </w:rPr>
        <w:t>6</w:t>
      </w:r>
      <w:r>
        <w:rPr>
          <w:lang w:eastAsia="zh-CN"/>
        </w:rPr>
        <w:t>月</w:t>
      </w:r>
      <w:r>
        <w:rPr>
          <w:lang w:eastAsia="zh-CN"/>
        </w:rPr>
        <w:t>30</w:t>
      </w:r>
      <w:r>
        <w:rPr>
          <w:lang w:eastAsia="zh-CN"/>
        </w:rPr>
        <w:t>日止年度业绩中，该公司在缺乏文件记录下透过管理层估计厘定有关贷款的减值亏损拨备。该公司核数师无法向该公司取得足够的审计凭证，以厘定减值亏损拨备是否合适及应否作任何必要调整，并因此对华建控股截至</w:t>
      </w:r>
      <w:r>
        <w:rPr>
          <w:lang w:eastAsia="zh-CN"/>
        </w:rPr>
        <w:t>2019</w:t>
      </w:r>
      <w:r>
        <w:rPr>
          <w:lang w:eastAsia="zh-CN"/>
        </w:rPr>
        <w:t>年</w:t>
      </w:r>
      <w:r>
        <w:rPr>
          <w:lang w:eastAsia="zh-CN"/>
        </w:rPr>
        <w:t>6</w:t>
      </w:r>
      <w:r>
        <w:rPr>
          <w:lang w:eastAsia="zh-CN"/>
        </w:rPr>
        <w:t>月</w:t>
      </w:r>
      <w:r>
        <w:rPr>
          <w:lang w:eastAsia="zh-CN"/>
        </w:rPr>
        <w:t>30</w:t>
      </w:r>
      <w:r>
        <w:rPr>
          <w:lang w:eastAsia="zh-CN"/>
        </w:rPr>
        <w:t>日止年度业绩发出了保留意见。</w:t>
      </w:r>
    </w:p>
    <w:p w:rsidR="006E11D0" w:rsidRDefault="000A5B04">
      <w:pPr>
        <w:pStyle w:val="BodyText"/>
        <w:rPr>
          <w:lang w:eastAsia="zh-CN"/>
        </w:rPr>
      </w:pPr>
      <w:r>
        <w:rPr>
          <w:lang w:eastAsia="zh-CN"/>
        </w:rPr>
        <w:t>当时，柯先生及付先生是该公司放债业务的负责人，主要负责就该业务实施内部监控措施。</w:t>
      </w:r>
    </w:p>
    <w:p w:rsidR="006E11D0" w:rsidRDefault="000A5B04">
      <w:pPr>
        <w:pStyle w:val="BodyText"/>
        <w:rPr>
          <w:lang w:eastAsia="zh-CN"/>
        </w:rPr>
      </w:pPr>
      <w:r>
        <w:rPr>
          <w:lang w:eastAsia="zh-CN"/>
        </w:rPr>
        <w:t>华建</w:t>
      </w:r>
      <w:r>
        <w:rPr>
          <w:lang w:eastAsia="zh-CN"/>
        </w:rPr>
        <w:t>控股曾于截至</w:t>
      </w:r>
      <w:r>
        <w:rPr>
          <w:lang w:eastAsia="zh-CN"/>
        </w:rPr>
        <w:t>2018</w:t>
      </w:r>
      <w:r>
        <w:rPr>
          <w:lang w:eastAsia="zh-CN"/>
        </w:rPr>
        <w:t>年</w:t>
      </w:r>
      <w:r>
        <w:rPr>
          <w:lang w:eastAsia="zh-CN"/>
        </w:rPr>
        <w:t>6</w:t>
      </w:r>
      <w:r>
        <w:rPr>
          <w:lang w:eastAsia="zh-CN"/>
        </w:rPr>
        <w:t>月</w:t>
      </w:r>
      <w:r>
        <w:rPr>
          <w:lang w:eastAsia="zh-CN"/>
        </w:rPr>
        <w:t>30</w:t>
      </w:r>
      <w:r>
        <w:rPr>
          <w:lang w:eastAsia="zh-CN"/>
        </w:rPr>
        <w:t>日止财政年度委聘独立顾问进行内部监控检讨，并因此发现华建控股放债业务存在诸多缺陷，详列如下：</w:t>
      </w:r>
    </w:p>
    <w:p w:rsidR="006E11D0" w:rsidRDefault="000A5B04">
      <w:pPr>
        <w:pStyle w:val="Compact"/>
        <w:numPr>
          <w:ilvl w:val="0"/>
          <w:numId w:val="5"/>
        </w:numPr>
        <w:rPr>
          <w:lang w:eastAsia="zh-CN"/>
        </w:rPr>
      </w:pPr>
      <w:r>
        <w:rPr>
          <w:lang w:eastAsia="zh-CN"/>
        </w:rPr>
        <w:t>无法找到用以评估若干借款人信贷状况的充足主要财务数据（例如，收入，地址证明以及报税表）；</w:t>
      </w:r>
    </w:p>
    <w:p w:rsidR="006E11D0" w:rsidRDefault="000A5B04">
      <w:pPr>
        <w:pStyle w:val="Compact"/>
        <w:numPr>
          <w:ilvl w:val="0"/>
          <w:numId w:val="5"/>
        </w:numPr>
        <w:rPr>
          <w:lang w:eastAsia="zh-CN"/>
        </w:rPr>
      </w:pPr>
      <w:r>
        <w:rPr>
          <w:lang w:eastAsia="zh-CN"/>
        </w:rPr>
        <w:t>若干贷款协议要求借款人以物业作抵押，但未有签立相关抵押契据；</w:t>
      </w:r>
    </w:p>
    <w:p w:rsidR="006E11D0" w:rsidRDefault="000A5B04">
      <w:pPr>
        <w:pStyle w:val="Compact"/>
        <w:numPr>
          <w:ilvl w:val="0"/>
          <w:numId w:val="5"/>
        </w:numPr>
        <w:rPr>
          <w:lang w:eastAsia="zh-CN"/>
        </w:rPr>
      </w:pPr>
      <w:r>
        <w:rPr>
          <w:lang w:eastAsia="zh-CN"/>
        </w:rPr>
        <w:t>若干贷款已到期但仍未偿还。但是，所抵押物业因未有签立正式的抵押契据而无法执行赎取权；及</w:t>
      </w:r>
    </w:p>
    <w:p w:rsidR="006E11D0" w:rsidRDefault="000A5B04">
      <w:pPr>
        <w:pStyle w:val="Compact"/>
        <w:numPr>
          <w:ilvl w:val="0"/>
          <w:numId w:val="5"/>
        </w:numPr>
        <w:rPr>
          <w:lang w:eastAsia="zh-CN"/>
        </w:rPr>
      </w:pPr>
      <w:r>
        <w:rPr>
          <w:lang w:eastAsia="zh-CN"/>
        </w:rPr>
        <w:t>华建控股并未就抵押取得借款人所拥有物业的地契。</w:t>
      </w:r>
    </w:p>
    <w:p w:rsidR="006E11D0" w:rsidRDefault="000A5B04">
      <w:pPr>
        <w:pStyle w:val="FirstParagraph"/>
        <w:rPr>
          <w:lang w:eastAsia="zh-CN"/>
        </w:rPr>
      </w:pPr>
      <w:r>
        <w:rPr>
          <w:lang w:eastAsia="zh-CN"/>
        </w:rPr>
        <w:t>华建控股对借款人进行了若干信贷评估，但评估不够全面。虽然该公司就经营放债业务有相关信贷及内部监控政策</w:t>
      </w:r>
      <w:r>
        <w:rPr>
          <w:lang w:eastAsia="zh-CN"/>
        </w:rPr>
        <w:t>，但缺乏关于处理贷款及利息还款违约的程序。无论如何，柯先生及付先生均未有遵守有关政策，因而对造成有关内控缺陷的出现。</w:t>
      </w:r>
    </w:p>
    <w:p w:rsidR="006E11D0" w:rsidRDefault="000A5B04">
      <w:pPr>
        <w:pStyle w:val="BodyText"/>
        <w:rPr>
          <w:lang w:eastAsia="zh-CN"/>
        </w:rPr>
      </w:pPr>
      <w:r>
        <w:rPr>
          <w:lang w:eastAsia="zh-CN"/>
        </w:rPr>
        <w:t>为解决有关内控缺陷，董事会采纳了一份经修订的手册，以补充其信贷及内部监控政策，同时柯先生及付先生亦采取了若干行动收回有关贷款，包括每周与借款人跟进。贷款</w:t>
      </w:r>
      <w:r>
        <w:rPr>
          <w:lang w:eastAsia="zh-CN"/>
        </w:rPr>
        <w:t>4</w:t>
      </w:r>
      <w:r>
        <w:rPr>
          <w:lang w:eastAsia="zh-CN"/>
        </w:rPr>
        <w:t>已于</w:t>
      </w:r>
      <w:r>
        <w:rPr>
          <w:lang w:eastAsia="zh-CN"/>
        </w:rPr>
        <w:t>2019</w:t>
      </w:r>
      <w:r>
        <w:rPr>
          <w:lang w:eastAsia="zh-CN"/>
        </w:rPr>
        <w:t>年</w:t>
      </w:r>
      <w:r>
        <w:rPr>
          <w:lang w:eastAsia="zh-CN"/>
        </w:rPr>
        <w:t>12</w:t>
      </w:r>
      <w:r>
        <w:rPr>
          <w:lang w:eastAsia="zh-CN"/>
        </w:rPr>
        <w:t>月</w:t>
      </w:r>
      <w:r>
        <w:rPr>
          <w:lang w:eastAsia="zh-CN"/>
        </w:rPr>
        <w:t>30</w:t>
      </w:r>
      <w:r>
        <w:rPr>
          <w:lang w:eastAsia="zh-CN"/>
        </w:rPr>
        <w:t>日偿清。就贷款</w:t>
      </w:r>
      <w:r>
        <w:rPr>
          <w:lang w:eastAsia="zh-CN"/>
        </w:rPr>
        <w:t>2</w:t>
      </w:r>
      <w:r>
        <w:rPr>
          <w:lang w:eastAsia="zh-CN"/>
        </w:rPr>
        <w:t>及</w:t>
      </w:r>
      <w:r>
        <w:rPr>
          <w:lang w:eastAsia="zh-CN"/>
        </w:rPr>
        <w:t>3</w:t>
      </w:r>
      <w:r>
        <w:rPr>
          <w:lang w:eastAsia="zh-CN"/>
        </w:rPr>
        <w:t>而言，华建控股与相关借款人达成和解，且和解金额已分别于</w:t>
      </w:r>
      <w:r>
        <w:rPr>
          <w:lang w:eastAsia="zh-CN"/>
        </w:rPr>
        <w:t>2021</w:t>
      </w:r>
      <w:r>
        <w:rPr>
          <w:lang w:eastAsia="zh-CN"/>
        </w:rPr>
        <w:t>年</w:t>
      </w:r>
      <w:r>
        <w:rPr>
          <w:lang w:eastAsia="zh-CN"/>
        </w:rPr>
        <w:t>6</w:t>
      </w:r>
      <w:r>
        <w:rPr>
          <w:lang w:eastAsia="zh-CN"/>
        </w:rPr>
        <w:t>月</w:t>
      </w:r>
      <w:r>
        <w:rPr>
          <w:lang w:eastAsia="zh-CN"/>
        </w:rPr>
        <w:t>30</w:t>
      </w:r>
      <w:r>
        <w:rPr>
          <w:lang w:eastAsia="zh-CN"/>
        </w:rPr>
        <w:t>日及</w:t>
      </w:r>
      <w:r>
        <w:rPr>
          <w:lang w:eastAsia="zh-CN"/>
        </w:rPr>
        <w:t xml:space="preserve">2021 </w:t>
      </w:r>
      <w:r>
        <w:rPr>
          <w:lang w:eastAsia="zh-CN"/>
        </w:rPr>
        <w:t>年</w:t>
      </w:r>
      <w:r>
        <w:rPr>
          <w:lang w:eastAsia="zh-CN"/>
        </w:rPr>
        <w:t>11</w:t>
      </w:r>
      <w:r>
        <w:rPr>
          <w:lang w:eastAsia="zh-CN"/>
        </w:rPr>
        <w:t>月</w:t>
      </w:r>
      <w:r>
        <w:rPr>
          <w:lang w:eastAsia="zh-CN"/>
        </w:rPr>
        <w:t>26</w:t>
      </w:r>
      <w:r>
        <w:rPr>
          <w:lang w:eastAsia="zh-CN"/>
        </w:rPr>
        <w:t>日悉数支付。</w:t>
      </w:r>
    </w:p>
    <w:p w:rsidR="006E11D0" w:rsidRDefault="000A5B04">
      <w:pPr>
        <w:pStyle w:val="BodyText"/>
        <w:rPr>
          <w:lang w:eastAsia="zh-CN"/>
        </w:rPr>
      </w:pPr>
      <w:r>
        <w:rPr>
          <w:lang w:eastAsia="zh-CN"/>
        </w:rPr>
        <w:t>香港交易所《上市规则》违规事项</w:t>
      </w:r>
    </w:p>
    <w:p w:rsidR="006E11D0" w:rsidRDefault="000A5B04">
      <w:pPr>
        <w:pStyle w:val="BodyText"/>
        <w:rPr>
          <w:lang w:eastAsia="zh-CN"/>
        </w:rPr>
      </w:pPr>
      <w:r>
        <w:rPr>
          <w:lang w:eastAsia="zh-CN"/>
        </w:rPr>
        <w:t>上市委员会裁定柯先生及付先生违反香港交易所《上市规则</w:t>
      </w:r>
      <w:r>
        <w:rPr>
          <w:lang w:eastAsia="zh-CN"/>
        </w:rPr>
        <w:t>》第</w:t>
      </w:r>
      <w:r>
        <w:rPr>
          <w:lang w:eastAsia="zh-CN"/>
        </w:rPr>
        <w:t>3.08</w:t>
      </w:r>
      <w:r>
        <w:rPr>
          <w:lang w:eastAsia="zh-CN"/>
        </w:rPr>
        <w:t>条及其《董事承诺》，原因是其未有：</w:t>
      </w:r>
      <w:r>
        <w:rPr>
          <w:lang w:eastAsia="zh-CN"/>
        </w:rPr>
        <w:t>(i)</w:t>
      </w:r>
      <w:r>
        <w:rPr>
          <w:lang w:eastAsia="zh-CN"/>
        </w:rPr>
        <w:t>采取足够的行动保障华建控股的利益；及</w:t>
      </w:r>
      <w:r>
        <w:rPr>
          <w:lang w:eastAsia="zh-CN"/>
        </w:rPr>
        <w:t>(ii)</w:t>
      </w:r>
      <w:r>
        <w:rPr>
          <w:lang w:eastAsia="zh-CN"/>
        </w:rPr>
        <w:t>确保华建控股就其放债业务实施及维持充足及有效的内部监控措施。</w:t>
      </w:r>
    </w:p>
    <w:p w:rsidR="006E11D0" w:rsidRDefault="000A5B04">
      <w:pPr>
        <w:pStyle w:val="BodyText"/>
        <w:rPr>
          <w:lang w:eastAsia="zh-CN"/>
        </w:rPr>
      </w:pPr>
      <w:r>
        <w:rPr>
          <w:lang w:eastAsia="zh-CN"/>
        </w:rPr>
        <w:t>柯先生及付先生依赖其本身对借款人财务状况作出的评估，且并未跟从相关政策及程序取得相关文件（例如从征信机构取得的消费者信贷报告或任何其他独立资产估值报告）以支持其评估。因此，华建控股仅能透过管理层的判断估计减值亏损拨备，这就导致核数师对其</w:t>
      </w:r>
      <w:r>
        <w:rPr>
          <w:lang w:eastAsia="zh-CN"/>
        </w:rPr>
        <w:t xml:space="preserve"> 2019 </w:t>
      </w:r>
      <w:r>
        <w:rPr>
          <w:lang w:eastAsia="zh-CN"/>
        </w:rPr>
        <w:t>年度业绩发出保留意见。</w:t>
      </w:r>
    </w:p>
    <w:p w:rsidR="006E11D0" w:rsidRDefault="000A5B04">
      <w:pPr>
        <w:pStyle w:val="BodyText"/>
        <w:rPr>
          <w:lang w:eastAsia="zh-CN"/>
        </w:rPr>
      </w:pPr>
      <w:r>
        <w:rPr>
          <w:lang w:eastAsia="zh-CN"/>
        </w:rPr>
        <w:t>而且，柯先生及付先生未有核实所抵押资产的拥有权，亦未有按相关协议规定对抵押资产执行</w:t>
      </w:r>
      <w:r>
        <w:rPr>
          <w:lang w:eastAsia="zh-CN"/>
        </w:rPr>
        <w:t>抵押契据。相反，他们仅依赖相关协议中提述有关处理抵押资产的限制条文行事。这对华建控股收回有关贷款的能力造成了不利影响。</w:t>
      </w:r>
    </w:p>
    <w:p w:rsidR="006E11D0" w:rsidRDefault="000A5B04">
      <w:pPr>
        <w:pStyle w:val="BodyText"/>
        <w:rPr>
          <w:lang w:eastAsia="zh-CN"/>
        </w:rPr>
      </w:pPr>
      <w:r>
        <w:rPr>
          <w:lang w:eastAsia="zh-CN"/>
        </w:rPr>
        <w:t>柯先生及付先生是华建控股放债业务的负责人，主要负责就该业务实施及维持充足及有效的内部监控措施。内部监控检讨中发现了有关内控缺陷均由于</w:t>
      </w:r>
      <w:r>
        <w:rPr>
          <w:lang w:eastAsia="zh-CN"/>
        </w:rPr>
        <w:t>(a)</w:t>
      </w:r>
      <w:r>
        <w:rPr>
          <w:lang w:eastAsia="zh-CN"/>
        </w:rPr>
        <w:t>信贷及内部监控政策中缺乏处理贷款及利息还款违约的程序；及</w:t>
      </w:r>
      <w:r>
        <w:rPr>
          <w:lang w:eastAsia="zh-CN"/>
        </w:rPr>
        <w:t>(b)</w:t>
      </w:r>
      <w:r>
        <w:rPr>
          <w:lang w:eastAsia="zh-CN"/>
        </w:rPr>
        <w:t>柯先生及付先生未有遵从该政策及其中的程序所导致。</w:t>
      </w:r>
    </w:p>
    <w:p w:rsidR="006E11D0" w:rsidRDefault="000A5B04">
      <w:pPr>
        <w:pStyle w:val="BodyText"/>
        <w:rPr>
          <w:lang w:eastAsia="zh-CN"/>
        </w:rPr>
      </w:pPr>
      <w:r>
        <w:rPr>
          <w:lang w:eastAsia="zh-CN"/>
        </w:rPr>
        <w:lastRenderedPageBreak/>
        <w:t>因此，香港交易所批评了柯先生及付先生，并指令他们各须于</w:t>
      </w:r>
      <w:r>
        <w:rPr>
          <w:lang w:eastAsia="zh-CN"/>
        </w:rPr>
        <w:t>90</w:t>
      </w:r>
      <w:r>
        <w:rPr>
          <w:lang w:eastAsia="zh-CN"/>
        </w:rPr>
        <w:t>日内完成</w:t>
      </w:r>
      <w:r>
        <w:rPr>
          <w:lang w:eastAsia="zh-CN"/>
        </w:rPr>
        <w:t>15</w:t>
      </w:r>
      <w:r>
        <w:rPr>
          <w:lang w:eastAsia="zh-CN"/>
        </w:rPr>
        <w:t>小时有关监管及法律议题以及《上市规则》合规事宜的培训，当中包括以下内容各至少</w:t>
      </w:r>
      <w:r>
        <w:rPr>
          <w:lang w:eastAsia="zh-CN"/>
        </w:rPr>
        <w:t>3</w:t>
      </w:r>
      <w:r>
        <w:rPr>
          <w:lang w:eastAsia="zh-CN"/>
        </w:rPr>
        <w:t>小时：董事责任及《企业管治守则》。</w:t>
      </w:r>
    </w:p>
    <w:p w:rsidR="006E11D0" w:rsidRDefault="000A5B04">
      <w:pPr>
        <w:pStyle w:val="BodyText"/>
        <w:rPr>
          <w:lang w:eastAsia="zh-CN"/>
        </w:rPr>
      </w:pPr>
      <w:r>
        <w:rPr>
          <w:lang w:eastAsia="zh-CN"/>
        </w:rPr>
        <w:t>香港交易所谴责富一国际控股有限公司</w:t>
      </w:r>
    </w:p>
    <w:p w:rsidR="006E11D0" w:rsidRDefault="000A5B04">
      <w:pPr>
        <w:pStyle w:val="BodyText"/>
        <w:rPr>
          <w:lang w:eastAsia="zh-CN"/>
        </w:rPr>
      </w:pPr>
      <w:r>
        <w:rPr>
          <w:lang w:eastAsia="zh-CN"/>
        </w:rPr>
        <w:t>2022</w:t>
      </w:r>
      <w:r>
        <w:rPr>
          <w:lang w:eastAsia="zh-CN"/>
        </w:rPr>
        <w:t>年</w:t>
      </w:r>
      <w:r>
        <w:rPr>
          <w:lang w:eastAsia="zh-CN"/>
        </w:rPr>
        <w:t>5</w:t>
      </w:r>
      <w:r>
        <w:rPr>
          <w:lang w:eastAsia="zh-CN"/>
        </w:rPr>
        <w:t>月</w:t>
      </w:r>
      <w:r>
        <w:rPr>
          <w:lang w:eastAsia="zh-CN"/>
        </w:rPr>
        <w:t>18</w:t>
      </w:r>
      <w:r>
        <w:rPr>
          <w:lang w:eastAsia="zh-CN"/>
        </w:rPr>
        <w:t>日，香港交易所谴责富一国际控股有限公司（</w:t>
      </w:r>
      <w:r>
        <w:rPr>
          <w:b/>
          <w:lang w:eastAsia="zh-CN"/>
        </w:rPr>
        <w:t>富一</w:t>
      </w:r>
      <w:r>
        <w:rPr>
          <w:lang w:eastAsia="zh-CN"/>
        </w:rPr>
        <w:t>）以及</w:t>
      </w:r>
      <w:r>
        <w:rPr>
          <w:lang w:eastAsia="zh-CN"/>
        </w:rPr>
        <w:t>5</w:t>
      </w:r>
      <w:r>
        <w:rPr>
          <w:lang w:eastAsia="zh-CN"/>
        </w:rPr>
        <w:t>名前任及现任董事</w:t>
      </w:r>
      <w:r>
        <w:rPr>
          <w:lang w:eastAsia="zh-CN"/>
        </w:rPr>
        <w:t>——(i)</w:t>
      </w:r>
      <w:r>
        <w:rPr>
          <w:lang w:eastAsia="zh-CN"/>
        </w:rPr>
        <w:t>主席、行政总裁、执行董事及控股股东孟广银先生（</w:t>
      </w:r>
      <w:r>
        <w:rPr>
          <w:b/>
          <w:lang w:eastAsia="zh-CN"/>
        </w:rPr>
        <w:t>孟先生</w:t>
      </w:r>
      <w:r>
        <w:rPr>
          <w:lang w:eastAsia="zh-CN"/>
        </w:rPr>
        <w:t>）；</w:t>
      </w:r>
      <w:r>
        <w:rPr>
          <w:lang w:eastAsia="zh-CN"/>
        </w:rPr>
        <w:t>(ii)</w:t>
      </w:r>
      <w:r>
        <w:rPr>
          <w:lang w:eastAsia="zh-CN"/>
        </w:rPr>
        <w:t>执行董事刘国庆先生（</w:t>
      </w:r>
      <w:r>
        <w:rPr>
          <w:b/>
          <w:lang w:eastAsia="zh-CN"/>
        </w:rPr>
        <w:t>刘国庆先生</w:t>
      </w:r>
      <w:r>
        <w:rPr>
          <w:lang w:eastAsia="zh-CN"/>
        </w:rPr>
        <w:t>）；</w:t>
      </w:r>
      <w:r>
        <w:rPr>
          <w:lang w:eastAsia="zh-CN"/>
        </w:rPr>
        <w:t>(iii)</w:t>
      </w:r>
      <w:r>
        <w:rPr>
          <w:lang w:eastAsia="zh-CN"/>
        </w:rPr>
        <w:t>执行董事刘加强先生（</w:t>
      </w:r>
      <w:r>
        <w:rPr>
          <w:b/>
          <w:lang w:eastAsia="zh-CN"/>
        </w:rPr>
        <w:t>刘加强先生</w:t>
      </w:r>
      <w:r>
        <w:rPr>
          <w:lang w:eastAsia="zh-CN"/>
        </w:rPr>
        <w:t>）；</w:t>
      </w:r>
      <w:r>
        <w:rPr>
          <w:lang w:eastAsia="zh-CN"/>
        </w:rPr>
        <w:t>(iv)</w:t>
      </w:r>
      <w:r>
        <w:rPr>
          <w:lang w:eastAsia="zh-CN"/>
        </w:rPr>
        <w:t>前执行董事廖品综先生（</w:t>
      </w:r>
      <w:r>
        <w:rPr>
          <w:b/>
          <w:lang w:eastAsia="zh-CN"/>
        </w:rPr>
        <w:t>廖先生</w:t>
      </w:r>
      <w:r>
        <w:rPr>
          <w:lang w:eastAsia="zh-CN"/>
        </w:rPr>
        <w:t>）；以及</w:t>
      </w:r>
      <w:r>
        <w:rPr>
          <w:lang w:eastAsia="zh-CN"/>
        </w:rPr>
        <w:t>(v)</w:t>
      </w:r>
      <w:r>
        <w:rPr>
          <w:lang w:eastAsia="zh-CN"/>
        </w:rPr>
        <w:t>独立</w:t>
      </w:r>
      <w:r>
        <w:rPr>
          <w:lang w:eastAsia="zh-CN"/>
        </w:rPr>
        <w:t>非执行董事田志远先生（</w:t>
      </w:r>
      <w:r>
        <w:rPr>
          <w:b/>
          <w:lang w:eastAsia="zh-CN"/>
        </w:rPr>
        <w:t>田先生</w:t>
      </w:r>
      <w:r>
        <w:rPr>
          <w:lang w:eastAsia="zh-CN"/>
        </w:rPr>
        <w:t>）。</w:t>
      </w:r>
    </w:p>
    <w:p w:rsidR="006E11D0" w:rsidRDefault="000A5B04">
      <w:pPr>
        <w:pStyle w:val="BodyText"/>
        <w:rPr>
          <w:lang w:eastAsia="zh-CN"/>
        </w:rPr>
      </w:pPr>
      <w:r>
        <w:rPr>
          <w:lang w:eastAsia="zh-CN"/>
        </w:rPr>
        <w:t>香港交易所还批评了</w:t>
      </w:r>
      <w:r>
        <w:rPr>
          <w:lang w:eastAsia="zh-CN"/>
        </w:rPr>
        <w:t>2</w:t>
      </w:r>
      <w:r>
        <w:rPr>
          <w:lang w:eastAsia="zh-CN"/>
        </w:rPr>
        <w:t>名现任独立非执行董事</w:t>
      </w:r>
      <w:r>
        <w:rPr>
          <w:lang w:eastAsia="zh-CN"/>
        </w:rPr>
        <w:t>——</w:t>
      </w:r>
      <w:r>
        <w:rPr>
          <w:lang w:eastAsia="zh-CN"/>
        </w:rPr>
        <w:t>李镇强先生（</w:t>
      </w:r>
      <w:r>
        <w:rPr>
          <w:b/>
          <w:lang w:eastAsia="zh-CN"/>
        </w:rPr>
        <w:t>李先生</w:t>
      </w:r>
      <w:r>
        <w:rPr>
          <w:lang w:eastAsia="zh-CN"/>
        </w:rPr>
        <w:t>）及王鲁平先生（</w:t>
      </w:r>
      <w:r>
        <w:rPr>
          <w:b/>
          <w:lang w:eastAsia="zh-CN"/>
        </w:rPr>
        <w:t>王先生</w:t>
      </w:r>
      <w:r>
        <w:rPr>
          <w:lang w:eastAsia="zh-CN"/>
        </w:rPr>
        <w:t>）</w:t>
      </w:r>
      <w:r>
        <w:rPr>
          <w:lang w:eastAsia="zh-CN"/>
        </w:rPr>
        <w:t>——</w:t>
      </w:r>
      <w:r>
        <w:rPr>
          <w:lang w:eastAsia="zh-CN"/>
        </w:rPr>
        <w:t>以及</w:t>
      </w:r>
      <w:r>
        <w:rPr>
          <w:lang w:eastAsia="zh-CN"/>
        </w:rPr>
        <w:t>2</w:t>
      </w:r>
      <w:r>
        <w:rPr>
          <w:lang w:eastAsia="zh-CN"/>
        </w:rPr>
        <w:t>名前独立非执行董事</w:t>
      </w:r>
      <w:r>
        <w:rPr>
          <w:lang w:eastAsia="zh-CN"/>
        </w:rPr>
        <w:t>——</w:t>
      </w:r>
      <w:r>
        <w:rPr>
          <w:lang w:eastAsia="zh-CN"/>
        </w:rPr>
        <w:t>胡金锐先生（</w:t>
      </w:r>
      <w:r>
        <w:rPr>
          <w:b/>
          <w:lang w:eastAsia="zh-CN"/>
        </w:rPr>
        <w:t>胡先生</w:t>
      </w:r>
      <w:r>
        <w:rPr>
          <w:lang w:eastAsia="zh-CN"/>
        </w:rPr>
        <w:t>）及陈贻平先生（</w:t>
      </w:r>
      <w:r>
        <w:rPr>
          <w:b/>
          <w:lang w:eastAsia="zh-CN"/>
        </w:rPr>
        <w:t>陈先生</w:t>
      </w:r>
      <w:r>
        <w:rPr>
          <w:lang w:eastAsia="zh-CN"/>
        </w:rPr>
        <w:t>）。</w:t>
      </w:r>
    </w:p>
    <w:p w:rsidR="006E11D0" w:rsidRDefault="000A5B04">
      <w:pPr>
        <w:pStyle w:val="BodyText"/>
        <w:rPr>
          <w:lang w:eastAsia="zh-CN"/>
        </w:rPr>
      </w:pPr>
      <w:r>
        <w:rPr>
          <w:lang w:eastAsia="zh-CN"/>
        </w:rPr>
        <w:t>香港交易所指令以上</w:t>
      </w:r>
      <w:r>
        <w:rPr>
          <w:lang w:eastAsia="zh-CN"/>
        </w:rPr>
        <w:t>9</w:t>
      </w:r>
      <w:r>
        <w:rPr>
          <w:lang w:eastAsia="zh-CN"/>
        </w:rPr>
        <w:t>名董事各自完成</w:t>
      </w:r>
      <w:r>
        <w:rPr>
          <w:lang w:eastAsia="zh-CN"/>
        </w:rPr>
        <w:t>21</w:t>
      </w:r>
      <w:r>
        <w:rPr>
          <w:lang w:eastAsia="zh-CN"/>
        </w:rPr>
        <w:t>小时有关监管及法律议题以及香港交易所《上市规则》合规事宜的培训。香港交易所还指令检讨富一公司有关促使其遵守香港交易所《上市规则》有关须予公布及关连交易的规定的内部监控措施。</w:t>
      </w:r>
    </w:p>
    <w:p w:rsidR="006E11D0" w:rsidRDefault="000A5B04">
      <w:pPr>
        <w:pStyle w:val="BodyText"/>
        <w:rPr>
          <w:lang w:eastAsia="zh-CN"/>
        </w:rPr>
      </w:pPr>
      <w:r>
        <w:rPr>
          <w:lang w:eastAsia="zh-CN"/>
        </w:rPr>
        <w:t>香港交易所实施这些纪律行动的原因是，（除其他以外）该公司及该等董事未能遵守并促使该公司遵守香港交易所《</w:t>
      </w:r>
      <w:r>
        <w:rPr>
          <w:lang w:eastAsia="zh-CN"/>
        </w:rPr>
        <w:t>上市规则》有关须予公布及关连交易的规定，以及未有确保该公司维持充足而有效的内部监控系统。香港交易所相关《纪律行动声明》载列于</w:t>
      </w:r>
      <w:hyperlink r:id="rId11">
        <w:r>
          <w:rPr>
            <w:lang w:eastAsia="zh-CN"/>
          </w:rPr>
          <w:t>香港交易所网站</w:t>
        </w:r>
      </w:hyperlink>
      <w:r>
        <w:rPr>
          <w:lang w:eastAsia="zh-CN"/>
        </w:rPr>
        <w:t>。</w:t>
      </w:r>
    </w:p>
    <w:p w:rsidR="006E11D0" w:rsidRDefault="000A5B04">
      <w:pPr>
        <w:pStyle w:val="BodyText"/>
        <w:rPr>
          <w:lang w:eastAsia="zh-CN"/>
        </w:rPr>
      </w:pPr>
      <w:r>
        <w:rPr>
          <w:lang w:eastAsia="zh-CN"/>
        </w:rPr>
        <w:t>如香港交易所提述，该个</w:t>
      </w:r>
      <w:r>
        <w:rPr>
          <w:lang w:eastAsia="zh-CN"/>
        </w:rPr>
        <w:t>案证明了上市公司董事有必要确保该公司内部监控系统保持最新及有效。根据《企业管治守则》，该项检讨须每年至少进行一次。香港交易所在其监管公告中表示公司的若干重大变化，例如开始新业务，须立即进行检讨。</w:t>
      </w:r>
    </w:p>
    <w:p w:rsidR="006E11D0" w:rsidRDefault="000A5B04">
      <w:pPr>
        <w:pStyle w:val="BodyText"/>
        <w:rPr>
          <w:lang w:eastAsia="zh-CN"/>
        </w:rPr>
      </w:pPr>
      <w:r>
        <w:rPr>
          <w:lang w:eastAsia="zh-CN"/>
        </w:rPr>
        <w:t>未有公布或寻求股东批准</w:t>
      </w:r>
    </w:p>
    <w:p w:rsidR="006E11D0" w:rsidRDefault="000A5B04">
      <w:pPr>
        <w:pStyle w:val="BodyText"/>
        <w:rPr>
          <w:lang w:eastAsia="zh-CN"/>
        </w:rPr>
      </w:pPr>
      <w:r>
        <w:rPr>
          <w:lang w:eastAsia="zh-CN"/>
        </w:rPr>
        <w:t>富一公司于</w:t>
      </w:r>
      <w:r>
        <w:rPr>
          <w:lang w:eastAsia="zh-CN"/>
        </w:rPr>
        <w:t>2017</w:t>
      </w:r>
      <w:r>
        <w:rPr>
          <w:lang w:eastAsia="zh-CN"/>
        </w:rPr>
        <w:t>年底之前的主要业务只有腕表零售及批发。当时该公司只进行过小量并不重大的关连交易。</w:t>
      </w:r>
      <w:r>
        <w:rPr>
          <w:lang w:eastAsia="zh-CN"/>
        </w:rPr>
        <w:t>2017</w:t>
      </w:r>
      <w:r>
        <w:rPr>
          <w:lang w:eastAsia="zh-CN"/>
        </w:rPr>
        <w:t>年</w:t>
      </w:r>
      <w:r>
        <w:rPr>
          <w:lang w:eastAsia="zh-CN"/>
        </w:rPr>
        <w:t>9</w:t>
      </w:r>
      <w:r>
        <w:rPr>
          <w:lang w:eastAsia="zh-CN"/>
        </w:rPr>
        <w:t>月，孟先生收购了富一公司控股权益并自原控股股东（亦为该公司执行董事、行政总裁兼主席）（</w:t>
      </w:r>
      <w:r>
        <w:rPr>
          <w:b/>
          <w:lang w:eastAsia="zh-CN"/>
        </w:rPr>
        <w:t>前行政总裁</w:t>
      </w:r>
      <w:r>
        <w:rPr>
          <w:lang w:eastAsia="zh-CN"/>
        </w:rPr>
        <w:t>）取得该公司的控制权及管理权。结果，该公司董事会亦彻底改头换面。富一公司接着开展一宗新业务（即买卖化肥及相关产品），并开始就该业务进行关连交易，而前行政总裁继续经营该公司腕表业务。</w:t>
      </w:r>
    </w:p>
    <w:p w:rsidR="006E11D0" w:rsidRDefault="000A5B04">
      <w:pPr>
        <w:pStyle w:val="BodyText"/>
        <w:rPr>
          <w:lang w:eastAsia="zh-CN"/>
        </w:rPr>
      </w:pPr>
      <w:r>
        <w:rPr>
          <w:lang w:eastAsia="zh-CN"/>
        </w:rPr>
        <w:t>然而，董事会：</w:t>
      </w:r>
      <w:r>
        <w:rPr>
          <w:lang w:eastAsia="zh-CN"/>
        </w:rPr>
        <w:t>(a)</w:t>
      </w:r>
      <w:r>
        <w:rPr>
          <w:lang w:eastAsia="zh-CN"/>
        </w:rPr>
        <w:t>未有确保该公司进行上述交易而言遵守香港交易所《上市规则》有关须予公布及关连交易的规定；及</w:t>
      </w:r>
      <w:r>
        <w:rPr>
          <w:lang w:eastAsia="zh-CN"/>
        </w:rPr>
        <w:t>(b)</w:t>
      </w:r>
      <w:r>
        <w:rPr>
          <w:lang w:eastAsia="zh-CN"/>
        </w:rPr>
        <w:t>亦未有有效监察腕表业务中出现的须予公布及关连交易（包括向前行政总裁授出认购期权，使前行政总裁可购回当初其售予该公司附属公司的游艇泊位）。</w:t>
      </w:r>
    </w:p>
    <w:p w:rsidR="006E11D0" w:rsidRDefault="000A5B04">
      <w:pPr>
        <w:pStyle w:val="BodyText"/>
        <w:rPr>
          <w:lang w:eastAsia="zh-CN"/>
        </w:rPr>
      </w:pPr>
      <w:r>
        <w:rPr>
          <w:lang w:eastAsia="zh-CN"/>
        </w:rPr>
        <w:t>就富一公司化肥买卖业务以及腕表业务中出现的须予公布及关连交易（</w:t>
      </w:r>
      <w:r>
        <w:rPr>
          <w:b/>
          <w:lang w:eastAsia="zh-CN"/>
        </w:rPr>
        <w:t>统称富一有关交易</w:t>
      </w:r>
      <w:r>
        <w:rPr>
          <w:lang w:eastAsia="zh-CN"/>
        </w:rPr>
        <w:t>），该公司亦未有公布或寻求股东批准。其中有一部分的富一有关交易更未有于该公司的</w:t>
      </w:r>
      <w:r>
        <w:rPr>
          <w:lang w:eastAsia="zh-CN"/>
        </w:rPr>
        <w:t>2018</w:t>
      </w:r>
      <w:r>
        <w:rPr>
          <w:lang w:eastAsia="zh-CN"/>
        </w:rPr>
        <w:t>财政年度报告披露。直到</w:t>
      </w:r>
      <w:r>
        <w:rPr>
          <w:lang w:eastAsia="zh-CN"/>
        </w:rPr>
        <w:t>2019</w:t>
      </w:r>
      <w:r>
        <w:rPr>
          <w:lang w:eastAsia="zh-CN"/>
        </w:rPr>
        <w:t>年</w:t>
      </w:r>
      <w:r>
        <w:rPr>
          <w:lang w:eastAsia="zh-CN"/>
        </w:rPr>
        <w:t>6</w:t>
      </w:r>
      <w:r>
        <w:rPr>
          <w:lang w:eastAsia="zh-CN"/>
        </w:rPr>
        <w:t>月，于</w:t>
      </w:r>
      <w:r>
        <w:rPr>
          <w:lang w:eastAsia="zh-CN"/>
        </w:rPr>
        <w:t>2019</w:t>
      </w:r>
      <w:r>
        <w:rPr>
          <w:lang w:eastAsia="zh-CN"/>
        </w:rPr>
        <w:t>财政年度审计程序期间，董事会才首次得知富一有关交易的不合规情况，并于</w:t>
      </w:r>
      <w:r>
        <w:rPr>
          <w:lang w:eastAsia="zh-CN"/>
        </w:rPr>
        <w:t>2019</w:t>
      </w:r>
      <w:r>
        <w:rPr>
          <w:lang w:eastAsia="zh-CN"/>
        </w:rPr>
        <w:t>年</w:t>
      </w:r>
      <w:r>
        <w:rPr>
          <w:lang w:eastAsia="zh-CN"/>
        </w:rPr>
        <w:t>7</w:t>
      </w:r>
      <w:r>
        <w:rPr>
          <w:lang w:eastAsia="zh-CN"/>
        </w:rPr>
        <w:t>月</w:t>
      </w:r>
      <w:r>
        <w:rPr>
          <w:lang w:eastAsia="zh-CN"/>
        </w:rPr>
        <w:t>23</w:t>
      </w:r>
      <w:r>
        <w:rPr>
          <w:lang w:eastAsia="zh-CN"/>
        </w:rPr>
        <w:t>日公布有关的不合规情况。</w:t>
      </w:r>
    </w:p>
    <w:p w:rsidR="006E11D0" w:rsidRDefault="000A5B04">
      <w:pPr>
        <w:pStyle w:val="BodyText"/>
        <w:rPr>
          <w:lang w:eastAsia="zh-CN"/>
        </w:rPr>
      </w:pPr>
      <w:r>
        <w:rPr>
          <w:lang w:eastAsia="zh-CN"/>
        </w:rPr>
        <w:t>于</w:t>
      </w:r>
      <w:r>
        <w:rPr>
          <w:lang w:eastAsia="zh-CN"/>
        </w:rPr>
        <w:t>2019</w:t>
      </w:r>
      <w:r>
        <w:rPr>
          <w:lang w:eastAsia="zh-CN"/>
        </w:rPr>
        <w:t>年</w:t>
      </w:r>
      <w:r>
        <w:rPr>
          <w:lang w:eastAsia="zh-CN"/>
        </w:rPr>
        <w:t>7</w:t>
      </w:r>
      <w:r>
        <w:rPr>
          <w:lang w:eastAsia="zh-CN"/>
        </w:rPr>
        <w:t>月</w:t>
      </w:r>
      <w:r>
        <w:rPr>
          <w:lang w:eastAsia="zh-CN"/>
        </w:rPr>
        <w:t>23</w:t>
      </w:r>
      <w:r>
        <w:rPr>
          <w:lang w:eastAsia="zh-CN"/>
        </w:rPr>
        <w:t>日刊发有关公告后，</w:t>
      </w:r>
      <w:r>
        <w:rPr>
          <w:lang w:eastAsia="zh-CN"/>
        </w:rPr>
        <w:t>2020</w:t>
      </w:r>
      <w:r>
        <w:rPr>
          <w:lang w:eastAsia="zh-CN"/>
        </w:rPr>
        <w:t>财政年度里该公司还进行了额外的富一有关交易。富一公司继续进行该等富一有关交易，是因为交易涉及该公司及其附属公司于</w:t>
      </w:r>
      <w:r>
        <w:rPr>
          <w:lang w:eastAsia="zh-CN"/>
        </w:rPr>
        <w:t>2019</w:t>
      </w:r>
      <w:r>
        <w:rPr>
          <w:lang w:eastAsia="zh-CN"/>
        </w:rPr>
        <w:t>年</w:t>
      </w:r>
      <w:r>
        <w:rPr>
          <w:lang w:eastAsia="zh-CN"/>
        </w:rPr>
        <w:t>4</w:t>
      </w:r>
      <w:r>
        <w:rPr>
          <w:lang w:eastAsia="zh-CN"/>
        </w:rPr>
        <w:t>月</w:t>
      </w:r>
      <w:r>
        <w:rPr>
          <w:lang w:eastAsia="zh-CN"/>
        </w:rPr>
        <w:t>30</w:t>
      </w:r>
      <w:r>
        <w:rPr>
          <w:lang w:eastAsia="zh-CN"/>
        </w:rPr>
        <w:t>日前已支付或收到预付款的购买或销售事项。据该公司所说，董事会于</w:t>
      </w:r>
      <w:r>
        <w:rPr>
          <w:lang w:eastAsia="zh-CN"/>
        </w:rPr>
        <w:t>2019</w:t>
      </w:r>
      <w:r>
        <w:rPr>
          <w:lang w:eastAsia="zh-CN"/>
        </w:rPr>
        <w:t>年</w:t>
      </w:r>
      <w:r>
        <w:rPr>
          <w:lang w:eastAsia="zh-CN"/>
        </w:rPr>
        <w:t>8</w:t>
      </w:r>
      <w:r>
        <w:rPr>
          <w:lang w:eastAsia="zh-CN"/>
        </w:rPr>
        <w:t>月初决定继续进行</w:t>
      </w:r>
      <w:r>
        <w:rPr>
          <w:lang w:eastAsia="zh-CN"/>
        </w:rPr>
        <w:t>富一有关交易。富一公司并未有公布该等富一有关交易。</w:t>
      </w:r>
    </w:p>
    <w:p w:rsidR="006E11D0" w:rsidRDefault="000A5B04">
      <w:pPr>
        <w:pStyle w:val="BodyText"/>
        <w:rPr>
          <w:lang w:eastAsia="zh-CN"/>
        </w:rPr>
      </w:pPr>
      <w:r>
        <w:rPr>
          <w:lang w:eastAsia="zh-CN"/>
        </w:rPr>
        <w:t>此外，富一公司于</w:t>
      </w:r>
      <w:r>
        <w:rPr>
          <w:lang w:eastAsia="zh-CN"/>
        </w:rPr>
        <w:t>2014</w:t>
      </w:r>
      <w:r>
        <w:rPr>
          <w:lang w:eastAsia="zh-CN"/>
        </w:rPr>
        <w:t>年制定内部监控手册，但一直未有更新，直至</w:t>
      </w:r>
      <w:r>
        <w:rPr>
          <w:lang w:eastAsia="zh-CN"/>
        </w:rPr>
        <w:t>2019</w:t>
      </w:r>
      <w:r>
        <w:rPr>
          <w:lang w:eastAsia="zh-CN"/>
        </w:rPr>
        <w:t>年</w:t>
      </w:r>
      <w:r>
        <w:rPr>
          <w:lang w:eastAsia="zh-CN"/>
        </w:rPr>
        <w:t>6</w:t>
      </w:r>
      <w:r>
        <w:rPr>
          <w:lang w:eastAsia="zh-CN"/>
        </w:rPr>
        <w:t>月发现富一有关交易的不合规情况后才作出更新。富一公司有关促使其遵守《上市规则》第十四章（须予公布交易）及第十四</w:t>
      </w:r>
      <w:r>
        <w:rPr>
          <w:lang w:eastAsia="zh-CN"/>
        </w:rPr>
        <w:t>A</w:t>
      </w:r>
      <w:r>
        <w:rPr>
          <w:lang w:eastAsia="zh-CN"/>
        </w:rPr>
        <w:t>章（关连交易）的内部监控措施存在重大缺失。</w:t>
      </w:r>
    </w:p>
    <w:p w:rsidR="006E11D0" w:rsidRDefault="000A5B04">
      <w:pPr>
        <w:pStyle w:val="BodyText"/>
        <w:rPr>
          <w:lang w:eastAsia="zh-CN"/>
        </w:rPr>
      </w:pPr>
      <w:r>
        <w:rPr>
          <w:lang w:eastAsia="zh-CN"/>
        </w:rPr>
        <w:t>香港交易所《上市规则》规定及富一的违规事项</w:t>
      </w:r>
    </w:p>
    <w:p w:rsidR="006E11D0" w:rsidRDefault="000A5B04">
      <w:pPr>
        <w:pStyle w:val="BodyText"/>
        <w:rPr>
          <w:lang w:eastAsia="zh-CN"/>
        </w:rPr>
      </w:pPr>
      <w:r>
        <w:rPr>
          <w:lang w:eastAsia="zh-CN"/>
        </w:rPr>
        <w:lastRenderedPageBreak/>
        <w:t>富一公司已承认就富一有关交易违反《上市规则》第</w:t>
      </w:r>
      <w:r>
        <w:rPr>
          <w:lang w:eastAsia="zh-CN"/>
        </w:rPr>
        <w:t>14.34</w:t>
      </w:r>
      <w:r>
        <w:rPr>
          <w:lang w:eastAsia="zh-CN"/>
        </w:rPr>
        <w:t>、</w:t>
      </w:r>
      <w:r>
        <w:rPr>
          <w:lang w:eastAsia="zh-CN"/>
        </w:rPr>
        <w:t>14.38A</w:t>
      </w:r>
      <w:r>
        <w:rPr>
          <w:lang w:eastAsia="zh-CN"/>
        </w:rPr>
        <w:t>、</w:t>
      </w:r>
      <w:r>
        <w:rPr>
          <w:lang w:eastAsia="zh-CN"/>
        </w:rPr>
        <w:t>14.40</w:t>
      </w:r>
      <w:r>
        <w:rPr>
          <w:lang w:eastAsia="zh-CN"/>
        </w:rPr>
        <w:t>、</w:t>
      </w:r>
      <w:r>
        <w:rPr>
          <w:lang w:eastAsia="zh-CN"/>
        </w:rPr>
        <w:t>14.41</w:t>
      </w:r>
      <w:r>
        <w:rPr>
          <w:lang w:eastAsia="zh-CN"/>
        </w:rPr>
        <w:t>、</w:t>
      </w:r>
      <w:r>
        <w:rPr>
          <w:lang w:eastAsia="zh-CN"/>
        </w:rPr>
        <w:t>14A.35</w:t>
      </w:r>
      <w:r>
        <w:rPr>
          <w:lang w:eastAsia="zh-CN"/>
        </w:rPr>
        <w:t>、</w:t>
      </w:r>
      <w:r>
        <w:rPr>
          <w:lang w:eastAsia="zh-CN"/>
        </w:rPr>
        <w:t>14A.36</w:t>
      </w:r>
      <w:r>
        <w:rPr>
          <w:lang w:eastAsia="zh-CN"/>
        </w:rPr>
        <w:t>、</w:t>
      </w:r>
      <w:r>
        <w:rPr>
          <w:lang w:eastAsia="zh-CN"/>
        </w:rPr>
        <w:t>14A.49</w:t>
      </w:r>
      <w:r>
        <w:rPr>
          <w:lang w:eastAsia="zh-CN"/>
        </w:rPr>
        <w:t>、</w:t>
      </w:r>
      <w:r>
        <w:rPr>
          <w:lang w:eastAsia="zh-CN"/>
        </w:rPr>
        <w:t>14A.53</w:t>
      </w:r>
      <w:r>
        <w:rPr>
          <w:lang w:eastAsia="zh-CN"/>
        </w:rPr>
        <w:t>、</w:t>
      </w:r>
      <w:r>
        <w:rPr>
          <w:lang w:eastAsia="zh-CN"/>
        </w:rPr>
        <w:t>14A.55</w:t>
      </w:r>
      <w:r>
        <w:rPr>
          <w:lang w:eastAsia="zh-CN"/>
        </w:rPr>
        <w:t>及</w:t>
      </w:r>
      <w:r>
        <w:rPr>
          <w:lang w:eastAsia="zh-CN"/>
        </w:rPr>
        <w:t>14A.56</w:t>
      </w:r>
      <w:r>
        <w:rPr>
          <w:lang w:eastAsia="zh-CN"/>
        </w:rPr>
        <w:t>条。该</w:t>
      </w:r>
      <w:r>
        <w:rPr>
          <w:lang w:eastAsia="zh-CN"/>
        </w:rPr>
        <w:t>等规则中载有发行人须就须予公布的交易及／或关连交易遵守的通知、公告、通函、股东批准及每年汇报规定，以及发行人必须就持续关连交易订立全年上限及年度检讨规定。</w:t>
      </w:r>
    </w:p>
    <w:p w:rsidR="006E11D0" w:rsidRDefault="000A5B04">
      <w:pPr>
        <w:pStyle w:val="BodyText"/>
        <w:rPr>
          <w:lang w:eastAsia="zh-CN"/>
        </w:rPr>
      </w:pPr>
      <w:r>
        <w:rPr>
          <w:lang w:eastAsia="zh-CN"/>
        </w:rPr>
        <w:t>孟先生、刘国庆先生及刘加强先生就进行及管理富一有关交易没有遵守《上市规则》第</w:t>
      </w:r>
      <w:r>
        <w:rPr>
          <w:lang w:eastAsia="zh-CN"/>
        </w:rPr>
        <w:t>3.08</w:t>
      </w:r>
      <w:r>
        <w:rPr>
          <w:lang w:eastAsia="zh-CN"/>
        </w:rPr>
        <w:t>条及其《董事承诺》。他们对化肥交易知情，又全都在有关交易的对手方集团中担任管理层职务。刘国庆先生亦是孟先生的连襟，而刘加强先生自</w:t>
      </w:r>
      <w:r>
        <w:rPr>
          <w:lang w:eastAsia="zh-CN"/>
        </w:rPr>
        <w:t>2003</w:t>
      </w:r>
      <w:r>
        <w:rPr>
          <w:lang w:eastAsia="zh-CN"/>
        </w:rPr>
        <w:t>年起一直于对手方集团任职，孟先生是其领导。香港交易所认为该三人理应知道有关交易的对手方属关连人士，但却未有确保富一公司员工正确理解《上市</w:t>
      </w:r>
      <w:r>
        <w:rPr>
          <w:lang w:eastAsia="zh-CN"/>
        </w:rPr>
        <w:t>规则》第十四章及第十四</w:t>
      </w:r>
      <w:r>
        <w:rPr>
          <w:lang w:eastAsia="zh-CN"/>
        </w:rPr>
        <w:t>A</w:t>
      </w:r>
      <w:r>
        <w:rPr>
          <w:lang w:eastAsia="zh-CN"/>
        </w:rPr>
        <w:t>章的规定而厘定化肥交易须符合香港交易所《上市规则》相关规定。</w:t>
      </w:r>
    </w:p>
    <w:p w:rsidR="006E11D0" w:rsidRDefault="000A5B04">
      <w:pPr>
        <w:pStyle w:val="BodyText"/>
        <w:rPr>
          <w:lang w:eastAsia="zh-CN"/>
        </w:rPr>
      </w:pPr>
      <w:r>
        <w:rPr>
          <w:lang w:eastAsia="zh-CN"/>
        </w:rPr>
        <w:t>另外，孟先生、刘国庆先生及刘加强先生并未采取行动促使该公司就化肥交易遵守《上市规则》，亦未有告知董事会该公司订立化肥交易；他们亦未有向董事会提出适用于有关交易的《上市规则》规定。此外，对于</w:t>
      </w:r>
      <w:r>
        <w:rPr>
          <w:lang w:eastAsia="zh-CN"/>
        </w:rPr>
        <w:t>2020</w:t>
      </w:r>
      <w:r>
        <w:rPr>
          <w:lang w:eastAsia="zh-CN"/>
        </w:rPr>
        <w:t>财政年度进行的富一有关交易，他们于</w:t>
      </w:r>
      <w:r>
        <w:rPr>
          <w:lang w:eastAsia="zh-CN"/>
        </w:rPr>
        <w:t xml:space="preserve"> 2019</w:t>
      </w:r>
      <w:r>
        <w:rPr>
          <w:lang w:eastAsia="zh-CN"/>
        </w:rPr>
        <w:t>年</w:t>
      </w:r>
      <w:r>
        <w:rPr>
          <w:lang w:eastAsia="zh-CN"/>
        </w:rPr>
        <w:t>7</w:t>
      </w:r>
      <w:r>
        <w:rPr>
          <w:lang w:eastAsia="zh-CN"/>
        </w:rPr>
        <w:t>月中发现富一公司未有就有关交易遵守公告及／或股东批准规定后，还是未有确保该公司尽快公布该等交易。而且，他们未有确保富一公司维持充足而有效的内部监控系统，亦未有促使该公司因应业务转变而</w:t>
      </w:r>
      <w:r>
        <w:rPr>
          <w:lang w:eastAsia="zh-CN"/>
        </w:rPr>
        <w:t>检讨及更新内部监控手册。</w:t>
      </w:r>
    </w:p>
    <w:p w:rsidR="006E11D0" w:rsidRDefault="000A5B04">
      <w:pPr>
        <w:pStyle w:val="BodyText"/>
      </w:pPr>
      <w:r>
        <w:rPr>
          <w:lang w:eastAsia="zh-CN"/>
        </w:rPr>
        <w:t>担任执行董事、副主席兼首席营运官职务的廖先生也违反了《上市规则》第</w:t>
      </w:r>
      <w:r>
        <w:rPr>
          <w:lang w:eastAsia="zh-CN"/>
        </w:rPr>
        <w:t>3.08</w:t>
      </w:r>
      <w:r>
        <w:rPr>
          <w:lang w:eastAsia="zh-CN"/>
        </w:rPr>
        <w:t>条及其《董事承诺》。</w:t>
      </w:r>
      <w:r>
        <w:t>他：</w:t>
      </w:r>
    </w:p>
    <w:p w:rsidR="006E11D0" w:rsidRDefault="000A5B04">
      <w:pPr>
        <w:pStyle w:val="Compact"/>
        <w:numPr>
          <w:ilvl w:val="0"/>
          <w:numId w:val="6"/>
        </w:numPr>
        <w:rPr>
          <w:lang w:eastAsia="zh-CN"/>
        </w:rPr>
      </w:pPr>
      <w:r>
        <w:rPr>
          <w:lang w:eastAsia="zh-CN"/>
        </w:rPr>
        <w:t>未有积极关心富一公司事务，对于孟先生取得富一公司控制权后该公司才开展的化肥业务，他亦未有与孟先生、刘国庆先生及／或刘加强先生作相应跟进。若有积极关心该公司事务，他当会注意到于</w:t>
      </w:r>
      <w:r>
        <w:rPr>
          <w:lang w:eastAsia="zh-CN"/>
        </w:rPr>
        <w:t>2018</w:t>
      </w:r>
      <w:r>
        <w:rPr>
          <w:lang w:eastAsia="zh-CN"/>
        </w:rPr>
        <w:t>财政年度进行的富一相关交易（因为交易金额高达</w:t>
      </w:r>
      <w:r>
        <w:rPr>
          <w:lang w:eastAsia="zh-CN"/>
        </w:rPr>
        <w:t>4,900</w:t>
      </w:r>
      <w:r>
        <w:rPr>
          <w:lang w:eastAsia="zh-CN"/>
        </w:rPr>
        <w:t>万港元）、对手方及其与孟先生的关联，并会因此得知有关交易须符合《上市规则》有关关连交易的规定；</w:t>
      </w:r>
    </w:p>
    <w:p w:rsidR="006E11D0" w:rsidRDefault="000A5B04">
      <w:pPr>
        <w:pStyle w:val="Compact"/>
        <w:numPr>
          <w:ilvl w:val="0"/>
          <w:numId w:val="6"/>
        </w:numPr>
        <w:rPr>
          <w:lang w:eastAsia="zh-CN"/>
        </w:rPr>
      </w:pPr>
      <w:r>
        <w:rPr>
          <w:lang w:eastAsia="zh-CN"/>
        </w:rPr>
        <w:t>未有采取行动，就化肥交易于该公司财务报表中应否列为关连</w:t>
      </w:r>
      <w:r>
        <w:rPr>
          <w:lang w:eastAsia="zh-CN"/>
        </w:rPr>
        <w:t>／相关交易而咨询富一公司的中国内地财务经理；及</w:t>
      </w:r>
    </w:p>
    <w:p w:rsidR="006E11D0" w:rsidRDefault="000A5B04">
      <w:pPr>
        <w:pStyle w:val="Compact"/>
        <w:numPr>
          <w:ilvl w:val="0"/>
          <w:numId w:val="6"/>
        </w:numPr>
        <w:rPr>
          <w:lang w:eastAsia="zh-CN"/>
        </w:rPr>
      </w:pPr>
      <w:r>
        <w:rPr>
          <w:lang w:eastAsia="zh-CN"/>
        </w:rPr>
        <w:t>未有采取行动促使富一公司就</w:t>
      </w:r>
      <w:r>
        <w:rPr>
          <w:lang w:eastAsia="zh-CN"/>
        </w:rPr>
        <w:t>2018</w:t>
      </w:r>
      <w:r>
        <w:rPr>
          <w:lang w:eastAsia="zh-CN"/>
        </w:rPr>
        <w:t>财政年度及</w:t>
      </w:r>
      <w:r>
        <w:rPr>
          <w:lang w:eastAsia="zh-CN"/>
        </w:rPr>
        <w:t>2019</w:t>
      </w:r>
      <w:r>
        <w:rPr>
          <w:lang w:eastAsia="zh-CN"/>
        </w:rPr>
        <w:t>财政年度有关交易遵守香港交易所《上市规则》的规定，例如建议该公司就可须符合哪些《上市规则》规定寻求专业意见，亦未有向董事会提出适用于化肥交易的香港交易所《上市规则》规定给董事会考虑。</w:t>
      </w:r>
    </w:p>
    <w:p w:rsidR="006E11D0" w:rsidRDefault="000A5B04">
      <w:pPr>
        <w:pStyle w:val="FirstParagraph"/>
        <w:rPr>
          <w:lang w:eastAsia="zh-CN"/>
        </w:rPr>
      </w:pPr>
      <w:r>
        <w:rPr>
          <w:lang w:eastAsia="zh-CN"/>
        </w:rPr>
        <w:t>田先生、胡先生及陈先生违反其《董事承诺》，原因是其未有确保富一公司维持充足而有效的内部监控系统。他们亦未有履行作为富一公司审核委员会成员的职责。于相关时候三人对化肥交易可能未必知情；但是问题是他们未有促使该公司更新</w:t>
      </w:r>
      <w:r>
        <w:rPr>
          <w:lang w:eastAsia="zh-CN"/>
        </w:rPr>
        <w:t>2014</w:t>
      </w:r>
      <w:r>
        <w:rPr>
          <w:lang w:eastAsia="zh-CN"/>
        </w:rPr>
        <w:t>年版的</w:t>
      </w:r>
      <w:r>
        <w:rPr>
          <w:lang w:eastAsia="zh-CN"/>
        </w:rPr>
        <w:t>内部监控手册及实施有效的内部监控系统。同时也无证据显示他们在审核委员会会议上曾就该公司内部监控措施作过任何相关查询。</w:t>
      </w:r>
    </w:p>
    <w:p w:rsidR="006E11D0" w:rsidRDefault="000A5B04">
      <w:pPr>
        <w:pStyle w:val="BodyText"/>
        <w:rPr>
          <w:lang w:eastAsia="zh-CN"/>
        </w:rPr>
      </w:pPr>
      <w:r>
        <w:rPr>
          <w:lang w:eastAsia="zh-CN"/>
        </w:rPr>
        <w:t>田先生、李先生及王先生</w:t>
      </w:r>
      <w:hyperlink w:anchor="footnote-598-1">
        <w:r>
          <w:rPr>
            <w:vertAlign w:val="superscript"/>
            <w:lang w:eastAsia="zh-CN"/>
          </w:rPr>
          <w:t>1</w:t>
        </w:r>
      </w:hyperlink>
      <w:r>
        <w:rPr>
          <w:lang w:eastAsia="zh-CN"/>
        </w:rPr>
        <w:t>违反其《董事承诺》，未有促使富一公司就于</w:t>
      </w:r>
      <w:r>
        <w:rPr>
          <w:lang w:eastAsia="zh-CN"/>
        </w:rPr>
        <w:t>2020</w:t>
      </w:r>
      <w:r>
        <w:rPr>
          <w:lang w:eastAsia="zh-CN"/>
        </w:rPr>
        <w:t>财政年度进行的化肥交易遵守《上市规则》第</w:t>
      </w:r>
      <w:r>
        <w:rPr>
          <w:lang w:eastAsia="zh-CN"/>
        </w:rPr>
        <w:t>14A.35</w:t>
      </w:r>
      <w:r>
        <w:rPr>
          <w:lang w:eastAsia="zh-CN"/>
        </w:rPr>
        <w:t>及</w:t>
      </w:r>
      <w:r>
        <w:rPr>
          <w:lang w:eastAsia="zh-CN"/>
        </w:rPr>
        <w:t>14A.36</w:t>
      </w:r>
      <w:r>
        <w:rPr>
          <w:lang w:eastAsia="zh-CN"/>
        </w:rPr>
        <w:t>条的公告及股东批准规定。即便他们于</w:t>
      </w:r>
      <w:r>
        <w:rPr>
          <w:lang w:eastAsia="zh-CN"/>
        </w:rPr>
        <w:t>2019</w:t>
      </w:r>
      <w:r>
        <w:rPr>
          <w:lang w:eastAsia="zh-CN"/>
        </w:rPr>
        <w:t>年</w:t>
      </w:r>
      <w:r>
        <w:rPr>
          <w:lang w:eastAsia="zh-CN"/>
        </w:rPr>
        <w:t>7</w:t>
      </w:r>
      <w:r>
        <w:rPr>
          <w:lang w:eastAsia="zh-CN"/>
        </w:rPr>
        <w:t>月中得知适用于化肥交易的相关《上市规则》规定后，亦未有采取行动确保该公司于董事会在</w:t>
      </w:r>
      <w:r>
        <w:rPr>
          <w:lang w:eastAsia="zh-CN"/>
        </w:rPr>
        <w:t>2019</w:t>
      </w:r>
      <w:r>
        <w:rPr>
          <w:lang w:eastAsia="zh-CN"/>
        </w:rPr>
        <w:t>年</w:t>
      </w:r>
      <w:r>
        <w:rPr>
          <w:lang w:eastAsia="zh-CN"/>
        </w:rPr>
        <w:t>8</w:t>
      </w:r>
      <w:r>
        <w:rPr>
          <w:lang w:eastAsia="zh-CN"/>
        </w:rPr>
        <w:t>月初决定继续进行有关交易后实时或尽快公布有</w:t>
      </w:r>
      <w:r>
        <w:rPr>
          <w:lang w:eastAsia="zh-CN"/>
        </w:rPr>
        <w:t>关交易。</w:t>
      </w:r>
    </w:p>
    <w:p w:rsidR="006E11D0" w:rsidRDefault="000A5B04">
      <w:pPr>
        <w:pStyle w:val="BodyText"/>
        <w:rPr>
          <w:lang w:eastAsia="zh-CN"/>
        </w:rPr>
      </w:pPr>
      <w:r>
        <w:rPr>
          <w:lang w:eastAsia="zh-CN"/>
        </w:rPr>
        <w:t>因此，香港交易所决定对富一公司及该</w:t>
      </w:r>
      <w:r>
        <w:rPr>
          <w:lang w:eastAsia="zh-CN"/>
        </w:rPr>
        <w:t>9</w:t>
      </w:r>
      <w:r>
        <w:rPr>
          <w:lang w:eastAsia="zh-CN"/>
        </w:rPr>
        <w:t>名董事实施纪律行动。</w:t>
      </w:r>
    </w:p>
    <w:p w:rsidR="006E11D0" w:rsidRDefault="000A5B04">
      <w:pPr>
        <w:pStyle w:val="BodyText"/>
        <w:rPr>
          <w:lang w:eastAsia="zh-CN"/>
        </w:rPr>
      </w:pPr>
      <w:r>
        <w:rPr>
          <w:lang w:eastAsia="zh-CN"/>
        </w:rPr>
        <w:t>香港交易所对华营建筑集团控股有限公司、六名董事及浙江省国有资本运营有限公司的纪律行动</w:t>
      </w:r>
    </w:p>
    <w:p w:rsidR="006E11D0" w:rsidRDefault="000A5B04">
      <w:pPr>
        <w:pStyle w:val="BodyText"/>
        <w:rPr>
          <w:lang w:eastAsia="zh-CN"/>
        </w:rPr>
      </w:pPr>
      <w:r>
        <w:rPr>
          <w:lang w:eastAsia="zh-CN"/>
        </w:rPr>
        <w:t>2022</w:t>
      </w:r>
      <w:r>
        <w:rPr>
          <w:lang w:eastAsia="zh-CN"/>
        </w:rPr>
        <w:t>年</w:t>
      </w:r>
      <w:r>
        <w:rPr>
          <w:lang w:eastAsia="zh-CN"/>
        </w:rPr>
        <w:t>5</w:t>
      </w:r>
      <w:r>
        <w:rPr>
          <w:lang w:eastAsia="zh-CN"/>
        </w:rPr>
        <w:t>月</w:t>
      </w:r>
      <w:r>
        <w:rPr>
          <w:lang w:eastAsia="zh-CN"/>
        </w:rPr>
        <w:t>25</w:t>
      </w:r>
      <w:r>
        <w:rPr>
          <w:lang w:eastAsia="zh-CN"/>
        </w:rPr>
        <w:t>日，香港交易所谴责了华营建筑集团控股有限公司（</w:t>
      </w:r>
      <w:r>
        <w:rPr>
          <w:b/>
          <w:lang w:eastAsia="zh-CN"/>
        </w:rPr>
        <w:t>华营建筑</w:t>
      </w:r>
      <w:r>
        <w:rPr>
          <w:lang w:eastAsia="zh-CN"/>
        </w:rPr>
        <w:t>）及其</w:t>
      </w:r>
      <w:r>
        <w:rPr>
          <w:lang w:eastAsia="zh-CN"/>
        </w:rPr>
        <w:t>6</w:t>
      </w:r>
      <w:r>
        <w:rPr>
          <w:lang w:eastAsia="zh-CN"/>
        </w:rPr>
        <w:t>名董事</w:t>
      </w:r>
      <w:r>
        <w:rPr>
          <w:lang w:eastAsia="zh-CN"/>
        </w:rPr>
        <w:t>——(i)</w:t>
      </w:r>
      <w:r>
        <w:rPr>
          <w:lang w:eastAsia="zh-CN"/>
        </w:rPr>
        <w:t>执行董事兼主席管满宇先生；</w:t>
      </w:r>
      <w:r>
        <w:rPr>
          <w:lang w:eastAsia="zh-CN"/>
        </w:rPr>
        <w:t>(ii)</w:t>
      </w:r>
      <w:r>
        <w:rPr>
          <w:lang w:eastAsia="zh-CN"/>
        </w:rPr>
        <w:t>执行董事兼行政总裁李嘉贤先生；</w:t>
      </w:r>
      <w:r>
        <w:rPr>
          <w:lang w:eastAsia="zh-CN"/>
        </w:rPr>
        <w:t>(iii)</w:t>
      </w:r>
      <w:r>
        <w:rPr>
          <w:lang w:eastAsia="zh-CN"/>
        </w:rPr>
        <w:t>执行董事朱萍女士；</w:t>
      </w:r>
      <w:r>
        <w:rPr>
          <w:lang w:eastAsia="zh-CN"/>
        </w:rPr>
        <w:t>(iv)</w:t>
      </w:r>
      <w:r>
        <w:rPr>
          <w:lang w:eastAsia="zh-CN"/>
        </w:rPr>
        <w:t>执行董事罗明健先生；</w:t>
      </w:r>
      <w:r>
        <w:rPr>
          <w:lang w:eastAsia="zh-CN"/>
        </w:rPr>
        <w:t>(v)</w:t>
      </w:r>
      <w:r>
        <w:rPr>
          <w:lang w:eastAsia="zh-CN"/>
        </w:rPr>
        <w:t>执行董事陈德耀先生；及</w:t>
      </w:r>
      <w:r>
        <w:rPr>
          <w:lang w:eastAsia="zh-CN"/>
        </w:rPr>
        <w:t>(vi)</w:t>
      </w:r>
      <w:r>
        <w:rPr>
          <w:lang w:eastAsia="zh-CN"/>
        </w:rPr>
        <w:t>非执行董事杨昊江先生。香港交易所还进一步谴责了浙江省国有资本运营有限公司（</w:t>
      </w:r>
      <w:r>
        <w:rPr>
          <w:b/>
          <w:lang w:eastAsia="zh-CN"/>
        </w:rPr>
        <w:t>浙江国有资本</w:t>
      </w:r>
      <w:r>
        <w:rPr>
          <w:lang w:eastAsia="zh-CN"/>
        </w:rPr>
        <w:t>）。</w:t>
      </w:r>
    </w:p>
    <w:p w:rsidR="006E11D0" w:rsidRDefault="000A5B04">
      <w:pPr>
        <w:pStyle w:val="BodyText"/>
        <w:rPr>
          <w:lang w:eastAsia="zh-CN"/>
        </w:rPr>
      </w:pPr>
      <w:r>
        <w:rPr>
          <w:lang w:eastAsia="zh-CN"/>
        </w:rPr>
        <w:lastRenderedPageBreak/>
        <w:t>香港交易所因应</w:t>
      </w:r>
      <w:r>
        <w:rPr>
          <w:lang w:eastAsia="zh-CN"/>
        </w:rPr>
        <w:t>其未有在首次公开发售招股章程中披露及向香港交易所披露华营建筑的法团架构（涉及减少浙江国有资本在华营建筑持有的有效权益）并由此导致招股章程不准确，不完整，具误导性及</w:t>
      </w:r>
      <w:r>
        <w:rPr>
          <w:lang w:eastAsia="zh-CN"/>
        </w:rPr>
        <w:t>/</w:t>
      </w:r>
      <w:r>
        <w:rPr>
          <w:lang w:eastAsia="zh-CN"/>
        </w:rPr>
        <w:t>或具欺诈性而实施了该等纪律行动。藉此，香港交易所《上市规则》中的</w:t>
      </w:r>
      <w:r>
        <w:rPr>
          <w:lang w:eastAsia="zh-CN"/>
        </w:rPr>
        <w:t>6</w:t>
      </w:r>
      <w:r>
        <w:rPr>
          <w:lang w:eastAsia="zh-CN"/>
        </w:rPr>
        <w:t>个月上市后出售限制条文也没有获得遵守。香港交易所的《纪律行动声明》载列于</w:t>
      </w:r>
      <w:hyperlink r:id="rId12">
        <w:r>
          <w:rPr>
            <w:lang w:eastAsia="zh-CN"/>
          </w:rPr>
          <w:t>香港交易所网站</w:t>
        </w:r>
      </w:hyperlink>
      <w:r>
        <w:rPr>
          <w:lang w:eastAsia="zh-CN"/>
        </w:rPr>
        <w:t>。</w:t>
      </w:r>
    </w:p>
    <w:p w:rsidR="006E11D0" w:rsidRDefault="000A5B04">
      <w:pPr>
        <w:pStyle w:val="BodyText"/>
        <w:rPr>
          <w:lang w:eastAsia="zh-CN"/>
        </w:rPr>
      </w:pPr>
      <w:r>
        <w:rPr>
          <w:lang w:eastAsia="zh-CN"/>
        </w:rPr>
        <w:t>实况概要</w:t>
      </w:r>
    </w:p>
    <w:p w:rsidR="006E11D0" w:rsidRDefault="000A5B04">
      <w:pPr>
        <w:pStyle w:val="BodyText"/>
        <w:rPr>
          <w:lang w:eastAsia="zh-CN"/>
        </w:rPr>
      </w:pPr>
      <w:r>
        <w:rPr>
          <w:lang w:eastAsia="zh-CN"/>
        </w:rPr>
        <w:t>华营建筑于</w:t>
      </w:r>
      <w:r>
        <w:rPr>
          <w:lang w:eastAsia="zh-CN"/>
        </w:rPr>
        <w:t>2019</w:t>
      </w:r>
      <w:r>
        <w:rPr>
          <w:lang w:eastAsia="zh-CN"/>
        </w:rPr>
        <w:t>年</w:t>
      </w:r>
      <w:r>
        <w:rPr>
          <w:lang w:eastAsia="zh-CN"/>
        </w:rPr>
        <w:t>10</w:t>
      </w:r>
      <w:r>
        <w:rPr>
          <w:lang w:eastAsia="zh-CN"/>
        </w:rPr>
        <w:t>月</w:t>
      </w:r>
      <w:r>
        <w:rPr>
          <w:lang w:eastAsia="zh-CN"/>
        </w:rPr>
        <w:t>16</w:t>
      </w:r>
      <w:r>
        <w:rPr>
          <w:lang w:eastAsia="zh-CN"/>
        </w:rPr>
        <w:t>日在香港交易所主板上市，而其招股章程在</w:t>
      </w:r>
      <w:r>
        <w:rPr>
          <w:lang w:eastAsia="zh-CN"/>
        </w:rPr>
        <w:t>2019</w:t>
      </w:r>
      <w:r>
        <w:rPr>
          <w:lang w:eastAsia="zh-CN"/>
        </w:rPr>
        <w:t>年</w:t>
      </w:r>
      <w:r>
        <w:rPr>
          <w:lang w:eastAsia="zh-CN"/>
        </w:rPr>
        <w:t>9</w:t>
      </w:r>
      <w:r>
        <w:rPr>
          <w:lang w:eastAsia="zh-CN"/>
        </w:rPr>
        <w:t>月</w:t>
      </w:r>
      <w:r>
        <w:rPr>
          <w:lang w:eastAsia="zh-CN"/>
        </w:rPr>
        <w:t>27</w:t>
      </w:r>
      <w:r>
        <w:rPr>
          <w:lang w:eastAsia="zh-CN"/>
        </w:rPr>
        <w:t>日刊发。</w:t>
      </w:r>
    </w:p>
    <w:p w:rsidR="006E11D0" w:rsidRDefault="000A5B04">
      <w:pPr>
        <w:pStyle w:val="BodyText"/>
        <w:rPr>
          <w:lang w:eastAsia="zh-CN"/>
        </w:rPr>
      </w:pPr>
      <w:r>
        <w:rPr>
          <w:lang w:eastAsia="zh-CN"/>
        </w:rPr>
        <w:t>根据该公司在招股章程中披露的资料，浙江国有资本、浙江省建设投资集团股份有限公司（</w:t>
      </w:r>
      <w:r>
        <w:rPr>
          <w:b/>
          <w:lang w:eastAsia="zh-CN"/>
        </w:rPr>
        <w:t>浙江建设投资</w:t>
      </w:r>
      <w:r>
        <w:rPr>
          <w:lang w:eastAsia="zh-CN"/>
        </w:rPr>
        <w:t>）、浙江省建设集团（香港）控股有限公司（</w:t>
      </w:r>
      <w:r>
        <w:rPr>
          <w:b/>
          <w:lang w:eastAsia="zh-CN"/>
        </w:rPr>
        <w:t>浙江建设</w:t>
      </w:r>
      <w:r>
        <w:rPr>
          <w:b/>
          <w:lang w:eastAsia="zh-CN"/>
        </w:rPr>
        <w:t>BVI</w:t>
      </w:r>
      <w:r>
        <w:rPr>
          <w:lang w:eastAsia="zh-CN"/>
        </w:rPr>
        <w:t>）、中国浙江建设集团（香港）有限公司（</w:t>
      </w:r>
      <w:r>
        <w:rPr>
          <w:b/>
          <w:lang w:eastAsia="zh-CN"/>
        </w:rPr>
        <w:t>浙江建设香港</w:t>
      </w:r>
      <w:r>
        <w:rPr>
          <w:lang w:eastAsia="zh-CN"/>
        </w:rPr>
        <w:t>）及华营建筑投资有限公司（</w:t>
      </w:r>
      <w:r>
        <w:rPr>
          <w:b/>
          <w:lang w:eastAsia="zh-CN"/>
        </w:rPr>
        <w:t>华营建筑投资</w:t>
      </w:r>
      <w:r>
        <w:rPr>
          <w:lang w:eastAsia="zh-CN"/>
        </w:rPr>
        <w:t>）在该公司上市后将成为其控股股东。浙江国有资本将持有浙江建设投资</w:t>
      </w:r>
      <w:r>
        <w:rPr>
          <w:lang w:eastAsia="zh-CN"/>
        </w:rPr>
        <w:t>45.95%</w:t>
      </w:r>
      <w:r>
        <w:rPr>
          <w:lang w:eastAsia="zh-CN"/>
        </w:rPr>
        <w:t>的股本权益，而浙江建设投资将透过浙江建设</w:t>
      </w:r>
      <w:r>
        <w:rPr>
          <w:lang w:eastAsia="zh-CN"/>
        </w:rPr>
        <w:t>BVI</w:t>
      </w:r>
      <w:r>
        <w:rPr>
          <w:lang w:eastAsia="zh-CN"/>
        </w:rPr>
        <w:t>、浙江建设香港及华营建筑投资持有华营建筑大约</w:t>
      </w:r>
      <w:r>
        <w:rPr>
          <w:lang w:eastAsia="zh-CN"/>
        </w:rPr>
        <w:t>72.2%</w:t>
      </w:r>
      <w:r>
        <w:rPr>
          <w:lang w:eastAsia="zh-CN"/>
        </w:rPr>
        <w:t>的已发行股份。浙江建设</w:t>
      </w:r>
      <w:r>
        <w:rPr>
          <w:lang w:eastAsia="zh-CN"/>
        </w:rPr>
        <w:t>BVI</w:t>
      </w:r>
      <w:r>
        <w:rPr>
          <w:lang w:eastAsia="zh-CN"/>
        </w:rPr>
        <w:t>、浙江建设香港及华营建筑投资均为浙江建设投资的全资附属公司。</w:t>
      </w:r>
    </w:p>
    <w:p w:rsidR="006E11D0" w:rsidRDefault="000A5B04">
      <w:pPr>
        <w:pStyle w:val="BodyText"/>
        <w:rPr>
          <w:lang w:eastAsia="zh-CN"/>
        </w:rPr>
      </w:pPr>
      <w:r>
        <w:rPr>
          <w:lang w:eastAsia="zh-CN"/>
        </w:rPr>
        <w:t>在该公司于</w:t>
      </w:r>
      <w:r>
        <w:rPr>
          <w:lang w:eastAsia="zh-CN"/>
        </w:rPr>
        <w:t>2019</w:t>
      </w:r>
      <w:r>
        <w:rPr>
          <w:lang w:eastAsia="zh-CN"/>
        </w:rPr>
        <w:t>年</w:t>
      </w:r>
      <w:r>
        <w:rPr>
          <w:lang w:eastAsia="zh-CN"/>
        </w:rPr>
        <w:t>10</w:t>
      </w:r>
      <w:r>
        <w:rPr>
          <w:lang w:eastAsia="zh-CN"/>
        </w:rPr>
        <w:t>月上市前，上述每一间公司，曾向香港交易所作出禁售承诺，当中包括其不会在上市日期起计</w:t>
      </w:r>
      <w:r>
        <w:rPr>
          <w:lang w:eastAsia="zh-CN"/>
        </w:rPr>
        <w:t>6</w:t>
      </w:r>
      <w:r>
        <w:rPr>
          <w:lang w:eastAsia="zh-CN"/>
        </w:rPr>
        <w:t>个月内（即</w:t>
      </w:r>
      <w:r>
        <w:rPr>
          <w:lang w:eastAsia="zh-CN"/>
        </w:rPr>
        <w:t>2020</w:t>
      </w:r>
      <w:r>
        <w:rPr>
          <w:lang w:eastAsia="zh-CN"/>
        </w:rPr>
        <w:t>年</w:t>
      </w:r>
      <w:r>
        <w:rPr>
          <w:lang w:eastAsia="zh-CN"/>
        </w:rPr>
        <w:t>4</w:t>
      </w:r>
      <w:r>
        <w:rPr>
          <w:lang w:eastAsia="zh-CN"/>
        </w:rPr>
        <w:t>月</w:t>
      </w:r>
      <w:r>
        <w:rPr>
          <w:lang w:eastAsia="zh-CN"/>
        </w:rPr>
        <w:t>16</w:t>
      </w:r>
      <w:r>
        <w:rPr>
          <w:lang w:eastAsia="zh-CN"/>
        </w:rPr>
        <w:t>日或之前）出售华营建筑的股份，及亦会促使有关登记持有人不会在该上市日期起计</w:t>
      </w:r>
      <w:r>
        <w:rPr>
          <w:lang w:eastAsia="zh-CN"/>
        </w:rPr>
        <w:t>6</w:t>
      </w:r>
      <w:r>
        <w:rPr>
          <w:lang w:eastAsia="zh-CN"/>
        </w:rPr>
        <w:t>个月内出售该公司的股份。</w:t>
      </w:r>
    </w:p>
    <w:p w:rsidR="006E11D0" w:rsidRDefault="000A5B04">
      <w:pPr>
        <w:pStyle w:val="BodyText"/>
        <w:rPr>
          <w:lang w:eastAsia="zh-CN"/>
        </w:rPr>
      </w:pPr>
      <w:r>
        <w:rPr>
          <w:lang w:eastAsia="zh-CN"/>
        </w:rPr>
        <w:t>在招股章</w:t>
      </w:r>
      <w:r>
        <w:rPr>
          <w:lang w:eastAsia="zh-CN"/>
        </w:rPr>
        <w:t>程刊发前，浙江国有资本于</w:t>
      </w:r>
      <w:r>
        <w:rPr>
          <w:lang w:eastAsia="zh-CN"/>
        </w:rPr>
        <w:t>2019</w:t>
      </w:r>
      <w:r>
        <w:rPr>
          <w:lang w:eastAsia="zh-CN"/>
        </w:rPr>
        <w:t>年</w:t>
      </w:r>
      <w:r>
        <w:rPr>
          <w:lang w:eastAsia="zh-CN"/>
        </w:rPr>
        <w:t>4</w:t>
      </w:r>
      <w:r>
        <w:rPr>
          <w:lang w:eastAsia="zh-CN"/>
        </w:rPr>
        <w:t>月与包括多喜爱集团股份有限公司（</w:t>
      </w:r>
      <w:r>
        <w:rPr>
          <w:b/>
          <w:lang w:eastAsia="zh-CN"/>
        </w:rPr>
        <w:t>多喜爱</w:t>
      </w:r>
      <w:r>
        <w:rPr>
          <w:lang w:eastAsia="zh-CN"/>
        </w:rPr>
        <w:t>）及其他浙江建设投资的股东在内的各方订立协议，目的是将浙江建设投资证券化及上市（</w:t>
      </w:r>
      <w:r>
        <w:rPr>
          <w:b/>
          <w:lang w:eastAsia="zh-CN"/>
        </w:rPr>
        <w:t>该重组</w:t>
      </w:r>
      <w:r>
        <w:rPr>
          <w:lang w:eastAsia="zh-CN"/>
        </w:rPr>
        <w:t>）。该重组涉及浙江建设投资将其所有资产及负债（包括其透过浙江建设</w:t>
      </w:r>
      <w:r>
        <w:rPr>
          <w:lang w:eastAsia="zh-CN"/>
        </w:rPr>
        <w:t>BVI</w:t>
      </w:r>
      <w:r>
        <w:rPr>
          <w:lang w:eastAsia="zh-CN"/>
        </w:rPr>
        <w:t>、浙江建设香港及华营建筑投资持有的华营建筑股权）注入多喜爱（多喜爱为一间在深圳证券交易所上市的公司），而多喜爱将据此向浙江建设投资的股东发行股份。在重组完成后，预期多喜爱将取代浙江建设投资成为华营建筑的控股股东之一，而浙江建设投资将被注销及随之不再成为法律实体。</w:t>
      </w:r>
      <w:r>
        <w:rPr>
          <w:lang w:eastAsia="zh-CN"/>
        </w:rPr>
        <w:t>2019</w:t>
      </w:r>
      <w:r>
        <w:rPr>
          <w:lang w:eastAsia="zh-CN"/>
        </w:rPr>
        <w:t>年</w:t>
      </w:r>
      <w:r>
        <w:rPr>
          <w:lang w:eastAsia="zh-CN"/>
        </w:rPr>
        <w:t>12</w:t>
      </w:r>
      <w:r>
        <w:rPr>
          <w:lang w:eastAsia="zh-CN"/>
        </w:rPr>
        <w:t>月，中</w:t>
      </w:r>
      <w:r>
        <w:rPr>
          <w:lang w:eastAsia="zh-CN"/>
        </w:rPr>
        <w:t>国证券监督管理委员会（</w:t>
      </w:r>
      <w:r>
        <w:rPr>
          <w:b/>
          <w:lang w:eastAsia="zh-CN"/>
        </w:rPr>
        <w:t>中证监</w:t>
      </w:r>
      <w:r>
        <w:rPr>
          <w:lang w:eastAsia="zh-CN"/>
        </w:rPr>
        <w:t>）正式批准了该重组。</w:t>
      </w:r>
    </w:p>
    <w:p w:rsidR="006E11D0" w:rsidRDefault="000A5B04">
      <w:pPr>
        <w:pStyle w:val="BodyText"/>
        <w:rPr>
          <w:lang w:eastAsia="zh-CN"/>
        </w:rPr>
      </w:pPr>
      <w:r>
        <w:rPr>
          <w:lang w:eastAsia="zh-CN"/>
        </w:rPr>
        <w:t>华营建筑没有在申请上市过程中，向香港交易所披露该重组，而且该招股章程亦未有披露任何关于该重组的资料。</w:t>
      </w:r>
    </w:p>
    <w:p w:rsidR="006E11D0" w:rsidRDefault="000A5B04">
      <w:pPr>
        <w:pStyle w:val="BodyText"/>
        <w:rPr>
          <w:lang w:eastAsia="zh-CN"/>
        </w:rPr>
      </w:pPr>
      <w:r>
        <w:rPr>
          <w:lang w:eastAsia="zh-CN"/>
        </w:rPr>
        <w:t>在第一段为期</w:t>
      </w:r>
      <w:r>
        <w:rPr>
          <w:lang w:eastAsia="zh-CN"/>
        </w:rPr>
        <w:t>6</w:t>
      </w:r>
      <w:r>
        <w:rPr>
          <w:lang w:eastAsia="zh-CN"/>
        </w:rPr>
        <w:t>个月的禁售期期间，浙江国有资本将其所有在浙江建设投资中拥有的权益转让予多喜爱以实行该重组，违反了《禁售承诺》。结果，浙江国有资本在华营建筑中介股东（即多喜爱、浙江建设</w:t>
      </w:r>
      <w:r>
        <w:rPr>
          <w:lang w:eastAsia="zh-CN"/>
        </w:rPr>
        <w:t>BVI</w:t>
      </w:r>
      <w:r>
        <w:rPr>
          <w:lang w:eastAsia="zh-CN"/>
        </w:rPr>
        <w:t>、浙江建设香港及华营建筑投资）内持有的权益从</w:t>
      </w:r>
      <w:r>
        <w:rPr>
          <w:lang w:eastAsia="zh-CN"/>
        </w:rPr>
        <w:t>45.95%</w:t>
      </w:r>
      <w:r>
        <w:rPr>
          <w:lang w:eastAsia="zh-CN"/>
        </w:rPr>
        <w:t>减少至</w:t>
      </w:r>
      <w:r>
        <w:rPr>
          <w:lang w:eastAsia="zh-CN"/>
        </w:rPr>
        <w:t>37.90%</w:t>
      </w:r>
      <w:r>
        <w:rPr>
          <w:lang w:eastAsia="zh-CN"/>
        </w:rPr>
        <w:t>，然后浙江国有资本持有的华营建筑实际股权亦因此而减少。</w:t>
      </w:r>
      <w:r>
        <w:rPr>
          <w:lang w:eastAsia="zh-CN"/>
        </w:rPr>
        <w:t>2021</w:t>
      </w:r>
      <w:r>
        <w:rPr>
          <w:lang w:eastAsia="zh-CN"/>
        </w:rPr>
        <w:t>年</w:t>
      </w:r>
      <w:r>
        <w:rPr>
          <w:lang w:eastAsia="zh-CN"/>
        </w:rPr>
        <w:t>6</w:t>
      </w:r>
      <w:r>
        <w:rPr>
          <w:lang w:eastAsia="zh-CN"/>
        </w:rPr>
        <w:t>月</w:t>
      </w:r>
      <w:r>
        <w:rPr>
          <w:lang w:eastAsia="zh-CN"/>
        </w:rPr>
        <w:t>25</w:t>
      </w:r>
      <w:r>
        <w:rPr>
          <w:lang w:eastAsia="zh-CN"/>
        </w:rPr>
        <w:t>日，浙江建设投资被注销。</w:t>
      </w: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p>
    <w:p w:rsidR="005746EE" w:rsidRPr="00243A93" w:rsidRDefault="005746EE" w:rsidP="005746EE">
      <w:pPr>
        <w:pStyle w:val="h3"/>
        <w:adjustRightInd w:val="0"/>
        <w:snapToGrid w:val="0"/>
        <w:spacing w:before="0" w:beforeAutospacing="0" w:after="0" w:afterAutospacing="0"/>
        <w:jc w:val="center"/>
        <w:textAlignment w:val="baseline"/>
        <w:rPr>
          <w:rFonts w:ascii="Times New Roman" w:hAnsi="Times New Roman"/>
          <w:b/>
          <w:bCs/>
          <w:color w:val="2B2B2B"/>
          <w:sz w:val="22"/>
          <w:szCs w:val="22"/>
        </w:rPr>
      </w:pPr>
      <w:r w:rsidRPr="00243A93">
        <w:rPr>
          <w:rFonts w:ascii="Times New Roman" w:hAnsi="Times New Roman" w:hint="eastAsia"/>
          <w:b/>
          <w:bCs/>
          <w:color w:val="2B2B2B"/>
          <w:sz w:val="22"/>
          <w:szCs w:val="22"/>
        </w:rPr>
        <w:lastRenderedPageBreak/>
        <w:t>（华营建筑）股权架构</w:t>
      </w:r>
    </w:p>
    <w:tbl>
      <w:tblPr>
        <w:tblStyle w:val="TableGrid"/>
        <w:tblW w:w="0" w:type="auto"/>
        <w:tblLook w:val="04A0" w:firstRow="1" w:lastRow="0" w:firstColumn="1" w:lastColumn="0" w:noHBand="0" w:noVBand="1"/>
      </w:tblPr>
      <w:tblGrid>
        <w:gridCol w:w="4836"/>
        <w:gridCol w:w="5076"/>
      </w:tblGrid>
      <w:tr w:rsidR="005746EE" w:rsidRPr="00243A93" w:rsidTr="00700656">
        <w:tc>
          <w:tcPr>
            <w:tcW w:w="4788" w:type="dxa"/>
          </w:tcPr>
          <w:p w:rsidR="005746EE" w:rsidRPr="00243A93" w:rsidRDefault="005746EE" w:rsidP="00700656">
            <w:pPr>
              <w:pStyle w:val="h3"/>
              <w:adjustRightInd w:val="0"/>
              <w:snapToGrid w:val="0"/>
              <w:spacing w:before="0" w:beforeAutospacing="0" w:after="0" w:afterAutospacing="0"/>
              <w:jc w:val="center"/>
              <w:textAlignment w:val="baseline"/>
              <w:rPr>
                <w:rFonts w:ascii="Times New Roman" w:hAnsi="Times New Roman"/>
                <w:b/>
                <w:bCs/>
                <w:color w:val="2B2B2B"/>
              </w:rPr>
            </w:pPr>
            <w:r w:rsidRPr="00243A93">
              <w:rPr>
                <w:rFonts w:ascii="Times New Roman" w:hAnsi="Times New Roman" w:hint="eastAsia"/>
                <w:b/>
                <w:bCs/>
                <w:color w:val="2B2B2B"/>
              </w:rPr>
              <w:t>招股章程所披露的股权架构</w:t>
            </w:r>
          </w:p>
        </w:tc>
        <w:tc>
          <w:tcPr>
            <w:tcW w:w="4788" w:type="dxa"/>
          </w:tcPr>
          <w:p w:rsidR="005746EE" w:rsidRPr="00243A93" w:rsidRDefault="005746EE" w:rsidP="00700656">
            <w:pPr>
              <w:pStyle w:val="h3"/>
              <w:adjustRightInd w:val="0"/>
              <w:snapToGrid w:val="0"/>
              <w:spacing w:before="0" w:beforeAutospacing="0" w:after="0" w:afterAutospacing="0"/>
              <w:jc w:val="center"/>
              <w:textAlignment w:val="baseline"/>
              <w:rPr>
                <w:rFonts w:ascii="Times New Roman" w:hAnsi="Times New Roman"/>
                <w:b/>
                <w:bCs/>
                <w:color w:val="2B2B2B"/>
              </w:rPr>
            </w:pPr>
            <w:r w:rsidRPr="00243A93">
              <w:rPr>
                <w:rFonts w:ascii="Times New Roman" w:hAnsi="Times New Roman" w:hint="eastAsia"/>
                <w:b/>
                <w:bCs/>
                <w:color w:val="2B2B2B"/>
              </w:rPr>
              <w:t>重组完成后的股权架构</w:t>
            </w:r>
          </w:p>
        </w:tc>
      </w:tr>
      <w:tr w:rsidR="005746EE" w:rsidRPr="00243A93" w:rsidTr="00700656">
        <w:tc>
          <w:tcPr>
            <w:tcW w:w="4788" w:type="dxa"/>
          </w:tcPr>
          <w:p w:rsidR="005746EE" w:rsidRPr="00243A93" w:rsidRDefault="005746EE" w:rsidP="00700656">
            <w:pPr>
              <w:pStyle w:val="h3"/>
              <w:adjustRightInd w:val="0"/>
              <w:snapToGrid w:val="0"/>
              <w:spacing w:before="0" w:beforeAutospacing="0" w:after="0" w:afterAutospacing="0"/>
              <w:textAlignment w:val="baseline"/>
              <w:rPr>
                <w:rFonts w:ascii="Times New Roman" w:hAnsi="Times New Roman"/>
                <w:bCs/>
                <w:color w:val="2B2B2B"/>
              </w:rPr>
            </w:pPr>
            <w:r w:rsidRPr="00243A93">
              <w:rPr>
                <w:rFonts w:ascii="Times New Roman" w:hAnsi="Times New Roman"/>
                <w:bCs/>
                <w:noProof/>
                <w:color w:val="2B2B2B"/>
              </w:rPr>
              <w:drawing>
                <wp:inline distT="0" distB="0" distL="0" distR="0" wp14:anchorId="101675EE" wp14:editId="48B6E11C">
                  <wp:extent cx="2908300" cy="4133850"/>
                  <wp:effectExtent l="1905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2908300" cy="4133850"/>
                          </a:xfrm>
                          <a:prstGeom prst="rect">
                            <a:avLst/>
                          </a:prstGeom>
                          <a:noFill/>
                          <a:ln w="9525">
                            <a:noFill/>
                            <a:miter lim="800000"/>
                            <a:headEnd/>
                            <a:tailEnd/>
                          </a:ln>
                        </pic:spPr>
                      </pic:pic>
                    </a:graphicData>
                  </a:graphic>
                </wp:inline>
              </w:drawing>
            </w:r>
          </w:p>
        </w:tc>
        <w:tc>
          <w:tcPr>
            <w:tcW w:w="4788" w:type="dxa"/>
          </w:tcPr>
          <w:p w:rsidR="005746EE" w:rsidRPr="00243A93" w:rsidRDefault="005746EE" w:rsidP="00700656">
            <w:pPr>
              <w:pStyle w:val="h3"/>
              <w:adjustRightInd w:val="0"/>
              <w:snapToGrid w:val="0"/>
              <w:spacing w:before="0" w:beforeAutospacing="0" w:after="0" w:afterAutospacing="0"/>
              <w:textAlignment w:val="baseline"/>
              <w:rPr>
                <w:rFonts w:ascii="Times New Roman" w:hAnsi="Times New Roman"/>
                <w:bCs/>
                <w:color w:val="2B2B2B"/>
              </w:rPr>
            </w:pPr>
            <w:r w:rsidRPr="00243A93">
              <w:rPr>
                <w:rFonts w:ascii="Times New Roman" w:hAnsi="Times New Roman"/>
                <w:bCs/>
                <w:noProof/>
                <w:color w:val="2B2B2B"/>
              </w:rPr>
              <w:drawing>
                <wp:inline distT="0" distB="0" distL="0" distR="0" wp14:anchorId="2AE6CB1C" wp14:editId="730AC623">
                  <wp:extent cx="3067050" cy="4114800"/>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3067050" cy="4114800"/>
                          </a:xfrm>
                          <a:prstGeom prst="rect">
                            <a:avLst/>
                          </a:prstGeom>
                          <a:noFill/>
                          <a:ln w="9525">
                            <a:noFill/>
                            <a:miter lim="800000"/>
                            <a:headEnd/>
                            <a:tailEnd/>
                          </a:ln>
                        </pic:spPr>
                      </pic:pic>
                    </a:graphicData>
                  </a:graphic>
                </wp:inline>
              </w:drawing>
            </w:r>
          </w:p>
        </w:tc>
      </w:tr>
    </w:tbl>
    <w:p w:rsidR="006E11D0" w:rsidRDefault="006E11D0">
      <w:pPr>
        <w:pStyle w:val="BodyText"/>
      </w:pPr>
    </w:p>
    <w:p w:rsidR="006E11D0" w:rsidRDefault="000A5B04">
      <w:pPr>
        <w:pStyle w:val="BodyText"/>
        <w:rPr>
          <w:lang w:eastAsia="zh-CN"/>
        </w:rPr>
      </w:pPr>
      <w:r>
        <w:rPr>
          <w:lang w:eastAsia="zh-CN"/>
        </w:rPr>
        <w:t>《上市规则》的规定及违规事项</w:t>
      </w:r>
    </w:p>
    <w:p w:rsidR="006E11D0" w:rsidRDefault="000A5B04">
      <w:pPr>
        <w:pStyle w:val="BodyText"/>
        <w:rPr>
          <w:lang w:eastAsia="zh-CN"/>
        </w:rPr>
      </w:pPr>
      <w:r>
        <w:rPr>
          <w:lang w:eastAsia="zh-CN"/>
        </w:rPr>
        <w:t>《上市规则》第</w:t>
      </w:r>
      <w:r>
        <w:rPr>
          <w:lang w:eastAsia="zh-CN"/>
        </w:rPr>
        <w:t>2.13(2)</w:t>
      </w:r>
      <w:r>
        <w:rPr>
          <w:lang w:eastAsia="zh-CN"/>
        </w:rPr>
        <w:t>条规定任何香港交易所《上市规则》所要求的公告或公司通讯（包括招股章程）所载数据在各重要方面均须准确完备，且没有误导或欺诈成分。上市委员会裁定华营建筑违反了《上市规则》第</w:t>
      </w:r>
      <w:r>
        <w:rPr>
          <w:lang w:eastAsia="zh-CN"/>
        </w:rPr>
        <w:t>2.13(2)</w:t>
      </w:r>
      <w:r>
        <w:rPr>
          <w:lang w:eastAsia="zh-CN"/>
        </w:rPr>
        <w:t>条，原因是其招股章程中未有载有任何关于该重组的资料。因此，该招股章程所载数据在各重要方面并非准确完备，及</w:t>
      </w:r>
      <w:r>
        <w:rPr>
          <w:lang w:eastAsia="zh-CN"/>
        </w:rPr>
        <w:t>/</w:t>
      </w:r>
      <w:r>
        <w:rPr>
          <w:lang w:eastAsia="zh-CN"/>
        </w:rPr>
        <w:t>或具误导或欺诈成份。</w:t>
      </w:r>
    </w:p>
    <w:p w:rsidR="006E11D0" w:rsidRDefault="000A5B04">
      <w:pPr>
        <w:pStyle w:val="BodyText"/>
        <w:rPr>
          <w:lang w:eastAsia="zh-CN"/>
        </w:rPr>
      </w:pPr>
      <w:r>
        <w:rPr>
          <w:lang w:eastAsia="zh-CN"/>
        </w:rPr>
        <w:t>所有</w:t>
      </w:r>
      <w:r>
        <w:rPr>
          <w:lang w:eastAsia="zh-CN"/>
        </w:rPr>
        <w:t>6</w:t>
      </w:r>
      <w:r>
        <w:rPr>
          <w:lang w:eastAsia="zh-CN"/>
        </w:rPr>
        <w:t>名相关董事均违反了他们竭力促使华营建筑遵守香港交易所《上巿规则》的《董事承诺》：</w:t>
      </w:r>
    </w:p>
    <w:p w:rsidR="006E11D0" w:rsidRDefault="000A5B04">
      <w:pPr>
        <w:pStyle w:val="Compact"/>
        <w:numPr>
          <w:ilvl w:val="0"/>
          <w:numId w:val="7"/>
        </w:numPr>
        <w:rPr>
          <w:lang w:eastAsia="zh-CN"/>
        </w:rPr>
      </w:pPr>
      <w:r>
        <w:rPr>
          <w:lang w:eastAsia="zh-CN"/>
        </w:rPr>
        <w:t>华营建筑的潜在投资者有正当权利获得准确完备的控股股东及该</w:t>
      </w:r>
      <w:r>
        <w:rPr>
          <w:lang w:eastAsia="zh-CN"/>
        </w:rPr>
        <w:t>公司股权结构的资料，以在充分知情的情况下作出投资决定。该重组对该招股章程中所载的股权架构资料的准确及</w:t>
      </w:r>
      <w:r>
        <w:rPr>
          <w:lang w:eastAsia="zh-CN"/>
        </w:rPr>
        <w:t>/</w:t>
      </w:r>
      <w:r>
        <w:rPr>
          <w:lang w:eastAsia="zh-CN"/>
        </w:rPr>
        <w:t>或完整性有重大影响。华营建筑可能有一间具上市地位的母公司一事，对投资者考虑其在该公司的潜在投资可能产生影响；及</w:t>
      </w:r>
    </w:p>
    <w:p w:rsidR="006E11D0" w:rsidRDefault="000A5B04">
      <w:pPr>
        <w:pStyle w:val="Compact"/>
        <w:numPr>
          <w:ilvl w:val="0"/>
          <w:numId w:val="7"/>
        </w:numPr>
        <w:rPr>
          <w:lang w:eastAsia="zh-CN"/>
        </w:rPr>
      </w:pPr>
      <w:r>
        <w:rPr>
          <w:lang w:eastAsia="zh-CN"/>
        </w:rPr>
        <w:t>在准备及刊发该招股章程时，所有</w:t>
      </w:r>
      <w:r>
        <w:rPr>
          <w:lang w:eastAsia="zh-CN"/>
        </w:rPr>
        <w:t>6</w:t>
      </w:r>
      <w:r>
        <w:rPr>
          <w:lang w:eastAsia="zh-CN"/>
        </w:rPr>
        <w:t>名相关董事均知悉该重组。但该重组却从未</w:t>
      </w:r>
      <w:r>
        <w:rPr>
          <w:lang w:eastAsia="zh-CN"/>
        </w:rPr>
        <w:t>(i)</w:t>
      </w:r>
      <w:r>
        <w:rPr>
          <w:lang w:eastAsia="zh-CN"/>
        </w:rPr>
        <w:t>在香港交易所审视上市申请的过程予以披露，且亦</w:t>
      </w:r>
      <w:r>
        <w:rPr>
          <w:lang w:eastAsia="zh-CN"/>
        </w:rPr>
        <w:t>(ii)</w:t>
      </w:r>
      <w:r>
        <w:rPr>
          <w:lang w:eastAsia="zh-CN"/>
        </w:rPr>
        <w:t>未有适时向华营建筑独立非执行董事披露，以让全体董事会考虑有关披露的事宜。</w:t>
      </w:r>
    </w:p>
    <w:p w:rsidR="006E11D0" w:rsidRDefault="000A5B04">
      <w:pPr>
        <w:pStyle w:val="FirstParagraph"/>
        <w:rPr>
          <w:lang w:eastAsia="zh-CN"/>
        </w:rPr>
      </w:pPr>
      <w:r>
        <w:rPr>
          <w:lang w:eastAsia="zh-CN"/>
        </w:rPr>
        <w:t>《上巿规则》第</w:t>
      </w:r>
      <w:r>
        <w:rPr>
          <w:lang w:eastAsia="zh-CN"/>
        </w:rPr>
        <w:t>10.07(1)(a)</w:t>
      </w:r>
      <w:r>
        <w:rPr>
          <w:lang w:eastAsia="zh-CN"/>
        </w:rPr>
        <w:t>条及《禁售承诺》规定在发行人申请上市时刊发的上市文件中被列为</w:t>
      </w:r>
      <w:r>
        <w:rPr>
          <w:lang w:eastAsia="zh-CN"/>
        </w:rPr>
        <w:t>发行人控股股东的人士或一组人士本身不得（并须促使有关登记持有人不得）在上市日期起计满</w:t>
      </w:r>
      <w:r>
        <w:rPr>
          <w:lang w:eastAsia="zh-CN"/>
        </w:rPr>
        <w:t>6</w:t>
      </w:r>
      <w:r>
        <w:rPr>
          <w:lang w:eastAsia="zh-CN"/>
        </w:rPr>
        <w:t>个月内，出售上市文件所列示由其实益拥有的发行人证券。</w:t>
      </w:r>
    </w:p>
    <w:p w:rsidR="006E11D0" w:rsidRDefault="000A5B04">
      <w:pPr>
        <w:pStyle w:val="BodyText"/>
        <w:rPr>
          <w:lang w:eastAsia="zh-CN"/>
        </w:rPr>
      </w:pPr>
      <w:r>
        <w:rPr>
          <w:lang w:eastAsia="zh-CN"/>
        </w:rPr>
        <w:t>浙江国有资本违反《上巿规则》第</w:t>
      </w:r>
      <w:r>
        <w:rPr>
          <w:lang w:eastAsia="zh-CN"/>
        </w:rPr>
        <w:t>10.07(1)(a)</w:t>
      </w:r>
      <w:r>
        <w:rPr>
          <w:lang w:eastAsia="zh-CN"/>
        </w:rPr>
        <w:t>条及其对香港交易所作出的《禁售承诺》。浙江国有资本知悉实行该重组将构成对第</w:t>
      </w:r>
      <w:r>
        <w:rPr>
          <w:lang w:eastAsia="zh-CN"/>
        </w:rPr>
        <w:t>10.07(1)(a)</w:t>
      </w:r>
      <w:r>
        <w:rPr>
          <w:lang w:eastAsia="zh-CN"/>
        </w:rPr>
        <w:t>条及其《禁售承诺》的违反。浙江国有资本曾被告知应咨询香港交易所及在进行该重组前取得香港交易所同意，但其未有跟从该意见。其违规的情况显示其未有对香港交易所《上巿规则》的合规性作出考虑。</w:t>
      </w:r>
    </w:p>
    <w:p w:rsidR="006E11D0" w:rsidRDefault="000A5B04">
      <w:pPr>
        <w:pStyle w:val="BodyText"/>
        <w:rPr>
          <w:lang w:eastAsia="zh-CN"/>
        </w:rPr>
      </w:pPr>
      <w:r>
        <w:rPr>
          <w:lang w:eastAsia="zh-CN"/>
        </w:rPr>
        <w:lastRenderedPageBreak/>
        <w:t>因此，香港交易所上市委员会决定针对华营建筑，浙江国有资本及该</w:t>
      </w:r>
      <w:r>
        <w:rPr>
          <w:lang w:eastAsia="zh-CN"/>
        </w:rPr>
        <w:t>6</w:t>
      </w:r>
      <w:r>
        <w:rPr>
          <w:lang w:eastAsia="zh-CN"/>
        </w:rPr>
        <w:t>名董事施加纪律行动。</w:t>
      </w:r>
    </w:p>
    <w:p w:rsidR="006E11D0" w:rsidRDefault="000A5B04">
      <w:pPr>
        <w:pStyle w:val="BodyText"/>
        <w:rPr>
          <w:lang w:eastAsia="zh-CN"/>
        </w:rPr>
      </w:pPr>
      <w:r>
        <w:rPr>
          <w:lang w:eastAsia="zh-CN"/>
        </w:rPr>
        <w:t>原讼法庭命令庞氏骗局运营方赔偿投资者</w:t>
      </w:r>
    </w:p>
    <w:p w:rsidR="006E11D0" w:rsidRDefault="000A5B04">
      <w:pPr>
        <w:pStyle w:val="BodyText"/>
        <w:rPr>
          <w:lang w:eastAsia="zh-CN"/>
        </w:rPr>
      </w:pPr>
      <w:r>
        <w:t>2022</w:t>
      </w:r>
      <w:r>
        <w:t>年</w:t>
      </w:r>
      <w:r>
        <w:t>5</w:t>
      </w:r>
      <w:r>
        <w:t>月</w:t>
      </w:r>
      <w:r>
        <w:t>16</w:t>
      </w:r>
      <w:r>
        <w:t>日，根据《证券及期货条例》第</w:t>
      </w:r>
      <w:r>
        <w:t>213</w:t>
      </w:r>
      <w:r>
        <w:t>条，</w:t>
      </w:r>
      <w:hyperlink r:id="rId15">
        <w:r>
          <w:t>原讼法庭应证监会的申请，对</w:t>
        </w:r>
        <w:r>
          <w:t>DFRF Enterprises LLC</w:t>
        </w:r>
        <w:r>
          <w:t>及</w:t>
        </w:r>
        <w:r>
          <w:t>DFRF</w:t>
        </w:r>
        <w:r>
          <w:t xml:space="preserve"> Enterprises, LLC</w:t>
        </w:r>
        <w:r>
          <w:t>（统称</w:t>
        </w:r>
        <w:r>
          <w:t>DFRF</w:t>
        </w:r>
        <w:r>
          <w:t>）以及这两家公司的创办人</w:t>
        </w:r>
        <w:r>
          <w:t>Daniel Fernandes Rojo Filho</w:t>
        </w:r>
        <w:r>
          <w:t>（男）作出命令</w:t>
        </w:r>
      </w:hyperlink>
      <w:r>
        <w:t>，饬令他们向一宗骗局的受害者作出赔偿。</w:t>
      </w:r>
      <w:r>
        <w:rPr>
          <w:lang w:eastAsia="zh-CN"/>
        </w:rPr>
        <w:t>在一宗全球性层压式及庞氏骗局中，</w:t>
      </w:r>
      <w:r>
        <w:rPr>
          <w:lang w:eastAsia="zh-CN"/>
        </w:rPr>
        <w:t>DFRF</w:t>
      </w:r>
      <w:r>
        <w:rPr>
          <w:lang w:eastAsia="zh-CN"/>
        </w:rPr>
        <w:t>及</w:t>
      </w:r>
      <w:r>
        <w:rPr>
          <w:lang w:eastAsia="zh-CN"/>
        </w:rPr>
        <w:t>Filho</w:t>
      </w:r>
      <w:r>
        <w:rPr>
          <w:lang w:eastAsia="zh-CN"/>
        </w:rPr>
        <w:t>讹称</w:t>
      </w:r>
      <w:r>
        <w:rPr>
          <w:lang w:eastAsia="zh-CN"/>
        </w:rPr>
        <w:t>DFRF</w:t>
      </w:r>
      <w:r>
        <w:rPr>
          <w:lang w:eastAsia="zh-CN"/>
        </w:rPr>
        <w:t>的主要业务是经营黄金开采，且该业务即将在美国上市，由此怂恿多名香港投资者认购其会员计划的「会员单位」，以获得每月回报。大约在</w:t>
      </w:r>
      <w:r>
        <w:rPr>
          <w:lang w:eastAsia="zh-CN"/>
        </w:rPr>
        <w:t>2015</w:t>
      </w:r>
      <w:r>
        <w:rPr>
          <w:lang w:eastAsia="zh-CN"/>
        </w:rPr>
        <w:t>年</w:t>
      </w:r>
      <w:r>
        <w:rPr>
          <w:lang w:eastAsia="zh-CN"/>
        </w:rPr>
        <w:t>5</w:t>
      </w:r>
      <w:r>
        <w:rPr>
          <w:lang w:eastAsia="zh-CN"/>
        </w:rPr>
        <w:t>月，</w:t>
      </w:r>
      <w:r>
        <w:rPr>
          <w:lang w:eastAsia="zh-CN"/>
        </w:rPr>
        <w:t>DFRF</w:t>
      </w:r>
      <w:r>
        <w:rPr>
          <w:lang w:eastAsia="zh-CN"/>
        </w:rPr>
        <w:t>及</w:t>
      </w:r>
      <w:r>
        <w:rPr>
          <w:lang w:eastAsia="zh-CN"/>
        </w:rPr>
        <w:t>Filho</w:t>
      </w:r>
      <w:r>
        <w:rPr>
          <w:lang w:eastAsia="zh-CN"/>
        </w:rPr>
        <w:t>讹称</w:t>
      </w:r>
      <w:r>
        <w:rPr>
          <w:lang w:eastAsia="zh-CN"/>
        </w:rPr>
        <w:t>DFRF</w:t>
      </w:r>
      <w:r>
        <w:rPr>
          <w:lang w:eastAsia="zh-CN"/>
        </w:rPr>
        <w:t>已在美国上市，并让投资者选择是否按指定价格将他们的「会员单位」转换为</w:t>
      </w:r>
      <w:r>
        <w:rPr>
          <w:lang w:eastAsia="zh-CN"/>
        </w:rPr>
        <w:t>DFRF</w:t>
      </w:r>
      <w:r>
        <w:rPr>
          <w:lang w:eastAsia="zh-CN"/>
        </w:rPr>
        <w:t>的优先股。原讼法庭的判</w:t>
      </w:r>
      <w:r>
        <w:rPr>
          <w:lang w:eastAsia="zh-CN"/>
        </w:rPr>
        <w:t>决书全文载列于</w:t>
      </w:r>
      <w:hyperlink r:id="rId16">
        <w:r>
          <w:rPr>
            <w:lang w:eastAsia="zh-CN"/>
          </w:rPr>
          <w:t>司法机构网站</w:t>
        </w:r>
      </w:hyperlink>
      <w:r>
        <w:rPr>
          <w:lang w:eastAsia="zh-CN"/>
        </w:rPr>
        <w:t>。</w:t>
      </w:r>
    </w:p>
    <w:p w:rsidR="006E11D0" w:rsidRDefault="000A5B04">
      <w:pPr>
        <w:pStyle w:val="BodyText"/>
        <w:rPr>
          <w:lang w:eastAsia="zh-CN"/>
        </w:rPr>
      </w:pPr>
      <w:r>
        <w:rPr>
          <w:lang w:eastAsia="zh-CN"/>
        </w:rPr>
        <w:t>欺诈的失实陈述</w:t>
      </w:r>
    </w:p>
    <w:p w:rsidR="006E11D0" w:rsidRDefault="000A5B04">
      <w:pPr>
        <w:pStyle w:val="BodyText"/>
        <w:rPr>
          <w:lang w:eastAsia="zh-CN"/>
        </w:rPr>
      </w:pPr>
      <w:r>
        <w:t>马萨诸塞一家有限责任公司</w:t>
      </w:r>
      <w:r>
        <w:t>DFRF Enterprises LLC</w:t>
      </w:r>
      <w:r>
        <w:t>，弗洛里达一家有限责任公司</w:t>
      </w:r>
      <w:r>
        <w:t xml:space="preserve">DFRF Enterprises, LLC </w:t>
      </w:r>
      <w:r>
        <w:t>及</w:t>
      </w:r>
      <w:r>
        <w:t>Filho</w:t>
      </w:r>
      <w:r>
        <w:t>为本案的</w:t>
      </w:r>
      <w:r>
        <w:t>3</w:t>
      </w:r>
      <w:r>
        <w:t>位被告。大约在</w:t>
      </w:r>
      <w:r>
        <w:t>2014</w:t>
      </w:r>
      <w:r>
        <w:t>年夏</w:t>
      </w:r>
      <w:r>
        <w:t>季，</w:t>
      </w:r>
      <w:r>
        <w:t xml:space="preserve">Filho </w:t>
      </w:r>
      <w:r>
        <w:t>开始透过与潜在投资者会见方式售卖</w:t>
      </w:r>
      <w:r>
        <w:t>DFRF</w:t>
      </w:r>
      <w:r>
        <w:t>的会员，其中很多会面是在美国马萨诸塞州进行的。</w:t>
      </w:r>
      <w:r>
        <w:rPr>
          <w:lang w:eastAsia="zh-CN"/>
        </w:rPr>
        <w:t>2014</w:t>
      </w:r>
      <w:r>
        <w:rPr>
          <w:lang w:eastAsia="zh-CN"/>
        </w:rPr>
        <w:t>年</w:t>
      </w:r>
      <w:r>
        <w:rPr>
          <w:lang w:eastAsia="zh-CN"/>
        </w:rPr>
        <w:t>10</w:t>
      </w:r>
      <w:r>
        <w:rPr>
          <w:lang w:eastAsia="zh-CN"/>
        </w:rPr>
        <w:t>月，他开始透过在互联网上向公众提供短片的方式推广</w:t>
      </w:r>
      <w:r>
        <w:rPr>
          <w:lang w:eastAsia="zh-CN"/>
        </w:rPr>
        <w:t>DFRF</w:t>
      </w:r>
      <w:r>
        <w:rPr>
          <w:lang w:eastAsia="zh-CN"/>
        </w:rPr>
        <w:t>。至少自</w:t>
      </w:r>
      <w:r>
        <w:rPr>
          <w:lang w:eastAsia="zh-CN"/>
        </w:rPr>
        <w:t>2015</w:t>
      </w:r>
      <w:r>
        <w:rPr>
          <w:lang w:eastAsia="zh-CN"/>
        </w:rPr>
        <w:t>年</w:t>
      </w:r>
      <w:r>
        <w:rPr>
          <w:lang w:eastAsia="zh-CN"/>
        </w:rPr>
        <w:t>3</w:t>
      </w:r>
      <w:r>
        <w:rPr>
          <w:lang w:eastAsia="zh-CN"/>
        </w:rPr>
        <w:t>月</w:t>
      </w:r>
      <w:r>
        <w:rPr>
          <w:lang w:eastAsia="zh-CN"/>
        </w:rPr>
        <w:t>/4</w:t>
      </w:r>
      <w:r>
        <w:rPr>
          <w:lang w:eastAsia="zh-CN"/>
        </w:rPr>
        <w:t>月起，</w:t>
      </w:r>
      <w:r>
        <w:rPr>
          <w:lang w:eastAsia="zh-CN"/>
        </w:rPr>
        <w:t>DFRF</w:t>
      </w:r>
      <w:r>
        <w:rPr>
          <w:lang w:eastAsia="zh-CN"/>
        </w:rPr>
        <w:t>开始在香港开展营销活动，在当地告知投资者</w:t>
      </w:r>
      <w:r>
        <w:rPr>
          <w:lang w:eastAsia="zh-CN"/>
        </w:rPr>
        <w:t xml:space="preserve">DFRF </w:t>
      </w:r>
      <w:r>
        <w:rPr>
          <w:lang w:eastAsia="zh-CN"/>
        </w:rPr>
        <w:t>将上市且其投资价值在上市后将增长三倍。</w:t>
      </w:r>
    </w:p>
    <w:p w:rsidR="006E11D0" w:rsidRDefault="000A5B04">
      <w:pPr>
        <w:pStyle w:val="BodyText"/>
        <w:rPr>
          <w:lang w:eastAsia="zh-CN"/>
        </w:rPr>
      </w:pPr>
      <w:r>
        <w:rPr>
          <w:lang w:eastAsia="zh-CN"/>
        </w:rPr>
        <w:t>大约在</w:t>
      </w:r>
      <w:r>
        <w:rPr>
          <w:lang w:eastAsia="zh-CN"/>
        </w:rPr>
        <w:t>2015</w:t>
      </w:r>
      <w:r>
        <w:rPr>
          <w:lang w:eastAsia="zh-CN"/>
        </w:rPr>
        <w:t>年</w:t>
      </w:r>
      <w:r>
        <w:rPr>
          <w:lang w:eastAsia="zh-CN"/>
        </w:rPr>
        <w:t>3</w:t>
      </w:r>
      <w:r>
        <w:rPr>
          <w:lang w:eastAsia="zh-CN"/>
        </w:rPr>
        <w:t>月，</w:t>
      </w:r>
      <w:r>
        <w:rPr>
          <w:lang w:eastAsia="zh-CN"/>
        </w:rPr>
        <w:t>DFRF</w:t>
      </w:r>
      <w:r>
        <w:rPr>
          <w:lang w:eastAsia="zh-CN"/>
        </w:rPr>
        <w:t>，</w:t>
      </w:r>
      <w:r>
        <w:rPr>
          <w:lang w:eastAsia="zh-CN"/>
        </w:rPr>
        <w:t>Filho</w:t>
      </w:r>
      <w:r>
        <w:rPr>
          <w:lang w:eastAsia="zh-CN"/>
        </w:rPr>
        <w:t>及其关联人士均于在线短片中声称</w:t>
      </w:r>
      <w:r>
        <w:rPr>
          <w:lang w:eastAsia="zh-CN"/>
        </w:rPr>
        <w:t>DFRF</w:t>
      </w:r>
      <w:r>
        <w:rPr>
          <w:lang w:eastAsia="zh-CN"/>
        </w:rPr>
        <w:t>已在美国证券交易委员会注册，其股票将公开买卖，以及会员可以将其部分或者所有会员单位按每股</w:t>
      </w:r>
      <w:r>
        <w:rPr>
          <w:lang w:eastAsia="zh-CN"/>
        </w:rPr>
        <w:t>15.06</w:t>
      </w:r>
      <w:r>
        <w:rPr>
          <w:lang w:eastAsia="zh-CN"/>
        </w:rPr>
        <w:t>美元的价格转换成股票期权。美国证</w:t>
      </w:r>
      <w:r>
        <w:rPr>
          <w:lang w:eastAsia="zh-CN"/>
        </w:rPr>
        <w:t>券交易委员会注意到，在该份公告之后，投资者的收益飙升至</w:t>
      </w:r>
      <w:r>
        <w:rPr>
          <w:lang w:eastAsia="zh-CN"/>
        </w:rPr>
        <w:t>430</w:t>
      </w:r>
      <w:r>
        <w:rPr>
          <w:lang w:eastAsia="zh-CN"/>
        </w:rPr>
        <w:t>万美元以上，其中</w:t>
      </w:r>
      <w:r>
        <w:rPr>
          <w:lang w:eastAsia="zh-CN"/>
        </w:rPr>
        <w:t xml:space="preserve">DFRF </w:t>
      </w:r>
      <w:r>
        <w:rPr>
          <w:lang w:eastAsia="zh-CN"/>
        </w:rPr>
        <w:t>在</w:t>
      </w:r>
      <w:r>
        <w:rPr>
          <w:lang w:eastAsia="zh-CN"/>
        </w:rPr>
        <w:t>2015</w:t>
      </w:r>
      <w:r>
        <w:rPr>
          <w:lang w:eastAsia="zh-CN"/>
        </w:rPr>
        <w:t>年</w:t>
      </w:r>
      <w:r>
        <w:rPr>
          <w:lang w:eastAsia="zh-CN"/>
        </w:rPr>
        <w:t>4</w:t>
      </w:r>
      <w:r>
        <w:rPr>
          <w:lang w:eastAsia="zh-CN"/>
        </w:rPr>
        <w:t>月及</w:t>
      </w:r>
      <w:r>
        <w:rPr>
          <w:lang w:eastAsia="zh-CN"/>
        </w:rPr>
        <w:t>2015</w:t>
      </w:r>
      <w:r>
        <w:rPr>
          <w:lang w:eastAsia="zh-CN"/>
        </w:rPr>
        <w:t>年</w:t>
      </w:r>
      <w:r>
        <w:rPr>
          <w:lang w:eastAsia="zh-CN"/>
        </w:rPr>
        <w:t>5</w:t>
      </w:r>
      <w:r>
        <w:rPr>
          <w:lang w:eastAsia="zh-CN"/>
        </w:rPr>
        <w:t>月筹集款额分别超过</w:t>
      </w:r>
      <w:r>
        <w:rPr>
          <w:lang w:eastAsia="zh-CN"/>
        </w:rPr>
        <w:t>250</w:t>
      </w:r>
      <w:r>
        <w:rPr>
          <w:lang w:eastAsia="zh-CN"/>
        </w:rPr>
        <w:t>万美元及</w:t>
      </w:r>
      <w:r>
        <w:rPr>
          <w:lang w:eastAsia="zh-CN"/>
        </w:rPr>
        <w:t>410</w:t>
      </w:r>
      <w:r>
        <w:rPr>
          <w:lang w:eastAsia="zh-CN"/>
        </w:rPr>
        <w:t>万美元。</w:t>
      </w:r>
    </w:p>
    <w:p w:rsidR="006E11D0" w:rsidRDefault="000A5B04">
      <w:pPr>
        <w:pStyle w:val="BodyText"/>
        <w:rPr>
          <w:lang w:eastAsia="zh-CN"/>
        </w:rPr>
      </w:pPr>
      <w:r>
        <w:rPr>
          <w:lang w:eastAsia="zh-CN"/>
        </w:rPr>
        <w:t>根据宣传资料和</w:t>
      </w:r>
      <w:r>
        <w:rPr>
          <w:lang w:eastAsia="zh-CN"/>
        </w:rPr>
        <w:t>DFRF</w:t>
      </w:r>
      <w:r>
        <w:rPr>
          <w:lang w:eastAsia="zh-CN"/>
        </w:rPr>
        <w:t>在网上刊发的商业模式摘要，他们声称的商业模式如下</w:t>
      </w:r>
      <w:r>
        <w:rPr>
          <w:lang w:eastAsia="zh-CN"/>
        </w:rPr>
        <w:t>:</w:t>
      </w:r>
    </w:p>
    <w:p w:rsidR="006E11D0" w:rsidRDefault="000A5B04">
      <w:pPr>
        <w:pStyle w:val="Compact"/>
        <w:numPr>
          <w:ilvl w:val="0"/>
          <w:numId w:val="8"/>
        </w:numPr>
        <w:rPr>
          <w:lang w:eastAsia="zh-CN"/>
        </w:rPr>
      </w:pPr>
      <w:r>
        <w:rPr>
          <w:lang w:eastAsia="zh-CN"/>
        </w:rPr>
        <w:t>DFRF</w:t>
      </w:r>
      <w:r>
        <w:rPr>
          <w:lang w:eastAsia="zh-CN"/>
        </w:rPr>
        <w:t>声称总部设在美国和加拿大，主要业务是在马里、巴西及美国的金矿开采。</w:t>
      </w:r>
      <w:r>
        <w:rPr>
          <w:lang w:eastAsia="zh-CN"/>
        </w:rPr>
        <w:t>DFRF</w:t>
      </w:r>
      <w:r>
        <w:rPr>
          <w:lang w:eastAsia="zh-CN"/>
        </w:rPr>
        <w:t>进一步声称，他们每个月生产</w:t>
      </w:r>
      <w:r>
        <w:rPr>
          <w:lang w:eastAsia="zh-CN"/>
        </w:rPr>
        <w:t>13</w:t>
      </w:r>
      <w:r>
        <w:rPr>
          <w:lang w:eastAsia="zh-CN"/>
        </w:rPr>
        <w:t>至</w:t>
      </w:r>
      <w:r>
        <w:rPr>
          <w:lang w:eastAsia="zh-CN"/>
        </w:rPr>
        <w:t>16</w:t>
      </w:r>
      <w:r>
        <w:rPr>
          <w:lang w:eastAsia="zh-CN"/>
        </w:rPr>
        <w:t>公吨黄金，生产的每一公斤黄金的总回报率为</w:t>
      </w:r>
      <w:r>
        <w:rPr>
          <w:lang w:eastAsia="zh-CN"/>
        </w:rPr>
        <w:t>100%</w:t>
      </w:r>
      <w:r>
        <w:rPr>
          <w:lang w:eastAsia="zh-CN"/>
        </w:rPr>
        <w:t>，并将</w:t>
      </w:r>
      <w:r>
        <w:rPr>
          <w:lang w:eastAsia="zh-CN"/>
        </w:rPr>
        <w:t>25%</w:t>
      </w:r>
      <w:r>
        <w:rPr>
          <w:lang w:eastAsia="zh-CN"/>
        </w:rPr>
        <w:t>的利润捐给慈善组织；</w:t>
      </w:r>
    </w:p>
    <w:p w:rsidR="006E11D0" w:rsidRDefault="000A5B04">
      <w:pPr>
        <w:pStyle w:val="Compact"/>
        <w:numPr>
          <w:ilvl w:val="0"/>
          <w:numId w:val="8"/>
        </w:numPr>
        <w:rPr>
          <w:lang w:eastAsia="zh-CN"/>
        </w:rPr>
      </w:pPr>
      <w:r>
        <w:rPr>
          <w:lang w:eastAsia="zh-CN"/>
        </w:rPr>
        <w:t>DFRF</w:t>
      </w:r>
      <w:r>
        <w:rPr>
          <w:lang w:eastAsia="zh-CN"/>
        </w:rPr>
        <w:t>通过购买每单位</w:t>
      </w:r>
      <w:r>
        <w:rPr>
          <w:lang w:eastAsia="zh-CN"/>
        </w:rPr>
        <w:t>1000</w:t>
      </w:r>
      <w:r>
        <w:rPr>
          <w:lang w:eastAsia="zh-CN"/>
        </w:rPr>
        <w:t>美元的「会员单位」投资</w:t>
      </w:r>
      <w:r>
        <w:rPr>
          <w:lang w:eastAsia="zh-CN"/>
        </w:rPr>
        <w:t>DFRF</w:t>
      </w:r>
      <w:r>
        <w:rPr>
          <w:lang w:eastAsia="zh-CN"/>
        </w:rPr>
        <w:t>，藉此向世界各</w:t>
      </w:r>
      <w:r>
        <w:rPr>
          <w:lang w:eastAsia="zh-CN"/>
        </w:rPr>
        <w:t>地的个人提供会员计划认购。会员每月获得可高达</w:t>
      </w:r>
      <w:r>
        <w:rPr>
          <w:lang w:eastAsia="zh-CN"/>
        </w:rPr>
        <w:t>15%</w:t>
      </w:r>
      <w:r>
        <w:rPr>
          <w:lang w:eastAsia="zh-CN"/>
        </w:rPr>
        <w:t>的收益，并通过已发行的</w:t>
      </w:r>
      <w:r>
        <w:rPr>
          <w:lang w:eastAsia="zh-CN"/>
        </w:rPr>
        <w:t>DFRF Visa</w:t>
      </w:r>
      <w:r>
        <w:rPr>
          <w:lang w:eastAsia="zh-CN"/>
        </w:rPr>
        <w:t>借记卡设置存入瑞士日内瓦的白金瑞士信托基金。据说，成员缴纳的费用属零风险业务，由</w:t>
      </w:r>
      <w:r>
        <w:rPr>
          <w:lang w:eastAsia="zh-CN"/>
        </w:rPr>
        <w:t>Accedium</w:t>
      </w:r>
      <w:r>
        <w:rPr>
          <w:lang w:eastAsia="zh-CN"/>
        </w:rPr>
        <w:t>保险公司全额承保；</w:t>
      </w:r>
    </w:p>
    <w:p w:rsidR="006E11D0" w:rsidRDefault="000A5B04">
      <w:pPr>
        <w:pStyle w:val="Compact"/>
        <w:numPr>
          <w:ilvl w:val="0"/>
          <w:numId w:val="8"/>
        </w:numPr>
        <w:rPr>
          <w:lang w:eastAsia="zh-CN"/>
        </w:rPr>
      </w:pPr>
      <w:r>
        <w:rPr>
          <w:lang w:eastAsia="zh-CN"/>
        </w:rPr>
        <w:t>只邀请潜在投资者通过一个现有的</w:t>
      </w:r>
      <w:r>
        <w:rPr>
          <w:lang w:eastAsia="zh-CN"/>
        </w:rPr>
        <w:t>DFRF</w:t>
      </w:r>
      <w:r>
        <w:rPr>
          <w:lang w:eastAsia="zh-CN"/>
        </w:rPr>
        <w:t>成员加入。新加入的人员将由</w:t>
      </w:r>
      <w:r>
        <w:rPr>
          <w:lang w:eastAsia="zh-CN"/>
        </w:rPr>
        <w:t>DFRF</w:t>
      </w:r>
      <w:r>
        <w:rPr>
          <w:lang w:eastAsia="zh-CN"/>
        </w:rPr>
        <w:t>审查，一旦批准，将收到：</w:t>
      </w:r>
      <w:r>
        <w:rPr>
          <w:lang w:eastAsia="zh-CN"/>
        </w:rPr>
        <w:t xml:space="preserve">(i) </w:t>
      </w:r>
      <w:r>
        <w:rPr>
          <w:lang w:eastAsia="zh-CN"/>
        </w:rPr>
        <w:t>「业务协议」合同，必须回签并交回予</w:t>
      </w:r>
      <w:r>
        <w:rPr>
          <w:lang w:eastAsia="zh-CN"/>
        </w:rPr>
        <w:t>DFRF</w:t>
      </w:r>
      <w:r>
        <w:rPr>
          <w:lang w:eastAsia="zh-CN"/>
        </w:rPr>
        <w:t>；</w:t>
      </w:r>
      <w:r>
        <w:rPr>
          <w:lang w:eastAsia="zh-CN"/>
        </w:rPr>
        <w:t>(ii) Accedium</w:t>
      </w:r>
      <w:r>
        <w:rPr>
          <w:lang w:eastAsia="zh-CN"/>
        </w:rPr>
        <w:t>保险公司保单的资料（每位会员须缴付每年</w:t>
      </w:r>
      <w:r>
        <w:rPr>
          <w:lang w:eastAsia="zh-CN"/>
        </w:rPr>
        <w:t>7%</w:t>
      </w:r>
      <w:r>
        <w:rPr>
          <w:lang w:eastAsia="zh-CN"/>
        </w:rPr>
        <w:t>的保费，保费参照首次认购费计算）；</w:t>
      </w:r>
      <w:r>
        <w:rPr>
          <w:lang w:eastAsia="zh-CN"/>
        </w:rPr>
        <w:t>(iii)</w:t>
      </w:r>
      <w:r>
        <w:rPr>
          <w:lang w:eastAsia="zh-CN"/>
        </w:rPr>
        <w:t>由白金瑞士信托发行的提供「每日购物及自动提款机</w:t>
      </w:r>
      <w:r>
        <w:rPr>
          <w:lang w:eastAsia="zh-CN"/>
        </w:rPr>
        <w:t>高限额」借记卡；以及</w:t>
      </w:r>
      <w:r>
        <w:rPr>
          <w:lang w:eastAsia="zh-CN"/>
        </w:rPr>
        <w:t>(iv)</w:t>
      </w:r>
      <w:r>
        <w:rPr>
          <w:lang w:eastAsia="zh-CN"/>
        </w:rPr>
        <w:t>有关如何查阅及管理其网上帐户余额的说明；</w:t>
      </w:r>
    </w:p>
    <w:p w:rsidR="006E11D0" w:rsidRDefault="000A5B04">
      <w:pPr>
        <w:pStyle w:val="Compact"/>
        <w:numPr>
          <w:ilvl w:val="0"/>
          <w:numId w:val="8"/>
        </w:numPr>
        <w:rPr>
          <w:lang w:eastAsia="zh-CN"/>
        </w:rPr>
      </w:pPr>
      <w:r>
        <w:rPr>
          <w:lang w:eastAsia="zh-CN"/>
        </w:rPr>
        <w:t>转介会员可获新转介会员初始认购费的</w:t>
      </w:r>
      <w:r>
        <w:rPr>
          <w:lang w:eastAsia="zh-CN"/>
        </w:rPr>
        <w:t>10%</w:t>
      </w:r>
      <w:r>
        <w:rPr>
          <w:lang w:eastAsia="zh-CN"/>
        </w:rPr>
        <w:t>佣金，并可获额外</w:t>
      </w:r>
      <w:r>
        <w:rPr>
          <w:lang w:eastAsia="zh-CN"/>
        </w:rPr>
        <w:t>10%</w:t>
      </w:r>
      <w:r>
        <w:rPr>
          <w:lang w:eastAsia="zh-CN"/>
        </w:rPr>
        <w:t>作为新转介会员将收益再投资的提成；</w:t>
      </w:r>
    </w:p>
    <w:p w:rsidR="006E11D0" w:rsidRDefault="000A5B04">
      <w:pPr>
        <w:pStyle w:val="Compact"/>
        <w:numPr>
          <w:ilvl w:val="0"/>
          <w:numId w:val="8"/>
        </w:numPr>
        <w:rPr>
          <w:lang w:eastAsia="zh-CN"/>
        </w:rPr>
      </w:pPr>
      <w:r>
        <w:rPr>
          <w:lang w:eastAsia="zh-CN"/>
        </w:rPr>
        <w:t>DFRF</w:t>
      </w:r>
      <w:r>
        <w:rPr>
          <w:lang w:eastAsia="zh-CN"/>
        </w:rPr>
        <w:t>将在每个月的第一天按比例将任何退款支付到认可的成员在白金瑞士信托的账户，该款额随后通过</w:t>
      </w:r>
      <w:r>
        <w:rPr>
          <w:lang w:eastAsia="zh-CN"/>
        </w:rPr>
        <w:t>Visa</w:t>
      </w:r>
      <w:r>
        <w:rPr>
          <w:lang w:eastAsia="zh-CN"/>
        </w:rPr>
        <w:t>借记卡访问支取；及</w:t>
      </w:r>
    </w:p>
    <w:p w:rsidR="006E11D0" w:rsidRDefault="000A5B04">
      <w:pPr>
        <w:pStyle w:val="Compact"/>
        <w:numPr>
          <w:ilvl w:val="0"/>
          <w:numId w:val="8"/>
        </w:numPr>
        <w:rPr>
          <w:lang w:eastAsia="zh-CN"/>
        </w:rPr>
      </w:pPr>
      <w:r>
        <w:rPr>
          <w:lang w:eastAsia="zh-CN"/>
        </w:rPr>
        <w:t>批准会员如欲退出会员计划，可于首次认购日期起计</w:t>
      </w:r>
      <w:r>
        <w:rPr>
          <w:lang w:eastAsia="zh-CN"/>
        </w:rPr>
        <w:t>12</w:t>
      </w:r>
      <w:r>
        <w:rPr>
          <w:lang w:eastAsia="zh-CN"/>
        </w:rPr>
        <w:t>个月（如缴费金额为</w:t>
      </w:r>
      <w:r>
        <w:rPr>
          <w:lang w:eastAsia="zh-CN"/>
        </w:rPr>
        <w:t>1,000</w:t>
      </w:r>
      <w:r>
        <w:rPr>
          <w:lang w:eastAsia="zh-CN"/>
        </w:rPr>
        <w:t>美元）、首次认购日期起计</w:t>
      </w:r>
      <w:r>
        <w:rPr>
          <w:lang w:eastAsia="zh-CN"/>
        </w:rPr>
        <w:t>6</w:t>
      </w:r>
      <w:r>
        <w:rPr>
          <w:lang w:eastAsia="zh-CN"/>
        </w:rPr>
        <w:t>个月（如缴费金额介乎</w:t>
      </w:r>
      <w:r>
        <w:rPr>
          <w:lang w:eastAsia="zh-CN"/>
        </w:rPr>
        <w:t>1,000.01</w:t>
      </w:r>
      <w:r>
        <w:rPr>
          <w:lang w:eastAsia="zh-CN"/>
        </w:rPr>
        <w:t>美元至</w:t>
      </w:r>
      <w:r>
        <w:rPr>
          <w:lang w:eastAsia="zh-CN"/>
        </w:rPr>
        <w:t>5,000</w:t>
      </w:r>
      <w:r>
        <w:rPr>
          <w:lang w:eastAsia="zh-CN"/>
        </w:rPr>
        <w:t>美元之间）或每月（如首次认购金额超过</w:t>
      </w:r>
      <w:r>
        <w:rPr>
          <w:lang w:eastAsia="zh-CN"/>
        </w:rPr>
        <w:t>10,000.01</w:t>
      </w:r>
      <w:r>
        <w:rPr>
          <w:lang w:eastAsia="zh-CN"/>
        </w:rPr>
        <w:t>美元）届满时</w:t>
      </w:r>
      <w:r>
        <w:rPr>
          <w:lang w:eastAsia="zh-CN"/>
        </w:rPr>
        <w:t>退出。</w:t>
      </w:r>
    </w:p>
    <w:p w:rsidR="006E11D0" w:rsidRDefault="000A5B04">
      <w:pPr>
        <w:pStyle w:val="FirstParagraph"/>
      </w:pPr>
      <w:r>
        <w:rPr>
          <w:lang w:eastAsia="zh-CN"/>
        </w:rPr>
        <w:t>DFRF</w:t>
      </w:r>
      <w:r>
        <w:rPr>
          <w:lang w:eastAsia="zh-CN"/>
        </w:rPr>
        <w:t>有一个官方网站、一个</w:t>
      </w:r>
      <w:r>
        <w:rPr>
          <w:lang w:eastAsia="zh-CN"/>
        </w:rPr>
        <w:t>Facebook</w:t>
      </w:r>
      <w:r>
        <w:rPr>
          <w:lang w:eastAsia="zh-CN"/>
        </w:rPr>
        <w:t>网页及一个</w:t>
      </w:r>
      <w:r>
        <w:rPr>
          <w:lang w:eastAsia="zh-CN"/>
        </w:rPr>
        <w:t>YouTube</w:t>
      </w:r>
      <w:r>
        <w:rPr>
          <w:lang w:eastAsia="zh-CN"/>
        </w:rPr>
        <w:t>频道来推广他们的业务。在</w:t>
      </w:r>
      <w:r>
        <w:rPr>
          <w:lang w:eastAsia="zh-CN"/>
        </w:rPr>
        <w:t>2015</w:t>
      </w:r>
      <w:r>
        <w:rPr>
          <w:lang w:eastAsia="zh-CN"/>
        </w:rPr>
        <w:t>年</w:t>
      </w:r>
      <w:r>
        <w:rPr>
          <w:lang w:eastAsia="zh-CN"/>
        </w:rPr>
        <w:t>5</w:t>
      </w:r>
      <w:r>
        <w:rPr>
          <w:lang w:eastAsia="zh-CN"/>
        </w:rPr>
        <w:t>月</w:t>
      </w:r>
      <w:r>
        <w:rPr>
          <w:lang w:eastAsia="zh-CN"/>
        </w:rPr>
        <w:t>6</w:t>
      </w:r>
      <w:r>
        <w:rPr>
          <w:lang w:eastAsia="zh-CN"/>
        </w:rPr>
        <w:t>日左右，</w:t>
      </w:r>
      <w:r>
        <w:rPr>
          <w:lang w:eastAsia="zh-CN"/>
        </w:rPr>
        <w:t>DFRF</w:t>
      </w:r>
      <w:r>
        <w:rPr>
          <w:lang w:eastAsia="zh-CN"/>
        </w:rPr>
        <w:t>发布了三个宣传短片，分别用粤语、普通话及英语采访</w:t>
      </w:r>
      <w:r>
        <w:rPr>
          <w:lang w:eastAsia="zh-CN"/>
        </w:rPr>
        <w:t>Filho</w:t>
      </w:r>
      <w:r>
        <w:rPr>
          <w:lang w:eastAsia="zh-CN"/>
        </w:rPr>
        <w:t>。</w:t>
      </w:r>
      <w:r>
        <w:t>在视频中，</w:t>
      </w:r>
      <w:r>
        <w:t>Filho</w:t>
      </w:r>
      <w:r>
        <w:t>宣布了以下内容：</w:t>
      </w:r>
    </w:p>
    <w:p w:rsidR="006E11D0" w:rsidRDefault="000A5B04">
      <w:pPr>
        <w:pStyle w:val="Compact"/>
        <w:numPr>
          <w:ilvl w:val="0"/>
          <w:numId w:val="9"/>
        </w:numPr>
        <w:rPr>
          <w:lang w:eastAsia="zh-CN"/>
        </w:rPr>
      </w:pPr>
      <w:r>
        <w:rPr>
          <w:lang w:eastAsia="zh-CN"/>
        </w:rPr>
        <w:lastRenderedPageBreak/>
        <w:t>DFRF</w:t>
      </w:r>
      <w:r>
        <w:rPr>
          <w:lang w:eastAsia="zh-CN"/>
        </w:rPr>
        <w:t>已于</w:t>
      </w:r>
      <w:r>
        <w:rPr>
          <w:lang w:eastAsia="zh-CN"/>
        </w:rPr>
        <w:t>2015</w:t>
      </w:r>
      <w:r>
        <w:rPr>
          <w:lang w:eastAsia="zh-CN"/>
        </w:rPr>
        <w:t>年</w:t>
      </w:r>
      <w:r>
        <w:rPr>
          <w:lang w:eastAsia="zh-CN"/>
        </w:rPr>
        <w:t>5</w:t>
      </w:r>
      <w:r>
        <w:rPr>
          <w:lang w:eastAsia="zh-CN"/>
        </w:rPr>
        <w:t>月</w:t>
      </w:r>
      <w:r>
        <w:rPr>
          <w:lang w:eastAsia="zh-CN"/>
        </w:rPr>
        <w:t>5</w:t>
      </w:r>
      <w:r>
        <w:rPr>
          <w:lang w:eastAsia="zh-CN"/>
        </w:rPr>
        <w:t>日在美国上市，所有会员均可选择将其全部或部分会员单位以每股</w:t>
      </w:r>
      <w:r>
        <w:rPr>
          <w:lang w:eastAsia="zh-CN"/>
        </w:rPr>
        <w:t>15.06</w:t>
      </w:r>
      <w:r>
        <w:rPr>
          <w:lang w:eastAsia="zh-CN"/>
        </w:rPr>
        <w:t>美元的价格转换为</w:t>
      </w:r>
      <w:r>
        <w:rPr>
          <w:lang w:eastAsia="zh-CN"/>
        </w:rPr>
        <w:t>DFRF</w:t>
      </w:r>
      <w:r>
        <w:rPr>
          <w:lang w:eastAsia="zh-CN"/>
        </w:rPr>
        <w:t>优先股，并声称</w:t>
      </w:r>
      <w:r>
        <w:rPr>
          <w:lang w:eastAsia="zh-CN"/>
        </w:rPr>
        <w:t>DFRF</w:t>
      </w:r>
      <w:r>
        <w:rPr>
          <w:lang w:eastAsia="zh-CN"/>
        </w:rPr>
        <w:t>股票已定价为每股</w:t>
      </w:r>
      <w:r>
        <w:rPr>
          <w:lang w:eastAsia="zh-CN"/>
        </w:rPr>
        <w:t>18</w:t>
      </w:r>
      <w:r>
        <w:rPr>
          <w:lang w:eastAsia="zh-CN"/>
        </w:rPr>
        <w:t>美元；及</w:t>
      </w:r>
    </w:p>
    <w:p w:rsidR="006E11D0" w:rsidRDefault="000A5B04">
      <w:pPr>
        <w:pStyle w:val="Compact"/>
        <w:numPr>
          <w:ilvl w:val="0"/>
          <w:numId w:val="9"/>
        </w:numPr>
        <w:rPr>
          <w:lang w:eastAsia="zh-CN"/>
        </w:rPr>
      </w:pPr>
      <w:r>
        <w:rPr>
          <w:lang w:eastAsia="zh-CN"/>
        </w:rPr>
        <w:t>DFRF</w:t>
      </w:r>
      <w:r>
        <w:rPr>
          <w:lang w:eastAsia="zh-CN"/>
        </w:rPr>
        <w:t>的股份代码在转换过程完成后才会向公众公布，这样做的原因是为了保护</w:t>
      </w:r>
      <w:r>
        <w:rPr>
          <w:lang w:eastAsia="zh-CN"/>
        </w:rPr>
        <w:t>DFRF</w:t>
      </w:r>
      <w:r>
        <w:rPr>
          <w:lang w:eastAsia="zh-CN"/>
        </w:rPr>
        <w:t>股票的价值。</w:t>
      </w:r>
    </w:p>
    <w:p w:rsidR="006E11D0" w:rsidRDefault="000A5B04">
      <w:pPr>
        <w:pStyle w:val="FirstParagraph"/>
        <w:rPr>
          <w:lang w:eastAsia="zh-CN"/>
        </w:rPr>
      </w:pPr>
      <w:r>
        <w:rPr>
          <w:lang w:eastAsia="zh-CN"/>
        </w:rPr>
        <w:t>Filho</w:t>
      </w:r>
      <w:r>
        <w:rPr>
          <w:lang w:eastAsia="zh-CN"/>
        </w:rPr>
        <w:t>提出的最重要的事实陈述是，</w:t>
      </w:r>
      <w:r>
        <w:rPr>
          <w:lang w:eastAsia="zh-CN"/>
        </w:rPr>
        <w:t>DFRF</w:t>
      </w:r>
      <w:r>
        <w:rPr>
          <w:lang w:eastAsia="zh-CN"/>
        </w:rPr>
        <w:t>已于</w:t>
      </w:r>
      <w:r>
        <w:rPr>
          <w:lang w:eastAsia="zh-CN"/>
        </w:rPr>
        <w:t>2015</w:t>
      </w:r>
      <w:r>
        <w:rPr>
          <w:lang w:eastAsia="zh-CN"/>
        </w:rPr>
        <w:t>年</w:t>
      </w:r>
      <w:r>
        <w:rPr>
          <w:lang w:eastAsia="zh-CN"/>
        </w:rPr>
        <w:t>5</w:t>
      </w:r>
      <w:r>
        <w:rPr>
          <w:lang w:eastAsia="zh-CN"/>
        </w:rPr>
        <w:t>月在美国上市。但是美国证券交易委员会确认</w:t>
      </w:r>
      <w:r>
        <w:rPr>
          <w:lang w:eastAsia="zh-CN"/>
        </w:rPr>
        <w:t>DFRF</w:t>
      </w:r>
      <w:r>
        <w:rPr>
          <w:lang w:eastAsia="zh-CN"/>
        </w:rPr>
        <w:t>从未在美国上市过。</w:t>
      </w:r>
      <w:r>
        <w:rPr>
          <w:lang w:eastAsia="zh-CN"/>
        </w:rPr>
        <w:t>Filho</w:t>
      </w:r>
      <w:r>
        <w:rPr>
          <w:lang w:eastAsia="zh-CN"/>
        </w:rPr>
        <w:t>的说法属虚假陈述。</w:t>
      </w:r>
    </w:p>
    <w:p w:rsidR="006E11D0" w:rsidRDefault="000A5B04">
      <w:pPr>
        <w:pStyle w:val="BodyText"/>
        <w:rPr>
          <w:lang w:eastAsia="zh-CN"/>
        </w:rPr>
      </w:pPr>
      <w:r>
        <w:rPr>
          <w:lang w:eastAsia="zh-CN"/>
        </w:rPr>
        <w:t>这些网页还包含一段视频，内容是试图让观众相信该业务是合法的。一名据介绍拥有调查庞氏骗局经验的前联邦调查局特工声称，</w:t>
      </w:r>
      <w:r>
        <w:rPr>
          <w:lang w:eastAsia="zh-CN"/>
        </w:rPr>
        <w:t>Filho</w:t>
      </w:r>
      <w:r>
        <w:rPr>
          <w:lang w:eastAsia="zh-CN"/>
        </w:rPr>
        <w:t>的生意正当建立，完全合法。</w:t>
      </w:r>
    </w:p>
    <w:p w:rsidR="006E11D0" w:rsidRDefault="000A5B04">
      <w:pPr>
        <w:pStyle w:val="BodyText"/>
      </w:pPr>
      <w:r>
        <w:t>然而，实际情况是：</w:t>
      </w:r>
    </w:p>
    <w:p w:rsidR="006E11D0" w:rsidRDefault="000A5B04">
      <w:pPr>
        <w:pStyle w:val="Compact"/>
        <w:numPr>
          <w:ilvl w:val="0"/>
          <w:numId w:val="10"/>
        </w:numPr>
        <w:rPr>
          <w:lang w:eastAsia="zh-CN"/>
        </w:rPr>
      </w:pPr>
      <w:r>
        <w:rPr>
          <w:lang w:eastAsia="zh-CN"/>
        </w:rPr>
        <w:t>没有金矿，没有黄金储备，也没有黄金业务；</w:t>
      </w:r>
    </w:p>
    <w:p w:rsidR="006E11D0" w:rsidRDefault="000A5B04">
      <w:pPr>
        <w:pStyle w:val="Compact"/>
        <w:numPr>
          <w:ilvl w:val="0"/>
          <w:numId w:val="10"/>
        </w:numPr>
        <w:rPr>
          <w:lang w:eastAsia="zh-CN"/>
        </w:rPr>
      </w:pPr>
      <w:r>
        <w:rPr>
          <w:lang w:eastAsia="zh-CN"/>
        </w:rPr>
        <w:t>「白金瑞士信托」未获授权在瑞士开展银行活动，并已被列入瑞士金融市场监管局的警告名单。</w:t>
      </w:r>
      <w:r>
        <w:rPr>
          <w:lang w:eastAsia="zh-CN"/>
        </w:rPr>
        <w:t>DFRF</w:t>
      </w:r>
      <w:r>
        <w:rPr>
          <w:lang w:eastAsia="zh-CN"/>
        </w:rPr>
        <w:t>和白金瑞士信托之间也没有银行交易；</w:t>
      </w:r>
    </w:p>
    <w:p w:rsidR="006E11D0" w:rsidRDefault="000A5B04">
      <w:pPr>
        <w:pStyle w:val="Compact"/>
        <w:numPr>
          <w:ilvl w:val="0"/>
          <w:numId w:val="10"/>
        </w:numPr>
        <w:rPr>
          <w:lang w:eastAsia="zh-CN"/>
        </w:rPr>
      </w:pPr>
      <w:r>
        <w:rPr>
          <w:lang w:eastAsia="zh-CN"/>
        </w:rPr>
        <w:t>有一家真实存在</w:t>
      </w:r>
      <w:r>
        <w:rPr>
          <w:lang w:eastAsia="zh-CN"/>
        </w:rPr>
        <w:t>的公司叫</w:t>
      </w:r>
      <w:r>
        <w:rPr>
          <w:lang w:eastAsia="zh-CN"/>
        </w:rPr>
        <w:t>Accedium</w:t>
      </w:r>
      <w:r>
        <w:rPr>
          <w:lang w:eastAsia="zh-CN"/>
        </w:rPr>
        <w:t>保险公司，是一家在巴巴多斯及伦敦注册的公司。然而，它并不是一家「顶级」公司。</w:t>
      </w:r>
      <w:r>
        <w:rPr>
          <w:lang w:eastAsia="zh-CN"/>
        </w:rPr>
        <w:t>DFRF</w:t>
      </w:r>
      <w:r>
        <w:rPr>
          <w:lang w:eastAsia="zh-CN"/>
        </w:rPr>
        <w:t>也没有向</w:t>
      </w:r>
      <w:r>
        <w:rPr>
          <w:lang w:eastAsia="zh-CN"/>
        </w:rPr>
        <w:t>Accedium</w:t>
      </w:r>
      <w:r>
        <w:rPr>
          <w:lang w:eastAsia="zh-CN"/>
        </w:rPr>
        <w:t>支付保险费，它们之间也没有任何银行交易；</w:t>
      </w:r>
    </w:p>
    <w:p w:rsidR="006E11D0" w:rsidRDefault="000A5B04">
      <w:pPr>
        <w:pStyle w:val="Compact"/>
        <w:numPr>
          <w:ilvl w:val="0"/>
          <w:numId w:val="10"/>
        </w:numPr>
        <w:rPr>
          <w:lang w:eastAsia="zh-CN"/>
        </w:rPr>
      </w:pPr>
      <w:r>
        <w:rPr>
          <w:lang w:eastAsia="zh-CN"/>
        </w:rPr>
        <w:t>从会员那里收到的钱都转给了</w:t>
      </w:r>
      <w:r>
        <w:rPr>
          <w:lang w:eastAsia="zh-CN"/>
        </w:rPr>
        <w:t>Filho</w:t>
      </w:r>
      <w:r>
        <w:rPr>
          <w:lang w:eastAsia="zh-CN"/>
        </w:rPr>
        <w:t>本人及其联系人；及</w:t>
      </w:r>
    </w:p>
    <w:p w:rsidR="006E11D0" w:rsidRDefault="000A5B04">
      <w:pPr>
        <w:pStyle w:val="Compact"/>
        <w:numPr>
          <w:ilvl w:val="0"/>
          <w:numId w:val="10"/>
        </w:numPr>
        <w:rPr>
          <w:lang w:eastAsia="zh-CN"/>
        </w:rPr>
      </w:pPr>
      <w:r>
        <w:rPr>
          <w:lang w:eastAsia="zh-CN"/>
        </w:rPr>
        <w:t>一些会员获得的小额回报显然来自于其他会员的投资。</w:t>
      </w:r>
    </w:p>
    <w:p w:rsidR="006E11D0" w:rsidRDefault="000A5B04">
      <w:pPr>
        <w:pStyle w:val="FirstParagraph"/>
        <w:rPr>
          <w:lang w:eastAsia="zh-CN"/>
        </w:rPr>
      </w:pPr>
      <w:r>
        <w:rPr>
          <w:lang w:eastAsia="zh-CN"/>
        </w:rPr>
        <w:t>香港投资者</w:t>
      </w:r>
    </w:p>
    <w:p w:rsidR="006E11D0" w:rsidRDefault="000A5B04">
      <w:pPr>
        <w:pStyle w:val="BodyText"/>
        <w:rPr>
          <w:lang w:eastAsia="zh-CN"/>
        </w:rPr>
      </w:pPr>
      <w:r>
        <w:rPr>
          <w:lang w:eastAsia="zh-CN"/>
        </w:rPr>
        <w:t>2014</w:t>
      </w:r>
      <w:r>
        <w:rPr>
          <w:lang w:eastAsia="zh-CN"/>
        </w:rPr>
        <w:t>年</w:t>
      </w:r>
      <w:r>
        <w:rPr>
          <w:lang w:eastAsia="zh-CN"/>
        </w:rPr>
        <w:t>6</w:t>
      </w:r>
      <w:r>
        <w:rPr>
          <w:lang w:eastAsia="zh-CN"/>
        </w:rPr>
        <w:t>月至</w:t>
      </w:r>
      <w:r>
        <w:rPr>
          <w:lang w:eastAsia="zh-CN"/>
        </w:rPr>
        <w:t>2015</w:t>
      </w:r>
      <w:r>
        <w:rPr>
          <w:lang w:eastAsia="zh-CN"/>
        </w:rPr>
        <w:t>年</w:t>
      </w:r>
      <w:r>
        <w:rPr>
          <w:lang w:eastAsia="zh-CN"/>
        </w:rPr>
        <w:t>5</w:t>
      </w:r>
      <w:r>
        <w:rPr>
          <w:lang w:eastAsia="zh-CN"/>
        </w:rPr>
        <w:t>月期间，</w:t>
      </w:r>
      <w:r>
        <w:rPr>
          <w:lang w:eastAsia="zh-CN"/>
        </w:rPr>
        <w:t>DFRF</w:t>
      </w:r>
      <w:r>
        <w:rPr>
          <w:lang w:eastAsia="zh-CN"/>
        </w:rPr>
        <w:t>从全球</w:t>
      </w:r>
      <w:r>
        <w:rPr>
          <w:lang w:eastAsia="zh-CN"/>
        </w:rPr>
        <w:t>1400</w:t>
      </w:r>
      <w:r>
        <w:rPr>
          <w:lang w:eastAsia="zh-CN"/>
        </w:rPr>
        <w:t>多名投资者（含香港投资者）处筹集了超过</w:t>
      </w:r>
      <w:r>
        <w:rPr>
          <w:lang w:eastAsia="zh-CN"/>
        </w:rPr>
        <w:t>1500</w:t>
      </w:r>
      <w:r>
        <w:rPr>
          <w:lang w:eastAsia="zh-CN"/>
        </w:rPr>
        <w:t>万美元。</w:t>
      </w:r>
    </w:p>
    <w:p w:rsidR="006E11D0" w:rsidRDefault="000A5B04">
      <w:pPr>
        <w:pStyle w:val="BodyText"/>
        <w:rPr>
          <w:lang w:eastAsia="zh-CN"/>
        </w:rPr>
      </w:pPr>
      <w:r>
        <w:rPr>
          <w:lang w:eastAsia="zh-CN"/>
        </w:rPr>
        <w:t>2015</w:t>
      </w:r>
      <w:r>
        <w:rPr>
          <w:lang w:eastAsia="zh-CN"/>
        </w:rPr>
        <w:t>年</w:t>
      </w:r>
      <w:r>
        <w:rPr>
          <w:lang w:eastAsia="zh-CN"/>
        </w:rPr>
        <w:t>5</w:t>
      </w:r>
      <w:r>
        <w:rPr>
          <w:lang w:eastAsia="zh-CN"/>
        </w:rPr>
        <w:t>月</w:t>
      </w:r>
      <w:r>
        <w:rPr>
          <w:lang w:eastAsia="zh-CN"/>
        </w:rPr>
        <w:t>19</w:t>
      </w:r>
      <w:r>
        <w:rPr>
          <w:lang w:eastAsia="zh-CN"/>
        </w:rPr>
        <w:t>日，不列颠哥伦比亚省证券委员会根据《国际证券委员会组织多边谅解备忘录》致函证监会，就</w:t>
      </w:r>
      <w:r>
        <w:rPr>
          <w:lang w:eastAsia="zh-CN"/>
        </w:rPr>
        <w:t>DF</w:t>
      </w:r>
      <w:r>
        <w:rPr>
          <w:lang w:eastAsia="zh-CN"/>
        </w:rPr>
        <w:t>RF</w:t>
      </w:r>
      <w:r>
        <w:rPr>
          <w:lang w:eastAsia="zh-CN"/>
        </w:rPr>
        <w:t>事宜寻求协助。该证券委员会亦提供了可能有超过</w:t>
      </w:r>
      <w:r>
        <w:rPr>
          <w:lang w:eastAsia="zh-CN"/>
        </w:rPr>
        <w:t>300</w:t>
      </w:r>
      <w:r>
        <w:rPr>
          <w:lang w:eastAsia="zh-CN"/>
        </w:rPr>
        <w:t>名香港居民进行投资的资料。证监会尽可能联系这些人，邀请他们参与访谈或填写问卷，但只收到约</w:t>
      </w:r>
      <w:r>
        <w:rPr>
          <w:lang w:eastAsia="zh-CN"/>
        </w:rPr>
        <w:t>18</w:t>
      </w:r>
      <w:r>
        <w:rPr>
          <w:lang w:eastAsia="zh-CN"/>
        </w:rPr>
        <w:t>人的回复。调查结果还显示，还有</w:t>
      </w:r>
      <w:r>
        <w:rPr>
          <w:lang w:eastAsia="zh-CN"/>
        </w:rPr>
        <w:t>27</w:t>
      </w:r>
      <w:r>
        <w:rPr>
          <w:lang w:eastAsia="zh-CN"/>
        </w:rPr>
        <w:t>个人也被骗了。证监会确认的香港投资者的投资总额分别为</w:t>
      </w:r>
      <w:r>
        <w:rPr>
          <w:lang w:eastAsia="zh-CN"/>
        </w:rPr>
        <w:t>330</w:t>
      </w:r>
      <w:r>
        <w:rPr>
          <w:lang w:eastAsia="zh-CN"/>
        </w:rPr>
        <w:t>万港元及</w:t>
      </w:r>
      <w:r>
        <w:rPr>
          <w:lang w:eastAsia="zh-CN"/>
        </w:rPr>
        <w:t>11.7</w:t>
      </w:r>
      <w:r>
        <w:rPr>
          <w:lang w:eastAsia="zh-CN"/>
        </w:rPr>
        <w:t>万港元。</w:t>
      </w:r>
    </w:p>
    <w:p w:rsidR="006E11D0" w:rsidRDefault="000A5B04">
      <w:pPr>
        <w:pStyle w:val="BodyText"/>
        <w:rPr>
          <w:lang w:eastAsia="zh-CN"/>
        </w:rPr>
      </w:pPr>
      <w:r>
        <w:rPr>
          <w:lang w:eastAsia="zh-CN"/>
        </w:rPr>
        <w:t>2016</w:t>
      </w:r>
      <w:r>
        <w:rPr>
          <w:lang w:eastAsia="zh-CN"/>
        </w:rPr>
        <w:t>年</w:t>
      </w:r>
      <w:r>
        <w:rPr>
          <w:lang w:eastAsia="zh-CN"/>
        </w:rPr>
        <w:t>5</w:t>
      </w:r>
      <w:r>
        <w:rPr>
          <w:lang w:eastAsia="zh-CN"/>
        </w:rPr>
        <w:t>月</w:t>
      </w:r>
      <w:r>
        <w:rPr>
          <w:lang w:eastAsia="zh-CN"/>
        </w:rPr>
        <w:t>13</w:t>
      </w:r>
      <w:r>
        <w:rPr>
          <w:lang w:eastAsia="zh-CN"/>
        </w:rPr>
        <w:t>日，证监会发出调查指示</w:t>
      </w:r>
      <w:hyperlink w:anchor="footnote-598-2">
        <w:r>
          <w:rPr>
            <w:vertAlign w:val="superscript"/>
            <w:lang w:eastAsia="zh-CN"/>
          </w:rPr>
          <w:t>2</w:t>
        </w:r>
      </w:hyperlink>
      <w:r>
        <w:rPr>
          <w:lang w:eastAsia="zh-CN"/>
        </w:rPr>
        <w:t>，理由是有合理理由相信在</w:t>
      </w:r>
      <w:r>
        <w:rPr>
          <w:lang w:eastAsia="zh-CN"/>
        </w:rPr>
        <w:t>2015</w:t>
      </w:r>
      <w:r>
        <w:rPr>
          <w:lang w:eastAsia="zh-CN"/>
        </w:rPr>
        <w:t>年</w:t>
      </w:r>
      <w:r>
        <w:rPr>
          <w:lang w:eastAsia="zh-CN"/>
        </w:rPr>
        <w:t>5</w:t>
      </w:r>
      <w:r>
        <w:rPr>
          <w:lang w:eastAsia="zh-CN"/>
        </w:rPr>
        <w:t>月</w:t>
      </w:r>
      <w:r>
        <w:rPr>
          <w:lang w:eastAsia="zh-CN"/>
        </w:rPr>
        <w:t>1</w:t>
      </w:r>
      <w:r>
        <w:rPr>
          <w:lang w:eastAsia="zh-CN"/>
        </w:rPr>
        <w:t>日至</w:t>
      </w:r>
      <w:r>
        <w:rPr>
          <w:lang w:eastAsia="zh-CN"/>
        </w:rPr>
        <w:t>2015</w:t>
      </w:r>
      <w:r>
        <w:rPr>
          <w:lang w:eastAsia="zh-CN"/>
        </w:rPr>
        <w:t>年</w:t>
      </w:r>
      <w:r>
        <w:rPr>
          <w:lang w:eastAsia="zh-CN"/>
        </w:rPr>
        <w:t>5</w:t>
      </w:r>
      <w:r>
        <w:rPr>
          <w:lang w:eastAsia="zh-CN"/>
        </w:rPr>
        <w:t>月</w:t>
      </w:r>
      <w:r>
        <w:rPr>
          <w:lang w:eastAsia="zh-CN"/>
        </w:rPr>
        <w:t>13</w:t>
      </w:r>
      <w:r>
        <w:rPr>
          <w:lang w:eastAsia="zh-CN"/>
        </w:rPr>
        <w:t>日期间或前后，</w:t>
      </w:r>
      <w:r>
        <w:rPr>
          <w:lang w:eastAsia="zh-CN"/>
        </w:rPr>
        <w:t>DFRF</w:t>
      </w:r>
      <w:r>
        <w:rPr>
          <w:lang w:eastAsia="zh-CN"/>
        </w:rPr>
        <w:t>（及</w:t>
      </w:r>
      <w:r>
        <w:rPr>
          <w:lang w:eastAsia="zh-CN"/>
        </w:rPr>
        <w:t>/</w:t>
      </w:r>
      <w:r>
        <w:rPr>
          <w:lang w:eastAsia="zh-CN"/>
        </w:rPr>
        <w:t>或其相关公司及</w:t>
      </w:r>
      <w:r>
        <w:rPr>
          <w:lang w:eastAsia="zh-CN"/>
        </w:rPr>
        <w:t>/</w:t>
      </w:r>
      <w:r>
        <w:rPr>
          <w:lang w:eastAsia="zh-CN"/>
        </w:rPr>
        <w:t>或与之有关的人士）可能触犯</w:t>
      </w:r>
      <w:r>
        <w:rPr>
          <w:lang w:eastAsia="zh-CN"/>
        </w:rPr>
        <w:t>了《香港证券及期货条例》</w:t>
      </w:r>
      <w:r>
        <w:rPr>
          <w:lang w:eastAsia="zh-CN"/>
        </w:rPr>
        <w:t>(</w:t>
      </w:r>
      <w:r>
        <w:rPr>
          <w:b/>
          <w:lang w:eastAsia="zh-CN"/>
        </w:rPr>
        <w:t>《条例》</w:t>
      </w:r>
      <w:r>
        <w:rPr>
          <w:lang w:eastAsia="zh-CN"/>
        </w:rPr>
        <w:t>)</w:t>
      </w:r>
      <w:r>
        <w:rPr>
          <w:lang w:eastAsia="zh-CN"/>
        </w:rPr>
        <w:t>。</w:t>
      </w:r>
      <w:r>
        <w:rPr>
          <w:lang w:eastAsia="zh-CN"/>
        </w:rPr>
        <w:t>2016</w:t>
      </w:r>
      <w:r>
        <w:rPr>
          <w:lang w:eastAsia="zh-CN"/>
        </w:rPr>
        <w:t>年</w:t>
      </w:r>
      <w:r>
        <w:rPr>
          <w:lang w:eastAsia="zh-CN"/>
        </w:rPr>
        <w:t>8</w:t>
      </w:r>
      <w:r>
        <w:rPr>
          <w:lang w:eastAsia="zh-CN"/>
        </w:rPr>
        <w:t>月</w:t>
      </w:r>
      <w:r>
        <w:rPr>
          <w:lang w:eastAsia="zh-CN"/>
        </w:rPr>
        <w:t>24</w:t>
      </w:r>
      <w:r>
        <w:rPr>
          <w:lang w:eastAsia="zh-CN"/>
        </w:rPr>
        <w:t>日，证监会启动了程序。马瑞瓦禁令于</w:t>
      </w:r>
      <w:r>
        <w:rPr>
          <w:lang w:eastAsia="zh-CN"/>
        </w:rPr>
        <w:t>2016</w:t>
      </w:r>
      <w:r>
        <w:rPr>
          <w:lang w:eastAsia="zh-CN"/>
        </w:rPr>
        <w:t>年</w:t>
      </w:r>
      <w:r>
        <w:rPr>
          <w:lang w:eastAsia="zh-CN"/>
        </w:rPr>
        <w:t>12</w:t>
      </w:r>
      <w:r>
        <w:rPr>
          <w:lang w:eastAsia="zh-CN"/>
        </w:rPr>
        <w:t>月</w:t>
      </w:r>
      <w:r>
        <w:rPr>
          <w:lang w:eastAsia="zh-CN"/>
        </w:rPr>
        <w:t>13</w:t>
      </w:r>
      <w:r>
        <w:rPr>
          <w:lang w:eastAsia="zh-CN"/>
        </w:rPr>
        <w:t>日及</w:t>
      </w:r>
      <w:r>
        <w:rPr>
          <w:lang w:eastAsia="zh-CN"/>
        </w:rPr>
        <w:t>2017</w:t>
      </w:r>
      <w:r>
        <w:rPr>
          <w:lang w:eastAsia="zh-CN"/>
        </w:rPr>
        <w:t>年</w:t>
      </w:r>
      <w:r>
        <w:rPr>
          <w:lang w:eastAsia="zh-CN"/>
        </w:rPr>
        <w:t>3</w:t>
      </w:r>
      <w:r>
        <w:rPr>
          <w:lang w:eastAsia="zh-CN"/>
        </w:rPr>
        <w:t>月</w:t>
      </w:r>
      <w:r>
        <w:rPr>
          <w:lang w:eastAsia="zh-CN"/>
        </w:rPr>
        <w:t>22</w:t>
      </w:r>
      <w:r>
        <w:rPr>
          <w:lang w:eastAsia="zh-CN"/>
        </w:rPr>
        <w:t>日发布，冻结了另外两名被告的账户，该账户中还有一些余额。香港投资者支付的资金除了这些账户上的余额外，大部分都已经没有了。</w:t>
      </w:r>
    </w:p>
    <w:p w:rsidR="006E11D0" w:rsidRDefault="000A5B04">
      <w:pPr>
        <w:pStyle w:val="BodyText"/>
        <w:rPr>
          <w:lang w:eastAsia="zh-CN"/>
        </w:rPr>
      </w:pPr>
      <w:r>
        <w:rPr>
          <w:lang w:eastAsia="zh-CN"/>
        </w:rPr>
        <w:t>《证券及期货条例》违规事项</w:t>
      </w:r>
    </w:p>
    <w:p w:rsidR="006E11D0" w:rsidRDefault="000A5B04">
      <w:pPr>
        <w:pStyle w:val="BodyText"/>
        <w:rPr>
          <w:lang w:eastAsia="zh-CN"/>
        </w:rPr>
      </w:pPr>
      <w:r>
        <w:rPr>
          <w:lang w:eastAsia="zh-CN"/>
        </w:rPr>
        <w:t>原讼法庭作出声明，指</w:t>
      </w:r>
      <w:r>
        <w:rPr>
          <w:lang w:eastAsia="zh-CN"/>
        </w:rPr>
        <w:t>DFRF</w:t>
      </w:r>
      <w:r>
        <w:rPr>
          <w:lang w:eastAsia="zh-CN"/>
        </w:rPr>
        <w:t>及</w:t>
      </w:r>
      <w:r>
        <w:rPr>
          <w:lang w:eastAsia="zh-CN"/>
        </w:rPr>
        <w:t>Filho</w:t>
      </w:r>
      <w:r>
        <w:rPr>
          <w:lang w:eastAsia="zh-CN"/>
        </w:rPr>
        <w:t>已违反《证券及期货条例》中的以下条文：</w:t>
      </w:r>
    </w:p>
    <w:p w:rsidR="006E11D0" w:rsidRDefault="000A5B04">
      <w:pPr>
        <w:pStyle w:val="Compact"/>
        <w:numPr>
          <w:ilvl w:val="0"/>
          <w:numId w:val="11"/>
        </w:numPr>
        <w:rPr>
          <w:lang w:eastAsia="zh-CN"/>
        </w:rPr>
      </w:pPr>
      <w:r>
        <w:rPr>
          <w:lang w:eastAsia="zh-CN"/>
        </w:rPr>
        <w:t>第</w:t>
      </w:r>
      <w:r>
        <w:rPr>
          <w:lang w:eastAsia="zh-CN"/>
        </w:rPr>
        <w:t>114(1)(a)</w:t>
      </w:r>
      <w:r>
        <w:rPr>
          <w:lang w:eastAsia="zh-CN"/>
        </w:rPr>
        <w:t>及</w:t>
      </w:r>
      <w:r>
        <w:rPr>
          <w:lang w:eastAsia="zh-CN"/>
        </w:rPr>
        <w:t>114(1)(b)</w:t>
      </w:r>
      <w:r>
        <w:rPr>
          <w:lang w:eastAsia="zh-CN"/>
        </w:rPr>
        <w:t>条，原因是其在没有获发牌的情况下，经营及显示自己经营某类受规管活动（第</w:t>
      </w:r>
      <w:r>
        <w:rPr>
          <w:lang w:eastAsia="zh-CN"/>
        </w:rPr>
        <w:t>4</w:t>
      </w:r>
      <w:r>
        <w:rPr>
          <w:lang w:eastAsia="zh-CN"/>
        </w:rPr>
        <w:t>类，就证券提供意见）的业务；</w:t>
      </w:r>
    </w:p>
    <w:p w:rsidR="006E11D0" w:rsidRDefault="000A5B04">
      <w:pPr>
        <w:pStyle w:val="Compact"/>
        <w:numPr>
          <w:ilvl w:val="0"/>
          <w:numId w:val="11"/>
        </w:numPr>
        <w:rPr>
          <w:lang w:eastAsia="zh-CN"/>
        </w:rPr>
      </w:pPr>
      <w:r>
        <w:rPr>
          <w:lang w:eastAsia="zh-CN"/>
        </w:rPr>
        <w:t>第</w:t>
      </w:r>
      <w:r>
        <w:rPr>
          <w:lang w:eastAsia="zh-CN"/>
        </w:rPr>
        <w:t>109</w:t>
      </w:r>
      <w:r>
        <w:rPr>
          <w:lang w:eastAsia="zh-CN"/>
        </w:rPr>
        <w:t>(1)</w:t>
      </w:r>
      <w:r>
        <w:rPr>
          <w:lang w:eastAsia="zh-CN"/>
        </w:rPr>
        <w:t>条，原因是其在事实上没有获发牌的情况下发出广告，显示自己准备进行第</w:t>
      </w:r>
      <w:r>
        <w:rPr>
          <w:lang w:eastAsia="zh-CN"/>
        </w:rPr>
        <w:t>4</w:t>
      </w:r>
      <w:r>
        <w:rPr>
          <w:lang w:eastAsia="zh-CN"/>
        </w:rPr>
        <w:t>类（就证券提供意见）受规管活动；</w:t>
      </w:r>
    </w:p>
    <w:p w:rsidR="006E11D0" w:rsidRDefault="000A5B04">
      <w:pPr>
        <w:pStyle w:val="Compact"/>
        <w:numPr>
          <w:ilvl w:val="0"/>
          <w:numId w:val="11"/>
        </w:numPr>
        <w:rPr>
          <w:lang w:eastAsia="zh-CN"/>
        </w:rPr>
      </w:pPr>
      <w:r>
        <w:rPr>
          <w:lang w:eastAsia="zh-CN"/>
        </w:rPr>
        <w:t>第</w:t>
      </w:r>
      <w:r>
        <w:rPr>
          <w:lang w:eastAsia="zh-CN"/>
        </w:rPr>
        <w:t>103(1)</w:t>
      </w:r>
      <w:r>
        <w:rPr>
          <w:lang w:eastAsia="zh-CN"/>
        </w:rPr>
        <w:t>条，原因是其发出未经认可广告、邀请或文件（宣传短片，电子邮件及口头陈述），当中载有请公众订立旨在取得或认购证券的协议的邀请；及</w:t>
      </w:r>
    </w:p>
    <w:p w:rsidR="006E11D0" w:rsidRDefault="000A5B04">
      <w:pPr>
        <w:pStyle w:val="Compact"/>
        <w:numPr>
          <w:ilvl w:val="0"/>
          <w:numId w:val="11"/>
        </w:numPr>
        <w:rPr>
          <w:lang w:eastAsia="zh-CN"/>
        </w:rPr>
      </w:pPr>
      <w:r>
        <w:rPr>
          <w:lang w:eastAsia="zh-CN"/>
        </w:rPr>
        <w:t>第</w:t>
      </w:r>
      <w:r>
        <w:rPr>
          <w:lang w:eastAsia="zh-CN"/>
        </w:rPr>
        <w:t>107(1)</w:t>
      </w:r>
      <w:r>
        <w:rPr>
          <w:lang w:eastAsia="zh-CN"/>
        </w:rPr>
        <w:t>条，原因是其为诱使另一人订立旨在取得或认购证券的协议而作出欺诈的失实陈述。</w:t>
      </w:r>
    </w:p>
    <w:p w:rsidR="006E11D0" w:rsidRDefault="000A5B04">
      <w:pPr>
        <w:pStyle w:val="FirstParagraph"/>
        <w:rPr>
          <w:lang w:eastAsia="zh-CN"/>
        </w:rPr>
      </w:pPr>
      <w:r>
        <w:rPr>
          <w:lang w:eastAsia="zh-CN"/>
        </w:rPr>
        <w:lastRenderedPageBreak/>
        <w:t>原讼法庭对被告作出多项禁制性强制令，包括延续已发出的玛瑞瓦禁令，以及命令限制</w:t>
      </w:r>
      <w:r>
        <w:rPr>
          <w:lang w:eastAsia="zh-CN"/>
        </w:rPr>
        <w:t>Filho</w:t>
      </w:r>
      <w:r>
        <w:rPr>
          <w:lang w:eastAsia="zh-CN"/>
        </w:rPr>
        <w:t>及其控制下的</w:t>
      </w:r>
      <w:r>
        <w:rPr>
          <w:lang w:eastAsia="zh-CN"/>
        </w:rPr>
        <w:t>DFRF</w:t>
      </w:r>
      <w:r>
        <w:rPr>
          <w:lang w:eastAsia="zh-CN"/>
        </w:rPr>
        <w:t>日后在香港从事类似的非法活动。</w:t>
      </w:r>
    </w:p>
    <w:p w:rsidR="006E11D0" w:rsidRDefault="000A5B04">
      <w:pPr>
        <w:pStyle w:val="BodyText"/>
        <w:rPr>
          <w:lang w:eastAsia="zh-CN"/>
        </w:rPr>
      </w:pPr>
      <w:r>
        <w:rPr>
          <w:lang w:eastAsia="zh-CN"/>
        </w:rPr>
        <w:t>原讼法庭亦命令委任管理人接管仍然存</w:t>
      </w:r>
      <w:r>
        <w:rPr>
          <w:lang w:eastAsia="zh-CN"/>
        </w:rPr>
        <w:t>放在这两个银行账户中的骗局所得款项（合共约</w:t>
      </w:r>
      <w:r>
        <w:rPr>
          <w:lang w:eastAsia="zh-CN"/>
        </w:rPr>
        <w:t>280</w:t>
      </w:r>
      <w:r>
        <w:rPr>
          <w:lang w:eastAsia="zh-CN"/>
        </w:rPr>
        <w:t>万港元），并将该等款项按比例归还予投资者。</w:t>
      </w:r>
    </w:p>
    <w:p w:rsidR="006E11D0" w:rsidRDefault="000A5B04">
      <w:pPr>
        <w:pStyle w:val="BodyText"/>
        <w:rPr>
          <w:lang w:eastAsia="zh-CN"/>
        </w:rPr>
      </w:pPr>
      <w:r>
        <w:rPr>
          <w:lang w:eastAsia="zh-CN"/>
        </w:rPr>
        <w:t>关于不属于香港司法权区范围内的</w:t>
      </w:r>
      <w:r>
        <w:rPr>
          <w:lang w:eastAsia="zh-CN"/>
        </w:rPr>
        <w:t>DFRF</w:t>
      </w:r>
      <w:r>
        <w:rPr>
          <w:lang w:eastAsia="zh-CN"/>
        </w:rPr>
        <w:t>及</w:t>
      </w:r>
      <w:r>
        <w:rPr>
          <w:lang w:eastAsia="zh-CN"/>
        </w:rPr>
        <w:t>Filho</w:t>
      </w:r>
      <w:r>
        <w:rPr>
          <w:lang w:eastAsia="zh-CN"/>
        </w:rPr>
        <w:t>，原讼法庭就已命令对作出的命令进行替代服务，以及就将作出的执法工作进行任何其他必要通知。</w:t>
      </w:r>
    </w:p>
    <w:p w:rsidR="006E11D0" w:rsidRDefault="000A5B04">
      <w:pPr>
        <w:pStyle w:val="BodyText"/>
        <w:rPr>
          <w:lang w:eastAsia="zh-CN"/>
        </w:rPr>
      </w:pPr>
      <w:r>
        <w:rPr>
          <w:lang w:eastAsia="zh-CN"/>
        </w:rPr>
        <w:t>证监会终身禁止何柏熙重投业界</w:t>
      </w:r>
    </w:p>
    <w:p w:rsidR="006E11D0" w:rsidRDefault="000A5B04">
      <w:pPr>
        <w:pStyle w:val="BodyText"/>
        <w:rPr>
          <w:lang w:eastAsia="zh-CN"/>
        </w:rPr>
      </w:pPr>
      <w:r>
        <w:rPr>
          <w:lang w:eastAsia="zh-CN"/>
        </w:rPr>
        <w:t>2022</w:t>
      </w:r>
      <w:r>
        <w:rPr>
          <w:lang w:eastAsia="zh-CN"/>
        </w:rPr>
        <w:t>年</w:t>
      </w:r>
      <w:r>
        <w:rPr>
          <w:lang w:eastAsia="zh-CN"/>
        </w:rPr>
        <w:t>5</w:t>
      </w:r>
      <w:r>
        <w:rPr>
          <w:lang w:eastAsia="zh-CN"/>
        </w:rPr>
        <w:t>月</w:t>
      </w:r>
      <w:r>
        <w:rPr>
          <w:lang w:eastAsia="zh-CN"/>
        </w:rPr>
        <w:t>19</w:t>
      </w:r>
      <w:r>
        <w:rPr>
          <w:lang w:eastAsia="zh-CN"/>
        </w:rPr>
        <w:t>日，</w:t>
      </w:r>
      <w:hyperlink r:id="rId17">
        <w:r>
          <w:rPr>
            <w:lang w:eastAsia="zh-CN"/>
          </w:rPr>
          <w:t>证监会终身禁止何柏熙（</w:t>
        </w:r>
        <w:r>
          <w:rPr>
            <w:b/>
            <w:lang w:eastAsia="zh-CN"/>
          </w:rPr>
          <w:t>何先生</w:t>
        </w:r>
        <w:r>
          <w:rPr>
            <w:lang w:eastAsia="zh-CN"/>
          </w:rPr>
          <w:t>）重投业界，原因是其挪用及不当使用款项</w:t>
        </w:r>
      </w:hyperlink>
      <w:r>
        <w:rPr>
          <w:lang w:eastAsia="zh-CN"/>
        </w:rPr>
        <w:t>，合共</w:t>
      </w:r>
      <w:r>
        <w:rPr>
          <w:lang w:eastAsia="zh-CN"/>
        </w:rPr>
        <w:t>180</w:t>
      </w:r>
      <w:r>
        <w:rPr>
          <w:lang w:eastAsia="zh-CN"/>
        </w:rPr>
        <w:t>万港元。何先生将从该等客户收取的款项中的一部分作私人用途（未曾按与客户达成的协议进行投资），且开出八张支票，声称是用于偿还投资欠款，而该等支票之后无法兑现。证监会的《纪律行动声明》</w:t>
      </w:r>
      <w:r>
        <w:rPr>
          <w:lang w:eastAsia="zh-CN"/>
        </w:rPr>
        <w:t>载列于</w:t>
      </w:r>
      <w:hyperlink r:id="rId18">
        <w:r>
          <w:rPr>
            <w:lang w:eastAsia="zh-CN"/>
          </w:rPr>
          <w:t>证监会网站</w:t>
        </w:r>
      </w:hyperlink>
      <w:r>
        <w:rPr>
          <w:lang w:eastAsia="zh-CN"/>
        </w:rPr>
        <w:t>。</w:t>
      </w:r>
    </w:p>
    <w:p w:rsidR="006E11D0" w:rsidRDefault="000A5B04">
      <w:pPr>
        <w:pStyle w:val="BodyText"/>
        <w:rPr>
          <w:lang w:eastAsia="zh-CN"/>
        </w:rPr>
      </w:pPr>
      <w:r>
        <w:rPr>
          <w:lang w:eastAsia="zh-CN"/>
        </w:rPr>
        <w:t>挪用款项作私人用途</w:t>
      </w:r>
    </w:p>
    <w:p w:rsidR="006E11D0" w:rsidRDefault="000A5B04">
      <w:pPr>
        <w:pStyle w:val="BodyText"/>
        <w:rPr>
          <w:lang w:eastAsia="zh-CN"/>
        </w:rPr>
      </w:pPr>
      <w:r>
        <w:rPr>
          <w:lang w:eastAsia="zh-CN"/>
        </w:rPr>
        <w:t>在</w:t>
      </w:r>
      <w:r>
        <w:rPr>
          <w:lang w:eastAsia="zh-CN"/>
        </w:rPr>
        <w:t>2017</w:t>
      </w:r>
      <w:r>
        <w:rPr>
          <w:lang w:eastAsia="zh-CN"/>
        </w:rPr>
        <w:t>年</w:t>
      </w:r>
      <w:r>
        <w:rPr>
          <w:lang w:eastAsia="zh-CN"/>
        </w:rPr>
        <w:t>10</w:t>
      </w:r>
      <w:r>
        <w:rPr>
          <w:lang w:eastAsia="zh-CN"/>
        </w:rPr>
        <w:t>月</w:t>
      </w:r>
      <w:r>
        <w:rPr>
          <w:lang w:eastAsia="zh-CN"/>
        </w:rPr>
        <w:t>10</w:t>
      </w:r>
      <w:r>
        <w:rPr>
          <w:lang w:eastAsia="zh-CN"/>
        </w:rPr>
        <w:t>日至</w:t>
      </w:r>
      <w:r>
        <w:rPr>
          <w:lang w:eastAsia="zh-CN"/>
        </w:rPr>
        <w:t>2019</w:t>
      </w:r>
      <w:r>
        <w:rPr>
          <w:lang w:eastAsia="zh-CN"/>
        </w:rPr>
        <w:t>年</w:t>
      </w:r>
      <w:r>
        <w:rPr>
          <w:lang w:eastAsia="zh-CN"/>
        </w:rPr>
        <w:t>7</w:t>
      </w:r>
      <w:r>
        <w:rPr>
          <w:lang w:eastAsia="zh-CN"/>
        </w:rPr>
        <w:t>月</w:t>
      </w:r>
      <w:r>
        <w:rPr>
          <w:lang w:eastAsia="zh-CN"/>
        </w:rPr>
        <w:t>12</w:t>
      </w:r>
      <w:r>
        <w:rPr>
          <w:lang w:eastAsia="zh-CN"/>
        </w:rPr>
        <w:t>日期间，何先生获凯基证券亚洲有限公司及凯基期货（香港）有限公司聘用为持牌投资代表，进行第</w:t>
      </w:r>
      <w:r>
        <w:rPr>
          <w:lang w:eastAsia="zh-CN"/>
        </w:rPr>
        <w:t>1</w:t>
      </w:r>
      <w:r>
        <w:rPr>
          <w:lang w:eastAsia="zh-CN"/>
        </w:rPr>
        <w:t>类（证券交易）及第</w:t>
      </w:r>
      <w:r>
        <w:rPr>
          <w:lang w:eastAsia="zh-CN"/>
        </w:rPr>
        <w:t>2</w:t>
      </w:r>
      <w:r>
        <w:rPr>
          <w:lang w:eastAsia="zh-CN"/>
        </w:rPr>
        <w:t>类（期货合约交易）受规管活动，亦是该等客户（即客户</w:t>
      </w:r>
      <w:r>
        <w:rPr>
          <w:lang w:eastAsia="zh-CN"/>
        </w:rPr>
        <w:t>A</w:t>
      </w:r>
      <w:r>
        <w:rPr>
          <w:lang w:eastAsia="zh-CN"/>
        </w:rPr>
        <w:t>，客户</w:t>
      </w:r>
      <w:r>
        <w:rPr>
          <w:lang w:eastAsia="zh-CN"/>
        </w:rPr>
        <w:t>B</w:t>
      </w:r>
      <w:r>
        <w:rPr>
          <w:lang w:eastAsia="zh-CN"/>
        </w:rPr>
        <w:t>及客户</w:t>
      </w:r>
      <w:r>
        <w:rPr>
          <w:lang w:eastAsia="zh-CN"/>
        </w:rPr>
        <w:t>C</w:t>
      </w:r>
      <w:r>
        <w:rPr>
          <w:lang w:eastAsia="zh-CN"/>
        </w:rPr>
        <w:t>）持有的交易账户的客户主任。在</w:t>
      </w:r>
      <w:r>
        <w:rPr>
          <w:lang w:eastAsia="zh-CN"/>
        </w:rPr>
        <w:t>2018</w:t>
      </w:r>
      <w:r>
        <w:rPr>
          <w:lang w:eastAsia="zh-CN"/>
        </w:rPr>
        <w:t>年</w:t>
      </w:r>
      <w:r>
        <w:rPr>
          <w:lang w:eastAsia="zh-CN"/>
        </w:rPr>
        <w:t>2</w:t>
      </w:r>
      <w:r>
        <w:rPr>
          <w:lang w:eastAsia="zh-CN"/>
        </w:rPr>
        <w:t>月至</w:t>
      </w:r>
      <w:r>
        <w:rPr>
          <w:lang w:eastAsia="zh-CN"/>
        </w:rPr>
        <w:t>7</w:t>
      </w:r>
      <w:r>
        <w:rPr>
          <w:lang w:eastAsia="zh-CN"/>
        </w:rPr>
        <w:t>月期间，何先生与该等客户订立了四份私人协议，并与每名客户约定如下：</w:t>
      </w:r>
    </w:p>
    <w:p w:rsidR="006E11D0" w:rsidRDefault="000A5B04">
      <w:pPr>
        <w:pStyle w:val="Compact"/>
        <w:numPr>
          <w:ilvl w:val="0"/>
          <w:numId w:val="12"/>
        </w:numPr>
        <w:rPr>
          <w:lang w:eastAsia="zh-CN"/>
        </w:rPr>
      </w:pPr>
      <w:r>
        <w:rPr>
          <w:lang w:eastAsia="zh-CN"/>
        </w:rPr>
        <w:t>该客户会向何先生支付一笔固定金额，并委托他代客户投资；</w:t>
      </w:r>
    </w:p>
    <w:p w:rsidR="006E11D0" w:rsidRDefault="000A5B04">
      <w:pPr>
        <w:pStyle w:val="Compact"/>
        <w:numPr>
          <w:ilvl w:val="0"/>
          <w:numId w:val="12"/>
        </w:numPr>
        <w:rPr>
          <w:lang w:eastAsia="zh-CN"/>
        </w:rPr>
      </w:pPr>
      <w:r>
        <w:rPr>
          <w:lang w:eastAsia="zh-CN"/>
        </w:rPr>
        <w:t>投资期为一年，且该客户会每月收取利息；</w:t>
      </w:r>
    </w:p>
    <w:p w:rsidR="006E11D0" w:rsidRDefault="000A5B04">
      <w:pPr>
        <w:pStyle w:val="Compact"/>
        <w:numPr>
          <w:ilvl w:val="0"/>
          <w:numId w:val="12"/>
        </w:numPr>
        <w:rPr>
          <w:lang w:eastAsia="zh-CN"/>
        </w:rPr>
      </w:pPr>
      <w:r>
        <w:rPr>
          <w:lang w:eastAsia="zh-CN"/>
        </w:rPr>
        <w:t>何先生会全权酌情决定将收取自该客户的金额用作投资；及</w:t>
      </w:r>
    </w:p>
    <w:p w:rsidR="006E11D0" w:rsidRDefault="000A5B04">
      <w:pPr>
        <w:pStyle w:val="Compact"/>
        <w:numPr>
          <w:ilvl w:val="0"/>
          <w:numId w:val="12"/>
        </w:numPr>
        <w:rPr>
          <w:lang w:eastAsia="zh-CN"/>
        </w:rPr>
      </w:pPr>
      <w:r>
        <w:rPr>
          <w:lang w:eastAsia="zh-CN"/>
        </w:rPr>
        <w:t>若该客户账户内的资金少于</w:t>
      </w:r>
      <w:r>
        <w:rPr>
          <w:lang w:eastAsia="zh-CN"/>
        </w:rPr>
        <w:t>该客户已向先生何支付的投资金额，何先生会弥补差额。</w:t>
      </w:r>
    </w:p>
    <w:p w:rsidR="006E11D0" w:rsidRDefault="000A5B04">
      <w:pPr>
        <w:pStyle w:val="FirstParagraph"/>
      </w:pPr>
      <w:r>
        <w:t>根据该等协议：</w:t>
      </w:r>
    </w:p>
    <w:p w:rsidR="006E11D0" w:rsidRDefault="000A5B04">
      <w:pPr>
        <w:pStyle w:val="Compact"/>
        <w:numPr>
          <w:ilvl w:val="0"/>
          <w:numId w:val="13"/>
        </w:numPr>
        <w:rPr>
          <w:lang w:eastAsia="zh-CN"/>
        </w:rPr>
      </w:pPr>
      <w:r>
        <w:rPr>
          <w:lang w:eastAsia="zh-CN"/>
        </w:rPr>
        <w:t>客户</w:t>
      </w:r>
      <w:r>
        <w:rPr>
          <w:lang w:eastAsia="zh-CN"/>
        </w:rPr>
        <w:t>A</w:t>
      </w:r>
      <w:r>
        <w:rPr>
          <w:lang w:eastAsia="zh-CN"/>
        </w:rPr>
        <w:t>向何先生支付</w:t>
      </w:r>
      <w:r>
        <w:rPr>
          <w:lang w:eastAsia="zh-CN"/>
        </w:rPr>
        <w:t>140</w:t>
      </w:r>
      <w:r>
        <w:rPr>
          <w:lang w:eastAsia="zh-CN"/>
        </w:rPr>
        <w:t>万港元以作投资；及</w:t>
      </w:r>
    </w:p>
    <w:p w:rsidR="006E11D0" w:rsidRDefault="000A5B04">
      <w:pPr>
        <w:pStyle w:val="Compact"/>
        <w:numPr>
          <w:ilvl w:val="0"/>
          <w:numId w:val="13"/>
        </w:numPr>
        <w:rPr>
          <w:lang w:eastAsia="zh-CN"/>
        </w:rPr>
      </w:pPr>
      <w:r>
        <w:rPr>
          <w:lang w:eastAsia="zh-CN"/>
        </w:rPr>
        <w:t>客户</w:t>
      </w:r>
      <w:r>
        <w:rPr>
          <w:lang w:eastAsia="zh-CN"/>
        </w:rPr>
        <w:t>B</w:t>
      </w:r>
      <w:r>
        <w:rPr>
          <w:lang w:eastAsia="zh-CN"/>
        </w:rPr>
        <w:t>及客户</w:t>
      </w:r>
      <w:r>
        <w:rPr>
          <w:lang w:eastAsia="zh-CN"/>
        </w:rPr>
        <w:t>C</w:t>
      </w:r>
      <w:r>
        <w:rPr>
          <w:lang w:eastAsia="zh-CN"/>
        </w:rPr>
        <w:t>各自向何先生支付</w:t>
      </w:r>
      <w:r>
        <w:rPr>
          <w:lang w:eastAsia="zh-CN"/>
        </w:rPr>
        <w:t>20</w:t>
      </w:r>
      <w:r>
        <w:rPr>
          <w:lang w:eastAsia="zh-CN"/>
        </w:rPr>
        <w:t>万港元以作投资。</w:t>
      </w:r>
    </w:p>
    <w:p w:rsidR="006E11D0" w:rsidRDefault="000A5B04">
      <w:pPr>
        <w:pStyle w:val="FirstParagraph"/>
        <w:rPr>
          <w:lang w:eastAsia="zh-CN"/>
        </w:rPr>
      </w:pPr>
      <w:r>
        <w:rPr>
          <w:lang w:eastAsia="zh-CN"/>
        </w:rPr>
        <w:t>虽然何先生曾与每名客户协议，他会在一年投资期结束时退还他们各自的投资金额，但何先生只向每名客户支付协议每月利息的一部分，且从未按协议向该等客户退还任何投资金额。事实上，证据显示，何先生曾将</w:t>
      </w:r>
      <w:r>
        <w:rPr>
          <w:lang w:eastAsia="zh-CN"/>
        </w:rPr>
        <w:t>180</w:t>
      </w:r>
      <w:r>
        <w:rPr>
          <w:lang w:eastAsia="zh-CN"/>
        </w:rPr>
        <w:t>万港元投资金额中的一部分用于赌博，而从未代该等客户将任何款项用作投资。证监会因此发现，何先生曾经挪用及不当使用收取自该三名客户的合共</w:t>
      </w:r>
      <w:r>
        <w:rPr>
          <w:lang w:eastAsia="zh-CN"/>
        </w:rPr>
        <w:t>180</w:t>
      </w:r>
      <w:r>
        <w:rPr>
          <w:lang w:eastAsia="zh-CN"/>
        </w:rPr>
        <w:t>万港元投资金额，</w:t>
      </w:r>
      <w:r>
        <w:rPr>
          <w:lang w:eastAsia="zh-CN"/>
        </w:rPr>
        <w:t>以作私人用途，且从未按照与该等客户的协议将投资金额用作投资。</w:t>
      </w:r>
    </w:p>
    <w:p w:rsidR="006E11D0" w:rsidRDefault="000A5B04">
      <w:pPr>
        <w:pStyle w:val="BodyText"/>
        <w:rPr>
          <w:lang w:eastAsia="zh-CN"/>
        </w:rPr>
      </w:pPr>
      <w:r>
        <w:rPr>
          <w:lang w:eastAsia="zh-CN"/>
        </w:rPr>
        <w:t>开出无法兑现的支票</w:t>
      </w:r>
    </w:p>
    <w:p w:rsidR="006E11D0" w:rsidRDefault="000A5B04">
      <w:pPr>
        <w:pStyle w:val="BodyText"/>
        <w:rPr>
          <w:lang w:eastAsia="zh-CN"/>
        </w:rPr>
      </w:pPr>
      <w:r>
        <w:rPr>
          <w:lang w:eastAsia="zh-CN"/>
        </w:rPr>
        <w:t>经进一步调查后</w:t>
      </w:r>
      <w:r>
        <w:rPr>
          <w:lang w:eastAsia="zh-CN"/>
        </w:rPr>
        <w:t>,</w:t>
      </w:r>
      <w:r>
        <w:rPr>
          <w:lang w:eastAsia="zh-CN"/>
        </w:rPr>
        <w:t>证监会亦发现何先生曾在</w:t>
      </w:r>
      <w:r>
        <w:rPr>
          <w:lang w:eastAsia="zh-CN"/>
        </w:rPr>
        <w:t>2018</w:t>
      </w:r>
      <w:r>
        <w:rPr>
          <w:lang w:eastAsia="zh-CN"/>
        </w:rPr>
        <w:t>年</w:t>
      </w:r>
      <w:r>
        <w:rPr>
          <w:lang w:eastAsia="zh-CN"/>
        </w:rPr>
        <w:t>8</w:t>
      </w:r>
      <w:r>
        <w:rPr>
          <w:lang w:eastAsia="zh-CN"/>
        </w:rPr>
        <w:t>月至</w:t>
      </w:r>
      <w:r>
        <w:rPr>
          <w:lang w:eastAsia="zh-CN"/>
        </w:rPr>
        <w:t>2019</w:t>
      </w:r>
      <w:r>
        <w:rPr>
          <w:lang w:eastAsia="zh-CN"/>
        </w:rPr>
        <w:t>年</w:t>
      </w:r>
      <w:r>
        <w:rPr>
          <w:lang w:eastAsia="zh-CN"/>
        </w:rPr>
        <w:t>4</w:t>
      </w:r>
      <w:r>
        <w:rPr>
          <w:lang w:eastAsia="zh-CN"/>
        </w:rPr>
        <w:t>月期间开出八张以客户</w:t>
      </w:r>
      <w:r>
        <w:rPr>
          <w:lang w:eastAsia="zh-CN"/>
        </w:rPr>
        <w:t>A</w:t>
      </w:r>
      <w:r>
        <w:rPr>
          <w:lang w:eastAsia="zh-CN"/>
        </w:rPr>
        <w:t>为收款人的支票（声称是偿还何先生对客户</w:t>
      </w:r>
      <w:r>
        <w:rPr>
          <w:lang w:eastAsia="zh-CN"/>
        </w:rPr>
        <w:t>A</w:t>
      </w:r>
      <w:r>
        <w:rPr>
          <w:lang w:eastAsia="zh-CN"/>
        </w:rPr>
        <w:t>的投资欠款）。然而，该八张支票全部无法兑现，原因是何先生的银行帐户当时资金不足，或支票日期是在何先生的银行账户被关闭当日或之后。证监会认为何先生的该项行为反映他有欠诚实，亦不可靠。</w:t>
      </w:r>
    </w:p>
    <w:p w:rsidR="006E11D0" w:rsidRDefault="000A5B04">
      <w:pPr>
        <w:pStyle w:val="BodyText"/>
        <w:rPr>
          <w:lang w:eastAsia="zh-CN"/>
        </w:rPr>
      </w:pPr>
      <w:r>
        <w:rPr>
          <w:lang w:eastAsia="zh-CN"/>
        </w:rPr>
        <w:t>《证券及期货条例》下的适当人选</w:t>
      </w:r>
    </w:p>
    <w:p w:rsidR="006E11D0" w:rsidRDefault="000A5B04">
      <w:pPr>
        <w:pStyle w:val="BodyText"/>
        <w:rPr>
          <w:lang w:eastAsia="zh-CN"/>
        </w:rPr>
      </w:pPr>
      <w:r>
        <w:rPr>
          <w:lang w:eastAsia="zh-CN"/>
        </w:rPr>
        <w:t>根据《证券及期货条例》第</w:t>
      </w:r>
      <w:r>
        <w:rPr>
          <w:lang w:eastAsia="zh-CN"/>
        </w:rPr>
        <w:t>129</w:t>
      </w:r>
      <w:r>
        <w:rPr>
          <w:lang w:eastAsia="zh-CN"/>
        </w:rPr>
        <w:t>条，证监会在考虑某人是否获发牌的适当人选时，（除了其他事项</w:t>
      </w:r>
      <w:r>
        <w:rPr>
          <w:lang w:eastAsia="zh-CN"/>
        </w:rPr>
        <w:t>外）亦会考虑该人是否有能力诚实地进行受规管活动，以及该人的可靠程度及财务诚信。</w:t>
      </w:r>
    </w:p>
    <w:p w:rsidR="006E11D0" w:rsidRDefault="000A5B04">
      <w:pPr>
        <w:pStyle w:val="BodyText"/>
        <w:rPr>
          <w:lang w:eastAsia="zh-CN"/>
        </w:rPr>
      </w:pPr>
      <w:r>
        <w:rPr>
          <w:lang w:eastAsia="zh-CN"/>
        </w:rPr>
        <w:t>经考虑本案的情况后，证监会发现何先生并非获发牌的适当人选，原因是他的行为令人对其诚信及可靠程度，以至他是否有能力诚实地进行受规管活动，产生极大怀疑。因此，证监会厘定终身禁止何先生重投业界是适当的处分。</w:t>
      </w:r>
    </w:p>
    <w:p w:rsidR="006E11D0" w:rsidRDefault="000A5B04">
      <w:pPr>
        <w:pStyle w:val="BodyText"/>
        <w:rPr>
          <w:lang w:eastAsia="zh-CN"/>
        </w:rPr>
      </w:pPr>
      <w:hyperlink w:anchor="footnote-598-1-backlink">
        <w:r>
          <w:rPr>
            <w:lang w:eastAsia="zh-CN"/>
          </w:rPr>
          <w:t>1</w:t>
        </w:r>
      </w:hyperlink>
      <w:r>
        <w:rPr>
          <w:lang w:eastAsia="zh-CN"/>
        </w:rPr>
        <w:t xml:space="preserve"> </w:t>
      </w:r>
      <w:r>
        <w:rPr>
          <w:lang w:eastAsia="zh-CN"/>
        </w:rPr>
        <w:t>李先生及王先生于</w:t>
      </w:r>
      <w:r>
        <w:rPr>
          <w:lang w:eastAsia="zh-CN"/>
        </w:rPr>
        <w:t>2018</w:t>
      </w:r>
      <w:r>
        <w:rPr>
          <w:lang w:eastAsia="zh-CN"/>
        </w:rPr>
        <w:t>年</w:t>
      </w:r>
      <w:r>
        <w:rPr>
          <w:lang w:eastAsia="zh-CN"/>
        </w:rPr>
        <w:t>12</w:t>
      </w:r>
      <w:r>
        <w:rPr>
          <w:lang w:eastAsia="zh-CN"/>
        </w:rPr>
        <w:t>月获委聘在董事会担任独立非执行董事。</w:t>
      </w:r>
    </w:p>
    <w:p w:rsidR="006E11D0" w:rsidRDefault="000A5B04">
      <w:pPr>
        <w:pStyle w:val="BodyText"/>
        <w:rPr>
          <w:lang w:eastAsia="zh-CN"/>
        </w:rPr>
      </w:pPr>
      <w:hyperlink w:anchor="footnote-598-2-backlink">
        <w:r>
          <w:rPr>
            <w:lang w:eastAsia="zh-CN"/>
          </w:rPr>
          <w:t>2</w:t>
        </w:r>
      </w:hyperlink>
      <w:r>
        <w:rPr>
          <w:lang w:eastAsia="zh-CN"/>
        </w:rPr>
        <w:t xml:space="preserve"> </w:t>
      </w:r>
      <w:r>
        <w:rPr>
          <w:lang w:eastAsia="zh-CN"/>
        </w:rPr>
        <w:t>一份额外的调查指示于</w:t>
      </w:r>
      <w:r>
        <w:rPr>
          <w:lang w:eastAsia="zh-CN"/>
        </w:rPr>
        <w:t>2019</w:t>
      </w:r>
      <w:r>
        <w:rPr>
          <w:lang w:eastAsia="zh-CN"/>
        </w:rPr>
        <w:t>年</w:t>
      </w:r>
      <w:r>
        <w:rPr>
          <w:lang w:eastAsia="zh-CN"/>
        </w:rPr>
        <w:t>9</w:t>
      </w:r>
      <w:r>
        <w:rPr>
          <w:lang w:eastAsia="zh-CN"/>
        </w:rPr>
        <w:t>月</w:t>
      </w:r>
      <w:r>
        <w:rPr>
          <w:lang w:eastAsia="zh-CN"/>
        </w:rPr>
        <w:t>20</w:t>
      </w:r>
      <w:r>
        <w:rPr>
          <w:lang w:eastAsia="zh-CN"/>
        </w:rPr>
        <w:t>日发出。</w:t>
      </w:r>
    </w:p>
    <w:p w:rsidR="006E11D0" w:rsidRDefault="000A5B04">
      <w:pPr>
        <w:pStyle w:val="DisclaimerBold"/>
        <w:rPr>
          <w:lang w:eastAsia="zh-CN"/>
        </w:rPr>
      </w:pPr>
      <w:r>
        <w:rPr>
          <w:lang w:eastAsia="zh-CN"/>
        </w:rPr>
        <w:t>此法讯仅为提供相关资料信息之用，其内容并</w:t>
      </w:r>
    </w:p>
    <w:p w:rsidR="006E11D0" w:rsidRDefault="000A5B04">
      <w:pPr>
        <w:pStyle w:val="Disclaimer"/>
        <w:rPr>
          <w:lang w:eastAsia="zh-CN"/>
        </w:rPr>
      </w:pPr>
      <w:r>
        <w:rPr>
          <w:lang w:eastAsia="zh-CN"/>
        </w:rPr>
        <w:t>不构成法律建议及个案的法律分析。</w:t>
      </w:r>
    </w:p>
    <w:p w:rsidR="006E11D0" w:rsidRDefault="000A5B04">
      <w:pPr>
        <w:pStyle w:val="Disclaimer"/>
        <w:rPr>
          <w:lang w:eastAsia="zh-CN"/>
        </w:rPr>
      </w:pPr>
      <w:r>
        <w:rPr>
          <w:lang w:eastAsia="zh-CN"/>
        </w:rPr>
        <w:t>此法讯的发送并不是为了在易周律师行与用户或浏览者之间建立一种律师与客户之关系。</w:t>
      </w:r>
    </w:p>
    <w:p w:rsidR="006E11D0" w:rsidRDefault="000A5B04">
      <w:pPr>
        <w:pStyle w:val="Disclaimer"/>
        <w:rPr>
          <w:lang w:eastAsia="zh-CN"/>
        </w:rPr>
      </w:pPr>
      <w:r>
        <w:rPr>
          <w:lang w:eastAsia="zh-CN"/>
        </w:rPr>
        <w:t>易周律师行并不对可从互联网获得的任何第三方内容负责。</w:t>
      </w:r>
    </w:p>
    <w:p w:rsidR="006E11D0" w:rsidRDefault="000A5B04">
      <w:pPr>
        <w:pStyle w:val="Disclaimer"/>
        <w:rPr>
          <w:lang w:eastAsia="zh-CN"/>
        </w:rPr>
      </w:pPr>
      <w:r>
        <w:rPr>
          <w:lang w:eastAsia="zh-CN"/>
        </w:rPr>
        <w:t>如你不希望再收到易周法讯，请发送电邮至</w:t>
      </w:r>
      <w:r>
        <w:rPr>
          <w:lang w:eastAsia="zh-CN"/>
        </w:rPr>
        <w:t xml:space="preserve">  </w:t>
      </w:r>
      <w:hyperlink r:id="rId19">
        <w:r>
          <w:rPr>
            <w:lang w:eastAsia="zh-CN"/>
          </w:rPr>
          <w:t>unsubscribe@charltonslaw.com</w:t>
        </w:r>
      </w:hyperlink>
    </w:p>
    <w:p w:rsidR="006E11D0" w:rsidRDefault="000A5B04">
      <w:pPr>
        <w:pStyle w:val="BlackStrips"/>
      </w:pPr>
      <w:r>
        <w:t xml:space="preserve">Charltons - </w:t>
      </w:r>
      <w:r>
        <w:t>香港法律</w:t>
      </w:r>
      <w:r>
        <w:t xml:space="preserve"> - 2023</w:t>
      </w:r>
      <w:r>
        <w:t>年</w:t>
      </w:r>
      <w:r>
        <w:t>2</w:t>
      </w:r>
      <w:r>
        <w:t>月</w:t>
      </w:r>
      <w:r>
        <w:t>23</w:t>
      </w:r>
      <w:r>
        <w:t>日</w:t>
      </w:r>
    </w:p>
    <w:sectPr w:rsidR="006E11D0">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B04" w:rsidRDefault="000A5B04">
      <w:pPr>
        <w:spacing w:after="0"/>
      </w:pPr>
      <w:r>
        <w:separator/>
      </w:r>
    </w:p>
  </w:endnote>
  <w:endnote w:type="continuationSeparator" w:id="0">
    <w:p w:rsidR="000A5B04" w:rsidRDefault="000A5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B04" w:rsidRDefault="000A5B04">
      <w:r>
        <w:separator/>
      </w:r>
    </w:p>
  </w:footnote>
  <w:footnote w:type="continuationSeparator" w:id="0">
    <w:p w:rsidR="000A5B04" w:rsidRDefault="000A5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816503E"/>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88B62F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A040695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A5B04"/>
    <w:rsid w:val="00241A15"/>
    <w:rsid w:val="004E29B3"/>
    <w:rsid w:val="005746EE"/>
    <w:rsid w:val="00590D07"/>
    <w:rsid w:val="006E11D0"/>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2C2A"/>
  <w15:docId w15:val="{F731DC90-9EFF-4F0D-91FB-0DCB6A3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h3">
    <w:name w:val="h3"/>
    <w:basedOn w:val="Normal"/>
    <w:rsid w:val="005746EE"/>
    <w:pPr>
      <w:spacing w:before="100" w:beforeAutospacing="1" w:after="100" w:afterAutospacing="1"/>
    </w:pPr>
    <w:rPr>
      <w:rFonts w:ascii="SimSun" w:eastAsia="SimSun" w:hAnsi="SimSun" w:cs="SimSun"/>
      <w:color w:val="auto"/>
      <w:lang w:eastAsia="zh-CN"/>
    </w:rPr>
  </w:style>
  <w:style w:type="table" w:styleId="TableGrid">
    <w:name w:val="Table Grid"/>
    <w:basedOn w:val="TableNormal"/>
    <w:uiPriority w:val="39"/>
    <w:rsid w:val="005746EE"/>
    <w:rPr>
      <w:sz w:val="22"/>
      <w:szCs w:val="22"/>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Disciplinary-and-Enforcement/Disciplinary-Sanctions/2022/220505_SoDA_c.pdf?la=zh-HK" TargetMode="External"/><Relationship Id="rId13" Type="http://schemas.openxmlformats.org/officeDocument/2006/relationships/image" Target="media/image1.png"/><Relationship Id="rId18" Type="http://schemas.openxmlformats.org/officeDocument/2006/relationships/hyperlink" Target="https://apps.sfc.hk/edistributionWeb/api/news/openAppendix?lang=TC&amp;refNo=22PR29&amp;appendix=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harltonslaw.com.cn/xiang-gang-zheng-jian-hui-ji-xiang-gang-jiao-yi-suo-yu-2022nian-5yue-fen-cai-qu-de-ji-lu-xing-dong" TargetMode="External"/><Relationship Id="rId12" Type="http://schemas.openxmlformats.org/officeDocument/2006/relationships/hyperlink" Target="https://www.hkex.com.hk/-/media/HKEX-Market/Listing/Rules-and-Guidance/Disciplinary-and-Enforcement/Disciplinary-Sanctions/2022/220525_SoDA_c.pdf?la=zh-HK" TargetMode="External"/><Relationship Id="rId17" Type="http://schemas.openxmlformats.org/officeDocument/2006/relationships/hyperlink" Target="https://apps.sfc.hk/edistributionWeb/gateway/TC/news-and-announcements/news/enforcement-news/doc?refNo=22PR29" TargetMode="External"/><Relationship Id="rId2" Type="http://schemas.openxmlformats.org/officeDocument/2006/relationships/styles" Target="styles.xml"/><Relationship Id="rId16" Type="http://schemas.openxmlformats.org/officeDocument/2006/relationships/hyperlink" Target="https://legalref.judiciary.hk/lrs/common/search/search_result_detail_frame.jsp?DIS=144058&amp;QS=%28HCA%7C2189%2F2016%29&amp;TP=J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media/HKEX-Market/Listing/Rules-and-Guidance/Disciplinary-and-Enforcement/Disciplinary-Sanctions/2022/220518_SoDA_c.pdf?la=zh-HK" TargetMode="External"/><Relationship Id="rId5" Type="http://schemas.openxmlformats.org/officeDocument/2006/relationships/footnotes" Target="footnotes.xml"/><Relationship Id="rId15" Type="http://schemas.openxmlformats.org/officeDocument/2006/relationships/hyperlink" Target="https://apps.sfc.hk/edistributionWeb/gateway/TC/news-and-announcements/news/enforcement-news/doc?refNo=22PR28" TargetMode="External"/><Relationship Id="rId10" Type="http://schemas.openxmlformats.org/officeDocument/2006/relationships/hyperlink" Target="https://www.hkex.com.hk/-/media/HKEX-Market/Listing/Rules-and-Guidance/Disciplinary-and-Enforcement/Disciplinary-Sanctions/2022/220517_SoDA_c.pdf?la=zh-HK" TargetMode="External"/><Relationship Id="rId19"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hkex.com.hk/-/media/HKEX-M%20arket/Listing/Rules-and-Guidance/Disciplinary-and-Enforcement/Disciplinary-Sanctions/2022/220505_SoDA.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2023-02-23T08:44:00Z</dcterms:created>
  <dcterms:modified xsi:type="dcterms:W3CDTF">2023-02-23T09:10:00Z</dcterms:modified>
</cp:coreProperties>
</file>