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0A" w:rsidRDefault="00F80B3C">
      <w:pPr>
        <w:pStyle w:val="BlackStrips"/>
      </w:pPr>
      <w:r>
        <w:t xml:space="preserve">Charltons - </w:t>
      </w:r>
      <w:r>
        <w:t>香港法律</w:t>
      </w:r>
      <w:r>
        <w:t xml:space="preserve"> - 2023</w:t>
      </w:r>
      <w:r>
        <w:t>年</w:t>
      </w:r>
      <w:r>
        <w:t>3</w:t>
      </w:r>
      <w:r>
        <w:t>月</w:t>
      </w:r>
      <w:r>
        <w:t>17</w:t>
      </w:r>
      <w:r>
        <w:t>日</w:t>
      </w:r>
    </w:p>
    <w:p w:rsidR="00092F0A" w:rsidRDefault="00F80B3C">
      <w:pPr>
        <w:pStyle w:val="ReadOnline"/>
      </w:pPr>
      <w:hyperlink r:id="rId7">
        <w:r>
          <w:t>online version</w:t>
        </w:r>
      </w:hyperlink>
    </w:p>
    <w:p w:rsidR="00092F0A" w:rsidRDefault="00F80B3C">
      <w:pPr>
        <w:pStyle w:val="Title"/>
      </w:pPr>
      <w:r>
        <w:t>香港交易所更新气候信息披露标准</w:t>
      </w:r>
    </w:p>
    <w:p w:rsidR="00092F0A" w:rsidRDefault="00F80B3C">
      <w:pPr>
        <w:pStyle w:val="FirstParagraph"/>
        <w:rPr>
          <w:lang w:eastAsia="zh-CN"/>
        </w:rPr>
      </w:pPr>
      <w:r>
        <w:rPr>
          <w:lang w:eastAsia="zh-CN"/>
        </w:rPr>
        <w:t>2022</w:t>
      </w:r>
      <w:r>
        <w:rPr>
          <w:lang w:eastAsia="zh-CN"/>
        </w:rPr>
        <w:t>年</w:t>
      </w:r>
      <w:r>
        <w:rPr>
          <w:lang w:eastAsia="zh-CN"/>
        </w:rPr>
        <w:t>6</w:t>
      </w:r>
      <w:r>
        <w:rPr>
          <w:lang w:eastAsia="zh-CN"/>
        </w:rPr>
        <w:t>月</w:t>
      </w:r>
      <w:r>
        <w:rPr>
          <w:lang w:eastAsia="zh-CN"/>
        </w:rPr>
        <w:t>10</w:t>
      </w:r>
      <w:r>
        <w:rPr>
          <w:lang w:eastAsia="zh-CN"/>
        </w:rPr>
        <w:t>日，香港联合交易所有限公司（</w:t>
      </w:r>
      <w:r>
        <w:rPr>
          <w:b/>
          <w:lang w:eastAsia="zh-CN"/>
        </w:rPr>
        <w:t>香港交易所</w:t>
      </w:r>
      <w:r>
        <w:rPr>
          <w:lang w:eastAsia="zh-CN"/>
        </w:rPr>
        <w:t>）发出了其</w:t>
      </w:r>
      <w:r>
        <w:rPr>
          <w:lang w:eastAsia="zh-CN"/>
        </w:rPr>
        <w:t>2022</w:t>
      </w:r>
      <w:r>
        <w:rPr>
          <w:lang w:eastAsia="zh-CN"/>
        </w:rPr>
        <w:t>年上市科通讯（</w:t>
      </w:r>
      <w:r>
        <w:rPr>
          <w:b/>
          <w:lang w:eastAsia="zh-CN"/>
        </w:rPr>
        <w:t>香港交易所上市科通讯</w:t>
      </w:r>
      <w:r>
        <w:rPr>
          <w:lang w:eastAsia="zh-CN"/>
        </w:rPr>
        <w:t>）。该第四期《上市科通讯》主要聚焦即将面世的关于气候信息披露的全球可持续发展汇报标准。香港交易所将检视环境、社会及企业管治汇报框架（</w:t>
      </w:r>
      <w:r>
        <w:rPr>
          <w:b/>
          <w:lang w:eastAsia="zh-CN"/>
        </w:rPr>
        <w:t>香港交易所</w:t>
      </w:r>
      <w:r>
        <w:rPr>
          <w:b/>
          <w:lang w:eastAsia="zh-CN"/>
        </w:rPr>
        <w:t>ESG</w:t>
      </w:r>
      <w:r>
        <w:rPr>
          <w:b/>
          <w:lang w:eastAsia="zh-CN"/>
        </w:rPr>
        <w:t>汇报框架</w:t>
      </w:r>
      <w:r>
        <w:rPr>
          <w:lang w:eastAsia="zh-CN"/>
        </w:rPr>
        <w:t>），特殊目的收购公司（</w:t>
      </w:r>
      <w:r>
        <w:rPr>
          <w:b/>
          <w:lang w:eastAsia="zh-CN"/>
        </w:rPr>
        <w:t>香港</w:t>
      </w:r>
      <w:r>
        <w:rPr>
          <w:b/>
          <w:lang w:eastAsia="zh-CN"/>
        </w:rPr>
        <w:t>SPACs</w:t>
      </w:r>
      <w:r>
        <w:rPr>
          <w:lang w:eastAsia="zh-CN"/>
        </w:rPr>
        <w:t>）与低碳转型的相关性，以及香港交易所上市业务最新发展时，其中也会包括这套标准。</w:t>
      </w:r>
    </w:p>
    <w:p w:rsidR="00092F0A" w:rsidRDefault="00F80B3C">
      <w:pPr>
        <w:pStyle w:val="BodyText"/>
        <w:rPr>
          <w:lang w:eastAsia="zh-CN"/>
        </w:rPr>
      </w:pPr>
      <w:r>
        <w:rPr>
          <w:lang w:eastAsia="zh-CN"/>
        </w:rPr>
        <w:t>香港交易所检视提高气候信息披露标准</w:t>
      </w:r>
    </w:p>
    <w:p w:rsidR="00092F0A" w:rsidRDefault="00F80B3C">
      <w:pPr>
        <w:pStyle w:val="BodyText"/>
        <w:rPr>
          <w:lang w:eastAsia="zh-CN"/>
        </w:rPr>
      </w:pPr>
      <w:r>
        <w:rPr>
          <w:lang w:eastAsia="zh-CN"/>
        </w:rPr>
        <w:t>随着气候变化为全球人民带来的影响越来越迫在眉睫，以及</w:t>
      </w:r>
      <w:r>
        <w:rPr>
          <w:lang w:eastAsia="zh-CN"/>
        </w:rPr>
        <w:t>2021</w:t>
      </w:r>
      <w:r>
        <w:rPr>
          <w:lang w:eastAsia="zh-CN"/>
        </w:rPr>
        <w:t>年</w:t>
      </w:r>
      <w:r>
        <w:rPr>
          <w:lang w:eastAsia="zh-CN"/>
        </w:rPr>
        <w:t>11</w:t>
      </w:r>
      <w:r>
        <w:rPr>
          <w:lang w:eastAsia="zh-CN"/>
        </w:rPr>
        <w:t>月召开的联合国气候变化大会（简称</w:t>
      </w:r>
      <w:r>
        <w:rPr>
          <w:lang w:eastAsia="zh-CN"/>
        </w:rPr>
        <w:t>COP26</w:t>
      </w:r>
      <w:r>
        <w:rPr>
          <w:lang w:eastAsia="zh-CN"/>
        </w:rPr>
        <w:t>）便提醒世界各国，采取行动应对气候变化是刻不容缓，各国的监管机构均指出现在关注的是国家层面的政策</w:t>
      </w:r>
      <w:r>
        <w:rPr>
          <w:lang w:eastAsia="zh-CN"/>
        </w:rPr>
        <w:t>及规例如何有助市场走向低碳和可持续未来。相对于巨额利润、短期业绩以及不惜一切代价追求业务增长，现在全球投资者已转为更加注重公司企业的环境足迹、社会影响以及良好管治。</w:t>
      </w:r>
    </w:p>
    <w:p w:rsidR="00092F0A" w:rsidRDefault="00F80B3C">
      <w:pPr>
        <w:pStyle w:val="BodyText"/>
        <w:rPr>
          <w:lang w:eastAsia="zh-CN"/>
        </w:rPr>
      </w:pPr>
      <w:r>
        <w:rPr>
          <w:lang w:eastAsia="zh-CN"/>
        </w:rPr>
        <w:t>很多企业也注意到越来越多的不同利益，并逐步重视顾客以及其他持份者的利益。许多企业也意识到在业务发展的同时亦须关注保护周遭可持续环境。</w:t>
      </w:r>
    </w:p>
    <w:p w:rsidR="00092F0A" w:rsidRDefault="00F80B3C">
      <w:pPr>
        <w:pStyle w:val="BodyText"/>
        <w:rPr>
          <w:lang w:eastAsia="zh-CN"/>
        </w:rPr>
      </w:pPr>
      <w:r>
        <w:rPr>
          <w:lang w:eastAsia="zh-CN"/>
        </w:rPr>
        <w:t>随着对环境及可持续发展的日益重视，要避免漂绿</w:t>
      </w:r>
      <w:hyperlink w:anchor="footnote-598-1">
        <w:r>
          <w:rPr>
            <w:vertAlign w:val="superscript"/>
            <w:lang w:eastAsia="zh-CN"/>
          </w:rPr>
          <w:t>1</w:t>
        </w:r>
      </w:hyperlink>
      <w:r>
        <w:rPr>
          <w:lang w:eastAsia="zh-CN"/>
        </w:rPr>
        <w:t>阻碍全球步向低碳经济转型，有赖于高透明度和可靠的</w:t>
      </w:r>
      <w:r>
        <w:rPr>
          <w:lang w:eastAsia="zh-CN"/>
        </w:rPr>
        <w:t>ESG</w:t>
      </w:r>
      <w:r>
        <w:rPr>
          <w:lang w:eastAsia="zh-CN"/>
        </w:rPr>
        <w:t>信息披露。另外，香港交易所已经采取步骤</w:t>
      </w:r>
      <w:r>
        <w:rPr>
          <w:lang w:eastAsia="zh-CN"/>
        </w:rPr>
        <w:t>在发行人、投资者、交易所和监管机构之间建立统一的</w:t>
      </w:r>
      <w:r>
        <w:rPr>
          <w:lang w:eastAsia="zh-CN"/>
        </w:rPr>
        <w:t>ESG</w:t>
      </w:r>
      <w:r>
        <w:rPr>
          <w:lang w:eastAsia="zh-CN"/>
        </w:rPr>
        <w:t>规则，认为各方之间通力合作以打造绿色和可持续金融生态圈是至关重要的。</w:t>
      </w:r>
    </w:p>
    <w:p w:rsidR="00092F0A" w:rsidRDefault="00F80B3C">
      <w:pPr>
        <w:pStyle w:val="BodyText"/>
        <w:rPr>
          <w:lang w:eastAsia="zh-CN"/>
        </w:rPr>
      </w:pPr>
      <w:r>
        <w:rPr>
          <w:lang w:eastAsia="zh-CN"/>
        </w:rPr>
        <w:t>近年来，相关方一直努力改善气候信息披露。国际范围内，地方范围内以及香港交易所为改善气候信息披露采取的行动</w:t>
      </w:r>
      <w:r>
        <w:rPr>
          <w:lang w:eastAsia="zh-CN"/>
        </w:rPr>
        <w:t>见</w:t>
      </w:r>
      <w:r>
        <w:rPr>
          <w:lang w:eastAsia="zh-CN"/>
        </w:rPr>
        <w:t>下图：</w:t>
      </w:r>
    </w:p>
    <w:p w:rsidR="00F80B3C" w:rsidRPr="00F80B3C" w:rsidRDefault="00F80B3C">
      <w:pPr>
        <w:pStyle w:val="BodyText"/>
        <w:rPr>
          <w:rFonts w:eastAsiaTheme="minorEastAsia" w:hint="eastAsia"/>
          <w:lang w:eastAsia="zh-CN"/>
        </w:rPr>
      </w:pPr>
      <w:bookmarkStart w:id="0" w:name="_GoBack"/>
      <w:bookmarkEnd w:id="0"/>
      <w:r>
        <w:rPr>
          <w:rFonts w:eastAsiaTheme="minorEastAsia"/>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8.5pt;height:294.75pt">
            <v:imagedata r:id="rId8" o:title="pic"/>
          </v:shape>
        </w:pict>
      </w:r>
    </w:p>
    <w:p w:rsidR="00092F0A" w:rsidRPr="00F80B3C" w:rsidRDefault="00F80B3C">
      <w:pPr>
        <w:pStyle w:val="BodyText"/>
        <w:rPr>
          <w:color w:val="FFFFFF" w:themeColor="background1"/>
          <w:lang w:eastAsia="zh-CN"/>
        </w:rPr>
      </w:pPr>
      <w:hyperlink w:anchor="footnote-598-2">
        <w:r w:rsidRPr="00F80B3C">
          <w:rPr>
            <w:color w:val="FFFFFF" w:themeColor="background1"/>
            <w:vertAlign w:val="superscript"/>
            <w:lang w:eastAsia="zh-CN"/>
          </w:rPr>
          <w:t>2</w:t>
        </w:r>
      </w:hyperlink>
      <w:r w:rsidRPr="00F80B3C">
        <w:rPr>
          <w:color w:val="FFFFFF" w:themeColor="background1"/>
          <w:lang w:eastAsia="zh-CN"/>
        </w:rPr>
        <w:t xml:space="preserve"> </w:t>
      </w:r>
      <w:hyperlink w:anchor="footnote-598-3">
        <w:r w:rsidRPr="00F80B3C">
          <w:rPr>
            <w:color w:val="FFFFFF" w:themeColor="background1"/>
            <w:vertAlign w:val="superscript"/>
            <w:lang w:eastAsia="zh-CN"/>
          </w:rPr>
          <w:t>3</w:t>
        </w:r>
      </w:hyperlink>
      <w:r w:rsidRPr="00F80B3C">
        <w:rPr>
          <w:color w:val="FFFFFF" w:themeColor="background1"/>
          <w:lang w:eastAsia="zh-CN"/>
        </w:rPr>
        <w:t xml:space="preserve"> </w:t>
      </w:r>
      <w:hyperlink w:anchor="footnote-598-4">
        <w:r w:rsidRPr="00F80B3C">
          <w:rPr>
            <w:color w:val="FFFFFF" w:themeColor="background1"/>
            <w:vertAlign w:val="superscript"/>
            <w:lang w:eastAsia="zh-CN"/>
          </w:rPr>
          <w:t>4</w:t>
        </w:r>
      </w:hyperlink>
    </w:p>
    <w:p w:rsidR="00092F0A" w:rsidRDefault="00F80B3C">
      <w:pPr>
        <w:pStyle w:val="BodyText"/>
        <w:rPr>
          <w:lang w:eastAsia="zh-CN"/>
        </w:rPr>
      </w:pPr>
      <w:r>
        <w:rPr>
          <w:lang w:eastAsia="zh-CN"/>
        </w:rPr>
        <w:t>国际可持续发展准则理事会（</w:t>
      </w:r>
      <w:r>
        <w:rPr>
          <w:b/>
          <w:lang w:eastAsia="zh-CN"/>
        </w:rPr>
        <w:t>ISSB</w:t>
      </w:r>
      <w:r>
        <w:rPr>
          <w:lang w:eastAsia="zh-CN"/>
        </w:rPr>
        <w:t>）根据</w:t>
      </w:r>
      <w:r>
        <w:rPr>
          <w:lang w:eastAsia="zh-CN"/>
        </w:rPr>
        <w:t>气候相关财务披露工作小组（</w:t>
      </w:r>
      <w:r>
        <w:rPr>
          <w:lang w:eastAsia="zh-CN"/>
        </w:rPr>
        <w:t>TCFD</w:t>
      </w:r>
      <w:r>
        <w:rPr>
          <w:lang w:eastAsia="zh-CN"/>
        </w:rPr>
        <w:t>）的建议全新制定全球可持续发展报告标准，预计将会要求发行人披露更具体兼可量化的气候信息，以便增强类似数据的可比性，例如加强使用各项指标以及衡量对实体财务状况</w:t>
      </w:r>
      <w:r>
        <w:rPr>
          <w:lang w:eastAsia="zh-CN"/>
        </w:rPr>
        <w:t>/</w:t>
      </w:r>
      <w:r>
        <w:rPr>
          <w:lang w:eastAsia="zh-CN"/>
        </w:rPr>
        <w:t>业绩的影响。香港交易所今年稍后将会检视其</w:t>
      </w:r>
      <w:r>
        <w:rPr>
          <w:lang w:eastAsia="zh-CN"/>
        </w:rPr>
        <w:t>ESG</w:t>
      </w:r>
      <w:r>
        <w:rPr>
          <w:lang w:eastAsia="zh-CN"/>
        </w:rPr>
        <w:t>汇报框架，并特别关注当中有关气候信息披露的部分，以便现时香港交易所务求令其监管规定与</w:t>
      </w:r>
      <w:r>
        <w:rPr>
          <w:lang w:eastAsia="zh-CN"/>
        </w:rPr>
        <w:t>TCFD</w:t>
      </w:r>
      <w:r>
        <w:rPr>
          <w:lang w:eastAsia="zh-CN"/>
        </w:rPr>
        <w:t>的建议相配合，反映</w:t>
      </w:r>
      <w:r>
        <w:rPr>
          <w:lang w:eastAsia="zh-CN"/>
        </w:rPr>
        <w:t>ISSB</w:t>
      </w:r>
      <w:r>
        <w:rPr>
          <w:lang w:eastAsia="zh-CN"/>
        </w:rPr>
        <w:t>的最新标准。</w:t>
      </w:r>
    </w:p>
    <w:p w:rsidR="00092F0A" w:rsidRDefault="00F80B3C">
      <w:pPr>
        <w:pStyle w:val="BodyText"/>
        <w:rPr>
          <w:lang w:eastAsia="zh-CN"/>
        </w:rPr>
      </w:pPr>
      <w:r>
        <w:rPr>
          <w:lang w:eastAsia="zh-CN"/>
        </w:rPr>
        <w:t>香港交易所在审视香港上市公司实践</w:t>
      </w:r>
      <w:r>
        <w:rPr>
          <w:lang w:eastAsia="zh-CN"/>
        </w:rPr>
        <w:t>ESG</w:t>
      </w:r>
      <w:r>
        <w:rPr>
          <w:lang w:eastAsia="zh-CN"/>
        </w:rPr>
        <w:t>的情况（重点审视</w:t>
      </w:r>
      <w:r>
        <w:rPr>
          <w:lang w:eastAsia="zh-CN"/>
        </w:rPr>
        <w:t>2020</w:t>
      </w:r>
      <w:r>
        <w:rPr>
          <w:lang w:eastAsia="zh-CN"/>
        </w:rPr>
        <w:t>年</w:t>
      </w:r>
      <w:r>
        <w:rPr>
          <w:lang w:eastAsia="zh-CN"/>
        </w:rPr>
        <w:t>7</w:t>
      </w:r>
      <w:r>
        <w:rPr>
          <w:lang w:eastAsia="zh-CN"/>
        </w:rPr>
        <w:t>月后生效的变动）后，将就可予改进的地方提出建议。预计向在</w:t>
      </w:r>
      <w:r>
        <w:rPr>
          <w:lang w:eastAsia="zh-CN"/>
        </w:rPr>
        <w:t>ESG</w:t>
      </w:r>
      <w:r>
        <w:rPr>
          <w:lang w:eastAsia="zh-CN"/>
        </w:rPr>
        <w:t>或气候相关议题</w:t>
      </w:r>
      <w:r>
        <w:rPr>
          <w:lang w:eastAsia="zh-CN"/>
        </w:rPr>
        <w:t>上缺乏专业知识或者经验的公司提供市场教育将尤为重要。香港交易所亦将提供指导、资源和其他支持，帮助公司加快其环境、社会及企业管治工作的进程，尽快开展气候行动计划。</w:t>
      </w:r>
    </w:p>
    <w:p w:rsidR="00092F0A" w:rsidRDefault="00F80B3C">
      <w:pPr>
        <w:pStyle w:val="BodyText"/>
        <w:rPr>
          <w:lang w:eastAsia="zh-CN"/>
        </w:rPr>
      </w:pPr>
      <w:r>
        <w:rPr>
          <w:lang w:eastAsia="zh-CN"/>
        </w:rPr>
        <w:t>香港交易所《上市科通讯》建议香港上市公司在准备披露新的气候信息时该优先考量以下方面：</w:t>
      </w:r>
    </w:p>
    <w:p w:rsidR="00092F0A" w:rsidRDefault="00F80B3C">
      <w:pPr>
        <w:pStyle w:val="Compact"/>
        <w:numPr>
          <w:ilvl w:val="0"/>
          <w:numId w:val="3"/>
        </w:numPr>
      </w:pPr>
      <w:r>
        <w:t>紧贴最新发展</w:t>
      </w:r>
    </w:p>
    <w:p w:rsidR="00092F0A" w:rsidRDefault="00F80B3C">
      <w:pPr>
        <w:pStyle w:val="Compact"/>
        <w:numPr>
          <w:ilvl w:val="1"/>
          <w:numId w:val="4"/>
        </w:numPr>
        <w:rPr>
          <w:lang w:eastAsia="zh-CN"/>
        </w:rPr>
      </w:pPr>
      <w:r>
        <w:rPr>
          <w:lang w:eastAsia="zh-CN"/>
        </w:rPr>
        <w:t>公司首先应查阅</w:t>
      </w:r>
      <w:r>
        <w:rPr>
          <w:lang w:eastAsia="zh-CN"/>
        </w:rPr>
        <w:t>IFRS</w:t>
      </w:r>
      <w:r>
        <w:rPr>
          <w:lang w:eastAsia="zh-CN"/>
        </w:rPr>
        <w:t>基金会刊发的</w:t>
      </w:r>
      <w:hyperlink r:id="rId9">
        <w:r>
          <w:rPr>
            <w:lang w:eastAsia="zh-CN"/>
          </w:rPr>
          <w:t>气候相关信息披露的意见征求稿</w:t>
        </w:r>
      </w:hyperlink>
      <w:r>
        <w:rPr>
          <w:lang w:eastAsia="zh-CN"/>
        </w:rPr>
        <w:t>，再找出内部政策及常规中未达标之处，这样有助于规划如何对现有基础设施</w:t>
      </w:r>
      <w:r>
        <w:rPr>
          <w:lang w:eastAsia="zh-CN"/>
        </w:rPr>
        <w:t>/</w:t>
      </w:r>
      <w:r>
        <w:rPr>
          <w:lang w:eastAsia="zh-CN"/>
        </w:rPr>
        <w:t>系统进行升级</w:t>
      </w:r>
      <w:r>
        <w:rPr>
          <w:lang w:eastAsia="zh-CN"/>
        </w:rPr>
        <w:t>/</w:t>
      </w:r>
      <w:r>
        <w:rPr>
          <w:lang w:eastAsia="zh-CN"/>
        </w:rPr>
        <w:t>优化，以便日后根据新规定作出汇报；及</w:t>
      </w:r>
    </w:p>
    <w:p w:rsidR="00092F0A" w:rsidRDefault="00F80B3C">
      <w:pPr>
        <w:pStyle w:val="Compact"/>
        <w:numPr>
          <w:ilvl w:val="1"/>
          <w:numId w:val="4"/>
        </w:numPr>
        <w:rPr>
          <w:lang w:eastAsia="zh-CN"/>
        </w:rPr>
      </w:pPr>
      <w:r>
        <w:rPr>
          <w:lang w:eastAsia="zh-CN"/>
        </w:rPr>
        <w:t>公司亦应定期向董事及相关雇员提供培训及</w:t>
      </w:r>
      <w:r>
        <w:rPr>
          <w:lang w:eastAsia="zh-CN"/>
        </w:rPr>
        <w:t>/</w:t>
      </w:r>
      <w:r>
        <w:rPr>
          <w:lang w:eastAsia="zh-CN"/>
        </w:rPr>
        <w:t>或简介，让他们了解最新规定。</w:t>
      </w:r>
    </w:p>
    <w:p w:rsidR="00092F0A" w:rsidRDefault="00F80B3C">
      <w:pPr>
        <w:pStyle w:val="Compact"/>
        <w:numPr>
          <w:ilvl w:val="0"/>
          <w:numId w:val="3"/>
        </w:numPr>
      </w:pPr>
      <w:r>
        <w:t>公司上下一心采取行动</w:t>
      </w:r>
    </w:p>
    <w:p w:rsidR="00092F0A" w:rsidRDefault="00F80B3C">
      <w:pPr>
        <w:pStyle w:val="Compact"/>
        <w:numPr>
          <w:ilvl w:val="1"/>
          <w:numId w:val="5"/>
        </w:numPr>
        <w:rPr>
          <w:lang w:eastAsia="zh-CN"/>
        </w:rPr>
      </w:pPr>
      <w:r>
        <w:rPr>
          <w:lang w:eastAsia="zh-CN"/>
        </w:rPr>
        <w:t>董事会在制定战略及作出决策时应一并考虑气候方面的风险及机遇，并跟进所订目标的达标进度；</w:t>
      </w:r>
    </w:p>
    <w:p w:rsidR="00092F0A" w:rsidRDefault="00F80B3C">
      <w:pPr>
        <w:pStyle w:val="Compact"/>
        <w:numPr>
          <w:ilvl w:val="1"/>
          <w:numId w:val="5"/>
        </w:numPr>
        <w:rPr>
          <w:lang w:eastAsia="zh-CN"/>
        </w:rPr>
      </w:pPr>
      <w:r>
        <w:rPr>
          <w:lang w:eastAsia="zh-CN"/>
        </w:rPr>
        <w:t>财务与可持续发展团队应紧密合作。财务团队专注于数据及财务影响评估方面，而可持续发展团队则负责基</w:t>
      </w:r>
      <w:r>
        <w:rPr>
          <w:lang w:eastAsia="zh-CN"/>
        </w:rPr>
        <w:t>础设施规划及证据查验；及</w:t>
      </w:r>
    </w:p>
    <w:p w:rsidR="00092F0A" w:rsidRDefault="00F80B3C">
      <w:pPr>
        <w:pStyle w:val="Compact"/>
        <w:numPr>
          <w:ilvl w:val="1"/>
          <w:numId w:val="5"/>
        </w:numPr>
        <w:rPr>
          <w:lang w:eastAsia="zh-CN"/>
        </w:rPr>
      </w:pPr>
      <w:r>
        <w:rPr>
          <w:lang w:eastAsia="zh-CN"/>
        </w:rPr>
        <w:t>传讯</w:t>
      </w:r>
      <w:r>
        <w:rPr>
          <w:lang w:eastAsia="zh-CN"/>
        </w:rPr>
        <w:t>/</w:t>
      </w:r>
      <w:r>
        <w:rPr>
          <w:lang w:eastAsia="zh-CN"/>
        </w:rPr>
        <w:t>公共关系团队应协助将公司的可持续发展目标与公共事务目标接轨，这使得持份者能够更好地了解及评估公司应对气候变化所采取的行动。</w:t>
      </w:r>
    </w:p>
    <w:p w:rsidR="00092F0A" w:rsidRDefault="00F80B3C">
      <w:pPr>
        <w:pStyle w:val="Compact"/>
        <w:numPr>
          <w:ilvl w:val="0"/>
          <w:numId w:val="3"/>
        </w:numPr>
      </w:pPr>
      <w:r>
        <w:t>净零计划</w:t>
      </w:r>
    </w:p>
    <w:p w:rsidR="00092F0A" w:rsidRDefault="00F80B3C">
      <w:pPr>
        <w:pStyle w:val="Compact"/>
        <w:numPr>
          <w:ilvl w:val="1"/>
          <w:numId w:val="6"/>
        </w:numPr>
        <w:rPr>
          <w:lang w:eastAsia="zh-CN"/>
        </w:rPr>
      </w:pPr>
      <w:r>
        <w:rPr>
          <w:lang w:eastAsia="zh-CN"/>
        </w:rPr>
        <w:t>为配合政府的碳中和目标及《香港气候行动计划》，公司应采用并披露可帮助减少碳排放和控制气候相关风险的基础设施及</w:t>
      </w:r>
      <w:r>
        <w:rPr>
          <w:lang w:eastAsia="zh-CN"/>
        </w:rPr>
        <w:t>/</w:t>
      </w:r>
      <w:r>
        <w:rPr>
          <w:lang w:eastAsia="zh-CN"/>
        </w:rPr>
        <w:t>或技术。</w:t>
      </w:r>
    </w:p>
    <w:p w:rsidR="00092F0A" w:rsidRDefault="00F80B3C">
      <w:pPr>
        <w:pStyle w:val="Compact"/>
        <w:numPr>
          <w:ilvl w:val="0"/>
          <w:numId w:val="3"/>
        </w:numPr>
      </w:pPr>
      <w:r>
        <w:t>价值链</w:t>
      </w:r>
    </w:p>
    <w:p w:rsidR="00092F0A" w:rsidRDefault="00F80B3C">
      <w:pPr>
        <w:pStyle w:val="Compact"/>
        <w:numPr>
          <w:ilvl w:val="1"/>
          <w:numId w:val="7"/>
        </w:numPr>
        <w:rPr>
          <w:lang w:eastAsia="zh-CN"/>
        </w:rPr>
      </w:pPr>
      <w:r>
        <w:rPr>
          <w:lang w:eastAsia="zh-CN"/>
        </w:rPr>
        <w:t>公司应披露气候风险对公司业务模式的影响和可带来的机遇</w:t>
      </w:r>
      <w:r>
        <w:rPr>
          <w:lang w:eastAsia="zh-CN"/>
        </w:rPr>
        <w:t xml:space="preserve"> </w:t>
      </w:r>
      <w:r>
        <w:rPr>
          <w:lang w:eastAsia="zh-CN"/>
        </w:rPr>
        <w:t>，包括对公司价值链的影响。</w:t>
      </w:r>
    </w:p>
    <w:p w:rsidR="00092F0A" w:rsidRDefault="00F80B3C">
      <w:pPr>
        <w:pStyle w:val="FirstParagraph"/>
        <w:rPr>
          <w:lang w:eastAsia="zh-CN"/>
        </w:rPr>
      </w:pPr>
      <w:r>
        <w:rPr>
          <w:lang w:eastAsia="zh-CN"/>
        </w:rPr>
        <w:t>香港交易所将采用《温室气体核算体系》中的温室气体排放分类</w:t>
      </w:r>
    </w:p>
    <w:p w:rsidR="00092F0A" w:rsidRDefault="00F80B3C">
      <w:pPr>
        <w:pStyle w:val="BodyText"/>
        <w:rPr>
          <w:lang w:eastAsia="zh-CN"/>
        </w:rPr>
      </w:pPr>
      <w:r>
        <w:rPr>
          <w:lang w:eastAsia="zh-CN"/>
        </w:rPr>
        <w:t>《温室气体核算体系》将温室气体排放分为以下三个范围：</w:t>
      </w:r>
    </w:p>
    <w:p w:rsidR="00092F0A" w:rsidRDefault="00F80B3C">
      <w:pPr>
        <w:pStyle w:val="Compact"/>
        <w:numPr>
          <w:ilvl w:val="0"/>
          <w:numId w:val="8"/>
        </w:numPr>
        <w:rPr>
          <w:lang w:eastAsia="zh-CN"/>
        </w:rPr>
      </w:pPr>
      <w:r>
        <w:rPr>
          <w:lang w:eastAsia="zh-CN"/>
        </w:rPr>
        <w:t>范围</w:t>
      </w:r>
      <w:r>
        <w:rPr>
          <w:lang w:eastAsia="zh-CN"/>
        </w:rPr>
        <w:t>1</w:t>
      </w:r>
      <w:r>
        <w:rPr>
          <w:lang w:eastAsia="zh-CN"/>
        </w:rPr>
        <w:t>排放量指的是所有由公司拥有或控制的源头或业务直接产生的温室气体排放。例如公司拥有的车辆或公司拥有的大楼产生的温室气体排放归类为范围</w:t>
      </w:r>
      <w:r>
        <w:rPr>
          <w:lang w:eastAsia="zh-CN"/>
        </w:rPr>
        <w:t>1</w:t>
      </w:r>
      <w:r>
        <w:rPr>
          <w:lang w:eastAsia="zh-CN"/>
        </w:rPr>
        <w:t>。</w:t>
      </w:r>
    </w:p>
    <w:p w:rsidR="00092F0A" w:rsidRDefault="00F80B3C">
      <w:pPr>
        <w:pStyle w:val="Compact"/>
        <w:numPr>
          <w:ilvl w:val="0"/>
          <w:numId w:val="8"/>
        </w:numPr>
        <w:rPr>
          <w:lang w:eastAsia="zh-CN"/>
        </w:rPr>
      </w:pPr>
      <w:r>
        <w:rPr>
          <w:lang w:eastAsia="zh-CN"/>
        </w:rPr>
        <w:t>范围</w:t>
      </w:r>
      <w:r>
        <w:rPr>
          <w:lang w:eastAsia="zh-CN"/>
        </w:rPr>
        <w:t>2</w:t>
      </w:r>
      <w:r>
        <w:rPr>
          <w:lang w:eastAsia="zh-CN"/>
        </w:rPr>
        <w:t>排放量指的是公司内部消耗（购回来的或取得的）电力、热能、冷冻及蒸气所间接引致的温室气体排放。</w:t>
      </w:r>
    </w:p>
    <w:p w:rsidR="00092F0A" w:rsidRDefault="00F80B3C">
      <w:pPr>
        <w:pStyle w:val="Compact"/>
        <w:numPr>
          <w:ilvl w:val="0"/>
          <w:numId w:val="8"/>
        </w:numPr>
        <w:rPr>
          <w:lang w:eastAsia="zh-CN"/>
        </w:rPr>
      </w:pPr>
      <w:r>
        <w:rPr>
          <w:lang w:eastAsia="zh-CN"/>
        </w:rPr>
        <w:t>范围</w:t>
      </w:r>
      <w:r>
        <w:rPr>
          <w:lang w:eastAsia="zh-CN"/>
        </w:rPr>
        <w:t>3</w:t>
      </w:r>
      <w:r>
        <w:rPr>
          <w:lang w:eastAsia="zh-CN"/>
        </w:rPr>
        <w:t>排放量指的是公司的价值链内发生而属范围</w:t>
      </w:r>
      <w:r>
        <w:rPr>
          <w:lang w:eastAsia="zh-CN"/>
        </w:rPr>
        <w:t>2</w:t>
      </w:r>
      <w:r>
        <w:rPr>
          <w:lang w:eastAsia="zh-CN"/>
        </w:rPr>
        <w:t>以外的温室气体排放，包括上游供货商及下游客户的排放。该等排放来源于非由公司拥有或控制的源头。</w:t>
      </w:r>
    </w:p>
    <w:p w:rsidR="00092F0A" w:rsidRDefault="00F80B3C">
      <w:pPr>
        <w:pStyle w:val="FirstParagraph"/>
        <w:rPr>
          <w:lang w:eastAsia="zh-CN"/>
        </w:rPr>
      </w:pPr>
      <w:r>
        <w:rPr>
          <w:lang w:eastAsia="zh-CN"/>
        </w:rPr>
        <w:t>根据现时的香港规定（《主板上市规则》附录</w:t>
      </w:r>
      <w:r>
        <w:rPr>
          <w:lang w:eastAsia="zh-CN"/>
        </w:rPr>
        <w:t>27 /</w:t>
      </w:r>
      <w:r>
        <w:rPr>
          <w:lang w:eastAsia="zh-CN"/>
        </w:rPr>
        <w:t>《</w:t>
      </w:r>
      <w:r>
        <w:rPr>
          <w:lang w:eastAsia="zh-CN"/>
        </w:rPr>
        <w:t>GEM</w:t>
      </w:r>
      <w:r>
        <w:rPr>
          <w:lang w:eastAsia="zh-CN"/>
        </w:rPr>
        <w:t>上市规则》附录</w:t>
      </w:r>
      <w:r>
        <w:rPr>
          <w:lang w:eastAsia="zh-CN"/>
        </w:rPr>
        <w:t>20</w:t>
      </w:r>
      <w:r>
        <w:rPr>
          <w:lang w:eastAsia="zh-CN"/>
        </w:rPr>
        <w:t>），香港交易所上市公司须按「不遵守就解释」原则在其</w:t>
      </w:r>
      <w:r>
        <w:rPr>
          <w:lang w:eastAsia="zh-CN"/>
        </w:rPr>
        <w:t>ESG</w:t>
      </w:r>
      <w:r>
        <w:rPr>
          <w:lang w:eastAsia="zh-CN"/>
        </w:rPr>
        <w:t>报告中披露范围</w:t>
      </w:r>
      <w:r>
        <w:rPr>
          <w:lang w:eastAsia="zh-CN"/>
        </w:rPr>
        <w:t>1</w:t>
      </w:r>
      <w:r>
        <w:rPr>
          <w:lang w:eastAsia="zh-CN"/>
        </w:rPr>
        <w:t>和</w:t>
      </w:r>
      <w:r>
        <w:rPr>
          <w:lang w:eastAsia="zh-CN"/>
        </w:rPr>
        <w:t>2</w:t>
      </w:r>
      <w:r>
        <w:rPr>
          <w:lang w:eastAsia="zh-CN"/>
        </w:rPr>
        <w:t>的温室气体排放量。由于</w:t>
      </w:r>
      <w:r>
        <w:rPr>
          <w:lang w:eastAsia="zh-CN"/>
        </w:rPr>
        <w:t>ISSB</w:t>
      </w:r>
      <w:r>
        <w:rPr>
          <w:lang w:eastAsia="zh-CN"/>
        </w:rPr>
        <w:t>的气候标准预计会要求汇报所有范围</w:t>
      </w:r>
      <w:r>
        <w:rPr>
          <w:lang w:eastAsia="zh-CN"/>
        </w:rPr>
        <w:t>1</w:t>
      </w:r>
      <w:r>
        <w:rPr>
          <w:lang w:eastAsia="zh-CN"/>
        </w:rPr>
        <w:t>、</w:t>
      </w:r>
      <w:r>
        <w:rPr>
          <w:lang w:eastAsia="zh-CN"/>
        </w:rPr>
        <w:t>2</w:t>
      </w:r>
      <w:r>
        <w:rPr>
          <w:lang w:eastAsia="zh-CN"/>
        </w:rPr>
        <w:t>和</w:t>
      </w:r>
      <w:r>
        <w:rPr>
          <w:lang w:eastAsia="zh-CN"/>
        </w:rPr>
        <w:t>3</w:t>
      </w:r>
      <w:r>
        <w:rPr>
          <w:lang w:eastAsia="zh-CN"/>
        </w:rPr>
        <w:t>的排放量，目前尚未汇报范围</w:t>
      </w:r>
      <w:r>
        <w:rPr>
          <w:lang w:eastAsia="zh-CN"/>
        </w:rPr>
        <w:t>1</w:t>
      </w:r>
      <w:r>
        <w:rPr>
          <w:lang w:eastAsia="zh-CN"/>
        </w:rPr>
        <w:t>和</w:t>
      </w:r>
      <w:r>
        <w:rPr>
          <w:lang w:eastAsia="zh-CN"/>
        </w:rPr>
        <w:t>2</w:t>
      </w:r>
      <w:r>
        <w:rPr>
          <w:lang w:eastAsia="zh-CN"/>
        </w:rPr>
        <w:t>信息的上市公司，现在便应准备披露更多这方面的气候信息。</w:t>
      </w:r>
    </w:p>
    <w:p w:rsidR="00092F0A" w:rsidRDefault="00F80B3C">
      <w:pPr>
        <w:pStyle w:val="BodyText"/>
        <w:rPr>
          <w:lang w:eastAsia="zh-CN"/>
        </w:rPr>
      </w:pPr>
      <w:r>
        <w:rPr>
          <w:lang w:eastAsia="zh-CN"/>
        </w:rPr>
        <w:lastRenderedPageBreak/>
        <w:t>就在香港运营的香港交易所上市公司而言，计算范围</w:t>
      </w:r>
      <w:r>
        <w:rPr>
          <w:lang w:eastAsia="zh-CN"/>
        </w:rPr>
        <w:t>2</w:t>
      </w:r>
      <w:r>
        <w:rPr>
          <w:lang w:eastAsia="zh-CN"/>
        </w:rPr>
        <w:t>排放量的排放报告载列于香港相关电力</w:t>
      </w:r>
      <w:r>
        <w:rPr>
          <w:lang w:eastAsia="zh-CN"/>
        </w:rPr>
        <w:t>/</w:t>
      </w:r>
      <w:r>
        <w:rPr>
          <w:lang w:eastAsia="zh-CN"/>
        </w:rPr>
        <w:t>公用事业公司（包括港灯、中电及煤气公司）的最新可持续发展报告中。如上市公司在香港以外地区也有业务，应采用相关海外国家或地区的排放系数计算其范围</w:t>
      </w:r>
      <w:r>
        <w:rPr>
          <w:lang w:eastAsia="zh-CN"/>
        </w:rPr>
        <w:t>2</w:t>
      </w:r>
      <w:r>
        <w:rPr>
          <w:lang w:eastAsia="zh-CN"/>
        </w:rPr>
        <w:t>排放量，而该等公司也可以联络其能源供货商以取得相关排放详情。</w:t>
      </w:r>
    </w:p>
    <w:p w:rsidR="00092F0A" w:rsidRDefault="00F80B3C">
      <w:pPr>
        <w:pStyle w:val="BodyText"/>
        <w:rPr>
          <w:lang w:eastAsia="zh-CN"/>
        </w:rPr>
      </w:pPr>
      <w:r>
        <w:rPr>
          <w:lang w:eastAsia="zh-CN"/>
        </w:rPr>
        <w:t>就范围</w:t>
      </w:r>
      <w:r>
        <w:rPr>
          <w:lang w:eastAsia="zh-CN"/>
        </w:rPr>
        <w:t>3</w:t>
      </w:r>
      <w:r>
        <w:rPr>
          <w:lang w:eastAsia="zh-CN"/>
        </w:rPr>
        <w:t>排放及公司价值链中产生的所有间接排放而言，《温室气体核算体系指南》</w:t>
      </w:r>
      <w:hyperlink w:anchor="footnote-598-5">
        <w:r>
          <w:rPr>
            <w:vertAlign w:val="superscript"/>
            <w:lang w:eastAsia="zh-CN"/>
          </w:rPr>
          <w:t>5</w:t>
        </w:r>
      </w:hyperlink>
      <w:r>
        <w:rPr>
          <w:lang w:eastAsia="zh-CN"/>
        </w:rPr>
        <w:t>将相关活动分为</w:t>
      </w:r>
      <w:r>
        <w:rPr>
          <w:lang w:eastAsia="zh-CN"/>
        </w:rPr>
        <w:t>15</w:t>
      </w:r>
      <w:r>
        <w:rPr>
          <w:lang w:eastAsia="zh-CN"/>
        </w:rPr>
        <w:t>个类别，以便量度并管理相关排放。</w:t>
      </w:r>
      <w:hyperlink w:anchor="footnote-598-6">
        <w:r>
          <w:rPr>
            <w:vertAlign w:val="superscript"/>
            <w:lang w:eastAsia="zh-CN"/>
          </w:rPr>
          <w:t>6</w:t>
        </w:r>
      </w:hyperlink>
      <w:r>
        <w:rPr>
          <w:lang w:eastAsia="zh-CN"/>
        </w:rPr>
        <w:t xml:space="preserve"> </w:t>
      </w:r>
      <w:r>
        <w:rPr>
          <w:lang w:eastAsia="zh-CN"/>
        </w:rPr>
        <w:t>《温室气体核算体系》提供了不同的计算方法，公司可按其活动的排放量、公司业务目标、数据供应及质量等标准自行选择。为了计算范围</w:t>
      </w:r>
      <w:r>
        <w:rPr>
          <w:lang w:eastAsia="zh-CN"/>
        </w:rPr>
        <w:t>3</w:t>
      </w:r>
      <w:r>
        <w:rPr>
          <w:lang w:eastAsia="zh-CN"/>
        </w:rPr>
        <w:t>的排放量，上市公司使用</w:t>
      </w:r>
      <w:r>
        <w:rPr>
          <w:lang w:eastAsia="zh-CN"/>
        </w:rPr>
        <w:t>(i)</w:t>
      </w:r>
      <w:r>
        <w:rPr>
          <w:lang w:eastAsia="zh-CN"/>
        </w:rPr>
        <w:t>原始数据（即透过调查问卷或其他参与渠道从特定活动的供货商收集得来的数据）；或</w:t>
      </w:r>
      <w:r>
        <w:rPr>
          <w:lang w:eastAsia="zh-CN"/>
        </w:rPr>
        <w:t>(ii</w:t>
      </w:r>
      <w:r>
        <w:rPr>
          <w:lang w:eastAsia="zh-CN"/>
        </w:rPr>
        <w:t>)</w:t>
      </w:r>
      <w:r>
        <w:rPr>
          <w:lang w:eastAsia="zh-CN"/>
        </w:rPr>
        <w:t>二级数据（即从国际认可的数据库中获得，或由政府提供或经同业评审的行业平均数据、财务数据或通用数据）。有关温室气体排放的详情，例如汇报或计算方式的更多指引，可参阅香港交易所刊发的</w:t>
      </w:r>
      <w:hyperlink r:id="rId10">
        <w:r>
          <w:rPr>
            <w:lang w:eastAsia="zh-CN"/>
          </w:rPr>
          <w:t>《如何准备环境、社会及管治报告</w:t>
        </w:r>
        <w:r>
          <w:rPr>
            <w:lang w:eastAsia="zh-CN"/>
          </w:rPr>
          <w:t xml:space="preserve"> — </w:t>
        </w:r>
        <w:r>
          <w:rPr>
            <w:lang w:eastAsia="zh-CN"/>
          </w:rPr>
          <w:t>附录二：环境关键绩效指标汇报指引》</w:t>
        </w:r>
      </w:hyperlink>
      <w:r>
        <w:rPr>
          <w:lang w:eastAsia="zh-CN"/>
        </w:rPr>
        <w:t>或《温室气体核算体系指南》</w:t>
      </w:r>
      <w:hyperlink r:id="rId11">
        <w:r>
          <w:rPr>
            <w:lang w:eastAsia="zh-CN"/>
          </w:rPr>
          <w:t>网页</w:t>
        </w:r>
      </w:hyperlink>
      <w:r>
        <w:rPr>
          <w:lang w:eastAsia="zh-CN"/>
        </w:rPr>
        <w:t>。</w:t>
      </w:r>
    </w:p>
    <w:p w:rsidR="00092F0A" w:rsidRDefault="00F80B3C">
      <w:pPr>
        <w:pStyle w:val="BodyText"/>
        <w:rPr>
          <w:lang w:eastAsia="zh-CN"/>
        </w:rPr>
      </w:pPr>
      <w:r>
        <w:rPr>
          <w:lang w:eastAsia="zh-CN"/>
        </w:rPr>
        <w:t>香港特殊目的收购公司的低碳过渡</w:t>
      </w:r>
    </w:p>
    <w:p w:rsidR="00092F0A" w:rsidRDefault="00F80B3C">
      <w:pPr>
        <w:pStyle w:val="BodyText"/>
        <w:rPr>
          <w:lang w:eastAsia="zh-CN"/>
        </w:rPr>
      </w:pPr>
      <w:r>
        <w:rPr>
          <w:lang w:eastAsia="zh-CN"/>
        </w:rPr>
        <w:t>SPAC</w:t>
      </w:r>
      <w:r>
        <w:rPr>
          <w:lang w:eastAsia="zh-CN"/>
        </w:rPr>
        <w:t>是一种无营运业务或资产的空壳公司，组建成立以通过首次公开招股筹集资金，目的是在上市后的预定时间内收购正在营运的公司。香港</w:t>
      </w:r>
      <w:r>
        <w:rPr>
          <w:lang w:eastAsia="zh-CN"/>
        </w:rPr>
        <w:t>SPACs</w:t>
      </w:r>
      <w:r>
        <w:rPr>
          <w:lang w:eastAsia="zh-CN"/>
        </w:rPr>
        <w:t>一般是由富有经验的创办股东（通常指香港</w:t>
      </w:r>
      <w:r>
        <w:rPr>
          <w:lang w:eastAsia="zh-CN"/>
        </w:rPr>
        <w:t>SPAC</w:t>
      </w:r>
      <w:r>
        <w:rPr>
          <w:lang w:eastAsia="zh-CN"/>
        </w:rPr>
        <w:t>发起人</w:t>
      </w:r>
      <w:hyperlink w:anchor="footnote-598-7">
        <w:r>
          <w:rPr>
            <w:vertAlign w:val="superscript"/>
            <w:lang w:eastAsia="zh-CN"/>
          </w:rPr>
          <w:t>7</w:t>
        </w:r>
      </w:hyperlink>
      <w:r>
        <w:rPr>
          <w:lang w:eastAsia="zh-CN"/>
        </w:rPr>
        <w:t>）创立并给予初始资金支持。易周律师行已经撰写了关于香港</w:t>
      </w:r>
      <w:r>
        <w:rPr>
          <w:lang w:eastAsia="zh-CN"/>
        </w:rPr>
        <w:t>SPACs</w:t>
      </w:r>
      <w:r>
        <w:rPr>
          <w:lang w:eastAsia="zh-CN"/>
        </w:rPr>
        <w:t>的内容广泛的文章，包括对香港交易所新的</w:t>
      </w:r>
      <w:r>
        <w:rPr>
          <w:lang w:eastAsia="zh-CN"/>
        </w:rPr>
        <w:t>SPAC</w:t>
      </w:r>
      <w:r>
        <w:rPr>
          <w:lang w:eastAsia="zh-CN"/>
        </w:rPr>
        <w:t>上市制度（予</w:t>
      </w:r>
      <w:r>
        <w:rPr>
          <w:lang w:eastAsia="zh-CN"/>
        </w:rPr>
        <w:t>2022</w:t>
      </w:r>
      <w:r>
        <w:rPr>
          <w:lang w:eastAsia="zh-CN"/>
        </w:rPr>
        <w:t>年</w:t>
      </w:r>
      <w:r>
        <w:rPr>
          <w:lang w:eastAsia="zh-CN"/>
        </w:rPr>
        <w:t>1</w:t>
      </w:r>
      <w:r>
        <w:rPr>
          <w:lang w:eastAsia="zh-CN"/>
        </w:rPr>
        <w:t>月</w:t>
      </w:r>
      <w:r>
        <w:rPr>
          <w:lang w:eastAsia="zh-CN"/>
        </w:rPr>
        <w:t>1</w:t>
      </w:r>
      <w:r>
        <w:rPr>
          <w:lang w:eastAsia="zh-CN"/>
        </w:rPr>
        <w:t>日生效）的概述，载列于</w:t>
      </w:r>
      <w:hyperlink r:id="rId12">
        <w:r>
          <w:rPr>
            <w:lang w:eastAsia="zh-CN"/>
          </w:rPr>
          <w:t>此处</w:t>
        </w:r>
      </w:hyperlink>
      <w:r>
        <w:rPr>
          <w:lang w:eastAsia="zh-CN"/>
        </w:rPr>
        <w:t>。</w:t>
      </w:r>
    </w:p>
    <w:p w:rsidR="00092F0A" w:rsidRDefault="00F80B3C">
      <w:pPr>
        <w:pStyle w:val="BodyText"/>
        <w:rPr>
          <w:lang w:eastAsia="zh-CN"/>
        </w:rPr>
      </w:pPr>
      <w:r>
        <w:rPr>
          <w:lang w:eastAsia="zh-CN"/>
        </w:rPr>
        <w:t>截至现在，香港已有</w:t>
      </w:r>
      <w:r>
        <w:rPr>
          <w:lang w:eastAsia="zh-CN"/>
        </w:rPr>
        <w:t>12</w:t>
      </w:r>
      <w:r>
        <w:rPr>
          <w:lang w:eastAsia="zh-CN"/>
        </w:rPr>
        <w:t>宗</w:t>
      </w:r>
      <w:r>
        <w:rPr>
          <w:lang w:eastAsia="zh-CN"/>
        </w:rPr>
        <w:t>SPAC</w:t>
      </w:r>
      <w:r>
        <w:rPr>
          <w:lang w:eastAsia="zh-CN"/>
        </w:rPr>
        <w:t>上市申请，其中</w:t>
      </w:r>
      <w:r>
        <w:rPr>
          <w:lang w:eastAsia="zh-CN"/>
        </w:rPr>
        <w:t>2</w:t>
      </w:r>
      <w:r>
        <w:rPr>
          <w:lang w:eastAsia="zh-CN"/>
        </w:rPr>
        <w:t>家已分别于</w:t>
      </w:r>
      <w:r>
        <w:rPr>
          <w:lang w:eastAsia="zh-CN"/>
        </w:rPr>
        <w:t>2022</w:t>
      </w:r>
      <w:r>
        <w:rPr>
          <w:lang w:eastAsia="zh-CN"/>
        </w:rPr>
        <w:t>年</w:t>
      </w:r>
      <w:r>
        <w:rPr>
          <w:lang w:eastAsia="zh-CN"/>
        </w:rPr>
        <w:t>3</w:t>
      </w:r>
      <w:r>
        <w:rPr>
          <w:lang w:eastAsia="zh-CN"/>
        </w:rPr>
        <w:t>月及</w:t>
      </w:r>
      <w:r>
        <w:rPr>
          <w:lang w:eastAsia="zh-CN"/>
        </w:rPr>
        <w:t>6</w:t>
      </w:r>
      <w:r>
        <w:rPr>
          <w:lang w:eastAsia="zh-CN"/>
        </w:rPr>
        <w:t>月上市。国际上专注于</w:t>
      </w:r>
      <w:r>
        <w:rPr>
          <w:lang w:eastAsia="zh-CN"/>
        </w:rPr>
        <w:t>ESG</w:t>
      </w:r>
      <w:r>
        <w:rPr>
          <w:lang w:eastAsia="zh-CN"/>
        </w:rPr>
        <w:t>的</w:t>
      </w:r>
      <w:r>
        <w:rPr>
          <w:lang w:eastAsia="zh-CN"/>
        </w:rPr>
        <w:t>SPAC</w:t>
      </w:r>
      <w:r>
        <w:rPr>
          <w:lang w:eastAsia="zh-CN"/>
        </w:rPr>
        <w:t>及</w:t>
      </w:r>
      <w:r>
        <w:rPr>
          <w:lang w:eastAsia="zh-CN"/>
        </w:rPr>
        <w:t>SPAC</w:t>
      </w:r>
      <w:r>
        <w:rPr>
          <w:lang w:eastAsia="zh-CN"/>
        </w:rPr>
        <w:t>并购交易</w:t>
      </w:r>
      <w:hyperlink w:anchor="footnote-598-8">
        <w:r>
          <w:rPr>
            <w:vertAlign w:val="superscript"/>
            <w:lang w:eastAsia="zh-CN"/>
          </w:rPr>
          <w:t>8</w:t>
        </w:r>
      </w:hyperlink>
      <w:r>
        <w:rPr>
          <w:lang w:eastAsia="zh-CN"/>
        </w:rPr>
        <w:t>数量激增，预计这个趋势将会持续下去，且近年的</w:t>
      </w:r>
      <w:r>
        <w:rPr>
          <w:lang w:eastAsia="zh-CN"/>
        </w:rPr>
        <w:t>SPAC</w:t>
      </w:r>
      <w:r>
        <w:rPr>
          <w:lang w:eastAsia="zh-CN"/>
        </w:rPr>
        <w:t>纷纷从环保技术、运输、工业、水务及能源等行业物色</w:t>
      </w:r>
      <w:r>
        <w:rPr>
          <w:lang w:eastAsia="zh-CN"/>
        </w:rPr>
        <w:t>SPAC</w:t>
      </w:r>
      <w:r>
        <w:rPr>
          <w:lang w:eastAsia="zh-CN"/>
        </w:rPr>
        <w:t>并购目标</w:t>
      </w:r>
      <w:hyperlink w:anchor="footnote-598-9">
        <w:r>
          <w:rPr>
            <w:vertAlign w:val="superscript"/>
            <w:lang w:eastAsia="zh-CN"/>
          </w:rPr>
          <w:t>9</w:t>
        </w:r>
      </w:hyperlink>
      <w:r>
        <w:rPr>
          <w:lang w:eastAsia="zh-CN"/>
        </w:rPr>
        <w:t>。香港（</w:t>
      </w:r>
      <w:r>
        <w:rPr>
          <w:lang w:eastAsia="zh-CN"/>
        </w:rPr>
        <w:t>10</w:t>
      </w:r>
      <w:r>
        <w:rPr>
          <w:lang w:eastAsia="zh-CN"/>
        </w:rPr>
        <w:t>家现正处理的</w:t>
      </w:r>
      <w:r>
        <w:rPr>
          <w:lang w:eastAsia="zh-CN"/>
        </w:rPr>
        <w:t>SPAC</w:t>
      </w:r>
      <w:r>
        <w:rPr>
          <w:lang w:eastAsia="zh-CN"/>
        </w:rPr>
        <w:t>上市申请中</w:t>
      </w:r>
      <w:r>
        <w:rPr>
          <w:lang w:eastAsia="zh-CN"/>
        </w:rPr>
        <w:t>）三家</w:t>
      </w:r>
      <w:r>
        <w:rPr>
          <w:lang w:eastAsia="zh-CN"/>
        </w:rPr>
        <w:t>SPAC</w:t>
      </w:r>
      <w:r>
        <w:rPr>
          <w:lang w:eastAsia="zh-CN"/>
        </w:rPr>
        <w:t>申请人以及两家已上市的</w:t>
      </w:r>
      <w:r>
        <w:rPr>
          <w:lang w:eastAsia="zh-CN"/>
        </w:rPr>
        <w:t>SPAC</w:t>
      </w:r>
      <w:r>
        <w:rPr>
          <w:lang w:eastAsia="zh-CN"/>
        </w:rPr>
        <w:t>其中一家均拟从气候行动、</w:t>
      </w:r>
      <w:hyperlink r:id="rId13">
        <w:r>
          <w:rPr>
            <w:lang w:eastAsia="zh-CN"/>
          </w:rPr>
          <w:t>绿色能源</w:t>
        </w:r>
      </w:hyperlink>
      <w:r>
        <w:rPr>
          <w:lang w:eastAsia="zh-CN"/>
        </w:rPr>
        <w:t>及绿色科技等行业物色其</w:t>
      </w:r>
      <w:r>
        <w:rPr>
          <w:lang w:eastAsia="zh-CN"/>
        </w:rPr>
        <w:t>SPAC</w:t>
      </w:r>
      <w:r>
        <w:rPr>
          <w:lang w:eastAsia="zh-CN"/>
        </w:rPr>
        <w:t>并购目标。</w:t>
      </w:r>
    </w:p>
    <w:p w:rsidR="00092F0A" w:rsidRDefault="00F80B3C">
      <w:pPr>
        <w:pStyle w:val="BodyText"/>
        <w:rPr>
          <w:lang w:eastAsia="zh-CN"/>
        </w:rPr>
      </w:pPr>
      <w:r>
        <w:rPr>
          <w:lang w:eastAsia="zh-CN"/>
        </w:rPr>
        <w:t>香港交易所提升上市业务发展所作的努力</w:t>
      </w:r>
    </w:p>
    <w:p w:rsidR="00092F0A" w:rsidRDefault="00F80B3C">
      <w:pPr>
        <w:pStyle w:val="BodyText"/>
        <w:rPr>
          <w:lang w:eastAsia="zh-CN"/>
        </w:rPr>
      </w:pPr>
      <w:r>
        <w:rPr>
          <w:lang w:eastAsia="zh-CN"/>
        </w:rPr>
        <w:t>除了各种已计划并已开展行动的</w:t>
      </w:r>
      <w:r>
        <w:rPr>
          <w:lang w:eastAsia="zh-CN"/>
        </w:rPr>
        <w:t>ESG</w:t>
      </w:r>
      <w:r>
        <w:rPr>
          <w:lang w:eastAsia="zh-CN"/>
        </w:rPr>
        <w:t>相关举措外，香港交易所亦为绿色、社会及可持续发展挂钩债券（</w:t>
      </w:r>
      <w:r>
        <w:rPr>
          <w:b/>
          <w:lang w:eastAsia="zh-CN"/>
        </w:rPr>
        <w:t>香港交易所</w:t>
      </w:r>
      <w:r>
        <w:rPr>
          <w:b/>
          <w:lang w:eastAsia="zh-CN"/>
        </w:rPr>
        <w:t>GSS</w:t>
      </w:r>
      <w:r>
        <w:rPr>
          <w:b/>
          <w:lang w:eastAsia="zh-CN"/>
        </w:rPr>
        <w:t>债券</w:t>
      </w:r>
      <w:r>
        <w:rPr>
          <w:lang w:eastAsia="zh-CN"/>
        </w:rPr>
        <w:t>）提供上市平台。香港交易所</w:t>
      </w:r>
      <w:r>
        <w:rPr>
          <w:lang w:eastAsia="zh-CN"/>
        </w:rPr>
        <w:t>2021</w:t>
      </w:r>
      <w:r>
        <w:rPr>
          <w:lang w:eastAsia="zh-CN"/>
        </w:rPr>
        <w:t>年上市的</w:t>
      </w:r>
      <w:r>
        <w:rPr>
          <w:lang w:eastAsia="zh-CN"/>
        </w:rPr>
        <w:t>GS</w:t>
      </w:r>
      <w:r>
        <w:rPr>
          <w:lang w:eastAsia="zh-CN"/>
        </w:rPr>
        <w:t>S</w:t>
      </w:r>
      <w:r>
        <w:rPr>
          <w:lang w:eastAsia="zh-CN"/>
        </w:rPr>
        <w:t>债券数目较</w:t>
      </w:r>
      <w:r>
        <w:rPr>
          <w:lang w:eastAsia="zh-CN"/>
        </w:rPr>
        <w:t>2020</w:t>
      </w:r>
      <w:r>
        <w:rPr>
          <w:lang w:eastAsia="zh-CN"/>
        </w:rPr>
        <w:t>年增加超过五倍，全年共有</w:t>
      </w:r>
      <w:r>
        <w:rPr>
          <w:lang w:eastAsia="zh-CN"/>
        </w:rPr>
        <w:t>95</w:t>
      </w:r>
      <w:r>
        <w:rPr>
          <w:lang w:eastAsia="zh-CN"/>
        </w:rPr>
        <w:t>只新</w:t>
      </w:r>
      <w:r>
        <w:rPr>
          <w:lang w:eastAsia="zh-CN"/>
        </w:rPr>
        <w:t>GSS</w:t>
      </w:r>
      <w:r>
        <w:rPr>
          <w:lang w:eastAsia="zh-CN"/>
        </w:rPr>
        <w:t>债券在香港交易所上市，集资金额亦达到破纪录的</w:t>
      </w:r>
      <w:r>
        <w:rPr>
          <w:lang w:eastAsia="zh-CN"/>
        </w:rPr>
        <w:t>2,816</w:t>
      </w:r>
      <w:r>
        <w:rPr>
          <w:lang w:eastAsia="zh-CN"/>
        </w:rPr>
        <w:t>亿港元。具规模的发行人包括香港特别行政区政府、深圳市政府、马来西亚政府（透过一家全资特殊目的公司）、中国银行股份有限公司及中国建设银行股份有限公司等。相比之下，</w:t>
      </w:r>
      <w:r>
        <w:rPr>
          <w:lang w:eastAsia="zh-CN"/>
        </w:rPr>
        <w:t>2020</w:t>
      </w:r>
      <w:r>
        <w:rPr>
          <w:lang w:eastAsia="zh-CN"/>
        </w:rPr>
        <w:t>年有</w:t>
      </w:r>
      <w:r>
        <w:rPr>
          <w:lang w:eastAsia="zh-CN"/>
        </w:rPr>
        <w:t>23</w:t>
      </w:r>
      <w:r>
        <w:rPr>
          <w:lang w:eastAsia="zh-CN"/>
        </w:rPr>
        <w:t>只新</w:t>
      </w:r>
      <w:r>
        <w:rPr>
          <w:lang w:eastAsia="zh-CN"/>
        </w:rPr>
        <w:t>GSS</w:t>
      </w:r>
      <w:r>
        <w:rPr>
          <w:lang w:eastAsia="zh-CN"/>
        </w:rPr>
        <w:t>债券上市，集资总额约</w:t>
      </w:r>
      <w:r>
        <w:rPr>
          <w:lang w:eastAsia="zh-CN"/>
        </w:rPr>
        <w:t>500</w:t>
      </w:r>
      <w:r>
        <w:rPr>
          <w:lang w:eastAsia="zh-CN"/>
        </w:rPr>
        <w:t>亿港元，而</w:t>
      </w:r>
      <w:r>
        <w:rPr>
          <w:lang w:eastAsia="zh-CN"/>
        </w:rPr>
        <w:t>2019</w:t>
      </w:r>
      <w:r>
        <w:rPr>
          <w:lang w:eastAsia="zh-CN"/>
        </w:rPr>
        <w:t>年有</w:t>
      </w:r>
      <w:r>
        <w:rPr>
          <w:lang w:eastAsia="zh-CN"/>
        </w:rPr>
        <w:t>25</w:t>
      </w:r>
      <w:r>
        <w:rPr>
          <w:lang w:eastAsia="zh-CN"/>
        </w:rPr>
        <w:t>只新</w:t>
      </w:r>
      <w:r>
        <w:rPr>
          <w:lang w:eastAsia="zh-CN"/>
        </w:rPr>
        <w:t>GSS</w:t>
      </w:r>
      <w:r>
        <w:rPr>
          <w:lang w:eastAsia="zh-CN"/>
        </w:rPr>
        <w:t>债券上市，筹资总额约</w:t>
      </w:r>
      <w:r>
        <w:rPr>
          <w:lang w:eastAsia="zh-CN"/>
        </w:rPr>
        <w:t>550</w:t>
      </w:r>
      <w:r>
        <w:rPr>
          <w:lang w:eastAsia="zh-CN"/>
        </w:rPr>
        <w:t>亿港元。</w:t>
      </w:r>
    </w:p>
    <w:p w:rsidR="00092F0A" w:rsidRDefault="00F80B3C">
      <w:pPr>
        <w:pStyle w:val="BodyText"/>
        <w:rPr>
          <w:lang w:eastAsia="zh-CN"/>
        </w:rPr>
      </w:pPr>
      <w:r>
        <w:rPr>
          <w:lang w:eastAsia="zh-CN"/>
        </w:rPr>
        <w:t>目前，这些</w:t>
      </w:r>
      <w:r>
        <w:rPr>
          <w:lang w:eastAsia="zh-CN"/>
        </w:rPr>
        <w:t>GSS</w:t>
      </w:r>
      <w:r>
        <w:rPr>
          <w:lang w:eastAsia="zh-CN"/>
        </w:rPr>
        <w:t>债券全部是根据香港交易所《上市规则》第</w:t>
      </w:r>
      <w:r>
        <w:rPr>
          <w:lang w:eastAsia="zh-CN"/>
        </w:rPr>
        <w:t>37</w:t>
      </w:r>
      <w:r>
        <w:rPr>
          <w:lang w:eastAsia="zh-CN"/>
        </w:rPr>
        <w:t>章上市，并仅向专业投资者发售。鉴于《上市规则》并无为</w:t>
      </w:r>
      <w:r>
        <w:rPr>
          <w:lang w:eastAsia="zh-CN"/>
        </w:rPr>
        <w:t>GSS</w:t>
      </w:r>
      <w:r>
        <w:rPr>
          <w:lang w:eastAsia="zh-CN"/>
        </w:rPr>
        <w:t>债券特设规定，适用于</w:t>
      </w:r>
      <w:r>
        <w:rPr>
          <w:lang w:eastAsia="zh-CN"/>
        </w:rPr>
        <w:t>GSS</w:t>
      </w:r>
      <w:r>
        <w:rPr>
          <w:lang w:eastAsia="zh-CN"/>
        </w:rPr>
        <w:t>债券的香港交易所《上市规则》规定跟所有其他债券一样。</w:t>
      </w:r>
    </w:p>
    <w:p w:rsidR="00092F0A" w:rsidRDefault="00F80B3C">
      <w:pPr>
        <w:pStyle w:val="BodyText"/>
        <w:rPr>
          <w:lang w:eastAsia="zh-CN"/>
        </w:rPr>
      </w:pPr>
      <w:r>
        <w:rPr>
          <w:lang w:eastAsia="zh-CN"/>
        </w:rPr>
        <w:t>香港交易所寻求提升市场发展的领域包括：</w:t>
      </w:r>
    </w:p>
    <w:p w:rsidR="00092F0A" w:rsidRDefault="00F80B3C">
      <w:pPr>
        <w:pStyle w:val="Compact"/>
        <w:numPr>
          <w:ilvl w:val="0"/>
          <w:numId w:val="9"/>
        </w:numPr>
        <w:rPr>
          <w:lang w:eastAsia="zh-CN"/>
        </w:rPr>
      </w:pPr>
      <w:r>
        <w:rPr>
          <w:lang w:eastAsia="zh-CN"/>
        </w:rPr>
        <w:t>建立了香港的</w:t>
      </w:r>
      <w:hyperlink r:id="rId14">
        <w:r>
          <w:rPr>
            <w:lang w:eastAsia="zh-CN"/>
          </w:rPr>
          <w:t>SPAC</w:t>
        </w:r>
        <w:r>
          <w:rPr>
            <w:lang w:eastAsia="zh-CN"/>
          </w:rPr>
          <w:t>上市框架</w:t>
        </w:r>
      </w:hyperlink>
      <w:r>
        <w:rPr>
          <w:lang w:eastAsia="zh-CN"/>
        </w:rPr>
        <w:t>，在有适当保障下为发行人及投资者提供更多元化的选择。</w:t>
      </w:r>
    </w:p>
    <w:p w:rsidR="00092F0A" w:rsidRDefault="00F80B3C">
      <w:pPr>
        <w:pStyle w:val="Compact"/>
        <w:numPr>
          <w:ilvl w:val="0"/>
          <w:numId w:val="9"/>
        </w:numPr>
        <w:rPr>
          <w:lang w:eastAsia="zh-CN"/>
        </w:rPr>
      </w:pPr>
      <w:r>
        <w:rPr>
          <w:lang w:eastAsia="zh-CN"/>
        </w:rPr>
        <w:t>优化和简化香港交易所《上市规则》有关</w:t>
      </w:r>
      <w:hyperlink r:id="rId15">
        <w:r>
          <w:rPr>
            <w:lang w:eastAsia="zh-CN"/>
          </w:rPr>
          <w:t>海外发行人上市制度</w:t>
        </w:r>
      </w:hyperlink>
      <w:r>
        <w:rPr>
          <w:lang w:eastAsia="zh-CN"/>
        </w:rPr>
        <w:t>的条文，在不损害香港股东利益下，</w:t>
      </w:r>
      <w:r>
        <w:rPr>
          <w:lang w:eastAsia="zh-CN"/>
        </w:rPr>
        <w:t>提高海外上市公司在港上市的机会。</w:t>
      </w:r>
    </w:p>
    <w:p w:rsidR="00092F0A" w:rsidRDefault="00F80B3C">
      <w:pPr>
        <w:pStyle w:val="Compact"/>
        <w:numPr>
          <w:ilvl w:val="0"/>
          <w:numId w:val="9"/>
        </w:numPr>
        <w:rPr>
          <w:lang w:eastAsia="zh-CN"/>
        </w:rPr>
      </w:pPr>
      <w:r>
        <w:rPr>
          <w:lang w:eastAsia="zh-CN"/>
        </w:rPr>
        <w:t>鉴于股份奖励计划愈来愈多，香港交易所</w:t>
      </w:r>
      <w:hyperlink r:id="rId16">
        <w:r>
          <w:rPr>
            <w:lang w:eastAsia="zh-CN"/>
          </w:rPr>
          <w:t>建议扩大香港交易所《上市规则》第</w:t>
        </w:r>
        <w:r>
          <w:rPr>
            <w:lang w:eastAsia="zh-CN"/>
          </w:rPr>
          <w:t>17</w:t>
        </w:r>
        <w:r>
          <w:rPr>
            <w:lang w:eastAsia="zh-CN"/>
          </w:rPr>
          <w:t>章</w:t>
        </w:r>
      </w:hyperlink>
      <w:r>
        <w:rPr>
          <w:lang w:eastAsia="zh-CN"/>
        </w:rPr>
        <w:t>的适用范围，使之涵盖这些股份奖励计划。</w:t>
      </w:r>
    </w:p>
    <w:p w:rsidR="00092F0A" w:rsidRDefault="00F80B3C">
      <w:pPr>
        <w:pStyle w:val="Compact"/>
        <w:numPr>
          <w:ilvl w:val="0"/>
          <w:numId w:val="9"/>
        </w:numPr>
        <w:rPr>
          <w:lang w:eastAsia="zh-CN"/>
        </w:rPr>
      </w:pPr>
      <w:r>
        <w:rPr>
          <w:lang w:eastAsia="zh-CN"/>
        </w:rPr>
        <w:lastRenderedPageBreak/>
        <w:t>刊发了</w:t>
      </w:r>
      <w:hyperlink r:id="rId17">
        <w:r>
          <w:rPr>
            <w:lang w:eastAsia="zh-CN"/>
          </w:rPr>
          <w:t>介绍《上市规则》相应修订的数据文件</w:t>
        </w:r>
      </w:hyperlink>
      <w:r>
        <w:rPr>
          <w:lang w:eastAsia="zh-CN"/>
        </w:rPr>
        <w:t>，以反映证监会《操守准则》</w:t>
      </w:r>
      <w:hyperlink w:anchor="footnote-598-10">
        <w:r>
          <w:rPr>
            <w:lang w:eastAsia="zh-CN"/>
          </w:rPr>
          <w:t>10</w:t>
        </w:r>
      </w:hyperlink>
      <w:r>
        <w:rPr>
          <w:lang w:eastAsia="zh-CN"/>
        </w:rPr>
        <w:t>内有关参与簿记建档及配售活动的公司及中介人的新操守规定以及相关</w:t>
      </w:r>
      <w:hyperlink r:id="rId18">
        <w:r>
          <w:rPr>
            <w:lang w:eastAsia="zh-CN"/>
          </w:rPr>
          <w:t>常问问题</w:t>
        </w:r>
      </w:hyperlink>
      <w:r>
        <w:rPr>
          <w:lang w:eastAsia="zh-CN"/>
        </w:rPr>
        <w:t>。易周律师行亦就该领域撰写了内容广泛的文章，见</w:t>
      </w:r>
      <w:hyperlink r:id="rId19">
        <w:r>
          <w:rPr>
            <w:lang w:eastAsia="zh-CN"/>
          </w:rPr>
          <w:t>此处</w:t>
        </w:r>
      </w:hyperlink>
      <w:r>
        <w:rPr>
          <w:lang w:eastAsia="zh-CN"/>
        </w:rPr>
        <w:t>。</w:t>
      </w:r>
    </w:p>
    <w:p w:rsidR="00092F0A" w:rsidRDefault="00F80B3C">
      <w:pPr>
        <w:pStyle w:val="FirstParagraph"/>
        <w:rPr>
          <w:lang w:eastAsia="zh-CN"/>
        </w:rPr>
      </w:pPr>
      <w:r>
        <w:rPr>
          <w:lang w:eastAsia="zh-CN"/>
        </w:rPr>
        <w:t>香港交易所寻求提升市场质素的领域包括：</w:t>
      </w:r>
    </w:p>
    <w:p w:rsidR="00092F0A" w:rsidRDefault="00F80B3C">
      <w:pPr>
        <w:pStyle w:val="Compact"/>
        <w:numPr>
          <w:ilvl w:val="0"/>
          <w:numId w:val="10"/>
        </w:numPr>
        <w:rPr>
          <w:lang w:eastAsia="zh-CN"/>
        </w:rPr>
      </w:pPr>
      <w:hyperlink r:id="rId20">
        <w:r>
          <w:rPr>
            <w:lang w:eastAsia="zh-CN"/>
          </w:rPr>
          <w:t>修订《企业管治守则》</w:t>
        </w:r>
      </w:hyperlink>
      <w:r>
        <w:rPr>
          <w:lang w:eastAsia="zh-CN"/>
        </w:rPr>
        <w:t>及相关香港交易所《上市规则》条文，以进一步提升香港上市发行人的企业标准，尤其是在企业文化、董事独立性及多元化方面。</w:t>
      </w:r>
    </w:p>
    <w:p w:rsidR="00092F0A" w:rsidRDefault="00F80B3C">
      <w:pPr>
        <w:pStyle w:val="Compact"/>
        <w:numPr>
          <w:ilvl w:val="0"/>
          <w:numId w:val="10"/>
        </w:numPr>
        <w:rPr>
          <w:lang w:eastAsia="zh-CN"/>
        </w:rPr>
      </w:pPr>
      <w:r>
        <w:rPr>
          <w:lang w:eastAsia="zh-CN"/>
        </w:rPr>
        <w:t>刊发</w:t>
      </w:r>
      <w:hyperlink r:id="rId21">
        <w:r>
          <w:rPr>
            <w:lang w:eastAsia="zh-CN"/>
          </w:rPr>
          <w:t>《气候信息披露指引》</w:t>
        </w:r>
      </w:hyperlink>
      <w:r>
        <w:rPr>
          <w:lang w:eastAsia="zh-CN"/>
        </w:rPr>
        <w:t>后，推出新的多元化数据库</w:t>
      </w:r>
      <w:hyperlink r:id="rId22">
        <w:r>
          <w:rPr>
            <w:lang w:eastAsia="zh-CN"/>
          </w:rPr>
          <w:t>「聚焦董事会多元化及包容性」</w:t>
        </w:r>
      </w:hyperlink>
      <w:r>
        <w:rPr>
          <w:lang w:eastAsia="zh-CN"/>
        </w:rPr>
        <w:t>，及在</w:t>
      </w:r>
      <w:r>
        <w:rPr>
          <w:lang w:eastAsia="zh-CN"/>
        </w:rPr>
        <w:t>ESG Academy</w:t>
      </w:r>
      <w:r>
        <w:rPr>
          <w:lang w:eastAsia="zh-CN"/>
        </w:rPr>
        <w:t>加入</w:t>
      </w:r>
      <w:hyperlink r:id="rId23">
        <w:r>
          <w:rPr>
            <w:lang w:eastAsia="zh-CN"/>
          </w:rPr>
          <w:t>「实践</w:t>
        </w:r>
        <w:r>
          <w:rPr>
            <w:lang w:eastAsia="zh-CN"/>
          </w:rPr>
          <w:t>ESG</w:t>
        </w:r>
        <w:r>
          <w:rPr>
            <w:lang w:eastAsia="zh-CN"/>
          </w:rPr>
          <w:t>」</w:t>
        </w:r>
      </w:hyperlink>
      <w:r>
        <w:rPr>
          <w:lang w:eastAsia="zh-CN"/>
        </w:rPr>
        <w:t>一栏。</w:t>
      </w:r>
    </w:p>
    <w:p w:rsidR="00092F0A" w:rsidRDefault="00F80B3C">
      <w:pPr>
        <w:pStyle w:val="Compact"/>
        <w:numPr>
          <w:ilvl w:val="0"/>
          <w:numId w:val="10"/>
        </w:numPr>
        <w:rPr>
          <w:lang w:eastAsia="zh-CN"/>
        </w:rPr>
      </w:pPr>
      <w:r>
        <w:rPr>
          <w:lang w:eastAsia="zh-CN"/>
        </w:rPr>
        <w:t>刊发</w:t>
      </w:r>
      <w:hyperlink r:id="rId24">
        <w:r>
          <w:rPr>
            <w:lang w:eastAsia="zh-CN"/>
          </w:rPr>
          <w:t>《</w:t>
        </w:r>
        <w:r>
          <w:rPr>
            <w:lang w:eastAsia="zh-CN"/>
          </w:rPr>
          <w:t>2021</w:t>
        </w:r>
        <w:r>
          <w:rPr>
            <w:lang w:eastAsia="zh-CN"/>
          </w:rPr>
          <w:t>年上市委员会报告》</w:t>
        </w:r>
      </w:hyperlink>
      <w:r>
        <w:rPr>
          <w:lang w:eastAsia="zh-CN"/>
        </w:rPr>
        <w:t>，提供联交所上市委员会截至</w:t>
      </w:r>
      <w:r>
        <w:rPr>
          <w:lang w:eastAsia="zh-CN"/>
        </w:rPr>
        <w:t>2021</w:t>
      </w:r>
      <w:r>
        <w:rPr>
          <w:lang w:eastAsia="zh-CN"/>
        </w:rPr>
        <w:t>年</w:t>
      </w:r>
      <w:r>
        <w:rPr>
          <w:lang w:eastAsia="zh-CN"/>
        </w:rPr>
        <w:t>12</w:t>
      </w:r>
      <w:r>
        <w:rPr>
          <w:lang w:eastAsia="zh-CN"/>
        </w:rPr>
        <w:t>月</w:t>
      </w:r>
      <w:r>
        <w:rPr>
          <w:lang w:eastAsia="zh-CN"/>
        </w:rPr>
        <w:t>31</w:t>
      </w:r>
      <w:r>
        <w:rPr>
          <w:lang w:eastAsia="zh-CN"/>
        </w:rPr>
        <w:t>日止年度的工作报告，当中载列上市委员会计划在</w:t>
      </w:r>
      <w:r>
        <w:rPr>
          <w:lang w:eastAsia="zh-CN"/>
        </w:rPr>
        <w:t>2022</w:t>
      </w:r>
      <w:r>
        <w:rPr>
          <w:lang w:eastAsia="zh-CN"/>
        </w:rPr>
        <w:t>年及以后审理的政策议程。</w:t>
      </w:r>
    </w:p>
    <w:p w:rsidR="00092F0A" w:rsidRDefault="00F80B3C">
      <w:pPr>
        <w:pStyle w:val="Compact"/>
        <w:numPr>
          <w:ilvl w:val="0"/>
          <w:numId w:val="10"/>
        </w:numPr>
        <w:rPr>
          <w:lang w:eastAsia="zh-CN"/>
        </w:rPr>
      </w:pPr>
      <w:r>
        <w:rPr>
          <w:lang w:eastAsia="zh-CN"/>
        </w:rPr>
        <w:t>统一</w:t>
      </w:r>
      <w:hyperlink r:id="rId25">
        <w:r>
          <w:rPr>
            <w:lang w:eastAsia="zh-CN"/>
          </w:rPr>
          <w:t>主板及创业板网站</w:t>
        </w:r>
      </w:hyperlink>
      <w:r>
        <w:rPr>
          <w:lang w:eastAsia="zh-CN"/>
        </w:rPr>
        <w:t>，以统一企业品牌。</w:t>
      </w:r>
    </w:p>
    <w:p w:rsidR="00092F0A" w:rsidRDefault="00F80B3C">
      <w:pPr>
        <w:pStyle w:val="FirstParagraph"/>
        <w:rPr>
          <w:lang w:eastAsia="zh-CN"/>
        </w:rPr>
      </w:pPr>
      <w:r>
        <w:rPr>
          <w:lang w:eastAsia="zh-CN"/>
        </w:rPr>
        <w:t>香港交易所亦制作了一系列的关于香港交易所</w:t>
      </w:r>
      <w:r>
        <w:rPr>
          <w:lang w:eastAsia="zh-CN"/>
        </w:rPr>
        <w:t>《上市规则》的网上课程，为上市公司的董事、管理层及合规人员以及市场从业员及专业人士提供相关培训，内容针对短暂停牌、持续责任、须予公布的交易、关连交易、股本集资规则以及公司行动涉及的交易安排等主题。有关该等课程的更多详情载列于香港交易所</w:t>
      </w:r>
      <w:hyperlink r:id="rId26">
        <w:r>
          <w:rPr>
            <w:lang w:eastAsia="zh-CN"/>
          </w:rPr>
          <w:t>网站</w:t>
        </w:r>
      </w:hyperlink>
      <w:r>
        <w:rPr>
          <w:lang w:eastAsia="zh-CN"/>
        </w:rPr>
        <w:t>。</w:t>
      </w:r>
    </w:p>
    <w:p w:rsidR="00092F0A" w:rsidRDefault="00F80B3C">
      <w:pPr>
        <w:pStyle w:val="BodyText"/>
        <w:rPr>
          <w:lang w:eastAsia="zh-CN"/>
        </w:rPr>
      </w:pPr>
      <w:r>
        <w:rPr>
          <w:lang w:eastAsia="zh-CN"/>
        </w:rPr>
        <w:t>香港交易所未来动态</w:t>
      </w:r>
    </w:p>
    <w:p w:rsidR="00092F0A" w:rsidRDefault="00F80B3C">
      <w:pPr>
        <w:pStyle w:val="BodyText"/>
        <w:rPr>
          <w:lang w:eastAsia="zh-CN"/>
        </w:rPr>
      </w:pPr>
      <w:r>
        <w:rPr>
          <w:lang w:eastAsia="zh-CN"/>
        </w:rPr>
        <w:t>香港交易所《上市规则》中有关上市发行人的购股权计划的建议修订条文的咨</w:t>
      </w:r>
      <w:r>
        <w:rPr>
          <w:lang w:eastAsia="zh-CN"/>
        </w:rPr>
        <w:t>询总结文件于</w:t>
      </w:r>
      <w:r>
        <w:rPr>
          <w:lang w:eastAsia="zh-CN"/>
        </w:rPr>
        <w:t>2022</w:t>
      </w:r>
      <w:r>
        <w:rPr>
          <w:lang w:eastAsia="zh-CN"/>
        </w:rPr>
        <w:t>年</w:t>
      </w:r>
      <w:r>
        <w:rPr>
          <w:lang w:eastAsia="zh-CN"/>
        </w:rPr>
        <w:t>7</w:t>
      </w:r>
      <w:r>
        <w:rPr>
          <w:lang w:eastAsia="zh-CN"/>
        </w:rPr>
        <w:t>月</w:t>
      </w:r>
      <w:r>
        <w:rPr>
          <w:lang w:eastAsia="zh-CN"/>
        </w:rPr>
        <w:t>29</w:t>
      </w:r>
      <w:r>
        <w:rPr>
          <w:lang w:eastAsia="zh-CN"/>
        </w:rPr>
        <w:t>日刊发，并将于</w:t>
      </w:r>
      <w:r>
        <w:rPr>
          <w:lang w:eastAsia="zh-CN"/>
        </w:rPr>
        <w:t>2023</w:t>
      </w:r>
      <w:r>
        <w:rPr>
          <w:lang w:eastAsia="zh-CN"/>
        </w:rPr>
        <w:t>年</w:t>
      </w:r>
      <w:r>
        <w:rPr>
          <w:lang w:eastAsia="zh-CN"/>
        </w:rPr>
        <w:t>1</w:t>
      </w:r>
      <w:r>
        <w:rPr>
          <w:lang w:eastAsia="zh-CN"/>
        </w:rPr>
        <w:t>月</w:t>
      </w:r>
      <w:r>
        <w:rPr>
          <w:lang w:eastAsia="zh-CN"/>
        </w:rPr>
        <w:t>1</w:t>
      </w:r>
      <w:r>
        <w:rPr>
          <w:lang w:eastAsia="zh-CN"/>
        </w:rPr>
        <w:t>日生效。由此，香港交易所《上市规则》将予以扩展至涵盖所有涉及授予股份奖励及股份期权的购股权计划，同时亦会有已予以改善的购股权计划规例，对上市股份的摊薄效果进行管理并提供信息披露以维持更高水平的股东保护。</w:t>
      </w:r>
    </w:p>
    <w:p w:rsidR="00092F0A" w:rsidRDefault="00F80B3C">
      <w:pPr>
        <w:pStyle w:val="BodyText"/>
        <w:rPr>
          <w:lang w:eastAsia="zh-CN"/>
        </w:rPr>
      </w:pPr>
      <w:r>
        <w:rPr>
          <w:lang w:eastAsia="zh-CN"/>
        </w:rPr>
        <w:t>随着上市结构性产品市场正成为现货市场的重要一环（</w:t>
      </w:r>
      <w:r>
        <w:rPr>
          <w:lang w:eastAsia="zh-CN"/>
        </w:rPr>
        <w:t>2021</w:t>
      </w:r>
      <w:r>
        <w:rPr>
          <w:lang w:eastAsia="zh-CN"/>
        </w:rPr>
        <w:t>年平均占现货市场成交量的</w:t>
      </w:r>
      <w:r>
        <w:rPr>
          <w:lang w:eastAsia="zh-CN"/>
        </w:rPr>
        <w:t>12%</w:t>
      </w:r>
      <w:r>
        <w:rPr>
          <w:lang w:eastAsia="zh-CN"/>
        </w:rPr>
        <w:t>，或者</w:t>
      </w:r>
      <w:r>
        <w:rPr>
          <w:lang w:eastAsia="zh-CN"/>
        </w:rPr>
        <w:t>201</w:t>
      </w:r>
      <w:r>
        <w:rPr>
          <w:lang w:eastAsia="zh-CN"/>
        </w:rPr>
        <w:t>亿港元成交额），香港交易所亦认为有必要检讨结构性产品制度。由于现行的结构性产品制度上一次的检讨已经是十多年前（</w:t>
      </w:r>
      <w:r>
        <w:rPr>
          <w:lang w:eastAsia="zh-CN"/>
        </w:rPr>
        <w:t>2006</w:t>
      </w:r>
      <w:r>
        <w:rPr>
          <w:lang w:eastAsia="zh-CN"/>
        </w:rPr>
        <w:t>年），香港交易所上市科现正检讨《</w:t>
      </w:r>
      <w:r>
        <w:rPr>
          <w:lang w:eastAsia="zh-CN"/>
        </w:rPr>
        <w:t>主板上市规则》第</w:t>
      </w:r>
      <w:r>
        <w:rPr>
          <w:lang w:eastAsia="zh-CN"/>
        </w:rPr>
        <w:t>15A</w:t>
      </w:r>
      <w:r>
        <w:rPr>
          <w:lang w:eastAsia="zh-CN"/>
        </w:rPr>
        <w:t>章，以更新当中条文并确保紧贴市场发展。有关改动包括提升上市标准、促进产品发行及建立更兼容并蓄的制度促进新产品开发。</w:t>
      </w:r>
    </w:p>
    <w:p w:rsidR="00092F0A" w:rsidRDefault="00F80B3C">
      <w:pPr>
        <w:pStyle w:val="BodyText"/>
        <w:rPr>
          <w:lang w:eastAsia="zh-CN"/>
        </w:rPr>
      </w:pPr>
      <w:hyperlink w:anchor="footnote-598-1-backlink">
        <w:r>
          <w:rPr>
            <w:lang w:eastAsia="zh-CN"/>
          </w:rPr>
          <w:t>1</w:t>
        </w:r>
      </w:hyperlink>
      <w:r>
        <w:rPr>
          <w:lang w:eastAsia="zh-CN"/>
        </w:rPr>
        <w:t xml:space="preserve"> </w:t>
      </w:r>
      <w:r>
        <w:rPr>
          <w:lang w:eastAsia="zh-CN"/>
        </w:rPr>
        <w:t>漂绿是一种营销方式，指公司欺骗性地声称或宣传该公司的产品或政策属环境友好型，以图提高公众对其品牌或产品的认知度</w:t>
      </w:r>
    </w:p>
    <w:p w:rsidR="00092F0A" w:rsidRDefault="00F80B3C">
      <w:pPr>
        <w:pStyle w:val="BodyText"/>
        <w:rPr>
          <w:lang w:eastAsia="zh-CN"/>
        </w:rPr>
      </w:pPr>
      <w:hyperlink w:anchor="footnote-598-2-backlink">
        <w:r>
          <w:rPr>
            <w:lang w:eastAsia="zh-CN"/>
          </w:rPr>
          <w:t>2</w:t>
        </w:r>
      </w:hyperlink>
      <w:r>
        <w:rPr>
          <w:lang w:eastAsia="zh-CN"/>
        </w:rPr>
        <w:t xml:space="preserve"> </w:t>
      </w:r>
      <w:r>
        <w:rPr>
          <w:lang w:eastAsia="zh-CN"/>
        </w:rPr>
        <w:t>金融稳定理事会设立气候相关财务披露工作小组（</w:t>
      </w:r>
      <w:r>
        <w:rPr>
          <w:b/>
          <w:lang w:eastAsia="zh-CN"/>
        </w:rPr>
        <w:t>TCFD</w:t>
      </w:r>
      <w:r>
        <w:rPr>
          <w:lang w:eastAsia="zh-CN"/>
        </w:rPr>
        <w:t>），旨在改善及增加气候相关财务资料的汇报。此工作小组的建议围绕</w:t>
      </w:r>
      <w:r>
        <w:rPr>
          <w:lang w:eastAsia="zh-CN"/>
        </w:rPr>
        <w:t>4</w:t>
      </w:r>
      <w:r>
        <w:rPr>
          <w:lang w:eastAsia="zh-CN"/>
        </w:rPr>
        <w:t>个核心元素：管治、策略、风险管理，以及指针和目标。</w:t>
      </w:r>
      <w:hyperlink r:id="rId27">
        <w:r>
          <w:rPr>
            <w:lang w:eastAsia="zh-CN"/>
          </w:rPr>
          <w:t>《有关发出可持续及气候相关信息披露的意见征求稿的公告》</w:t>
        </w:r>
      </w:hyperlink>
      <w:r>
        <w:rPr>
          <w:lang w:eastAsia="zh-CN"/>
        </w:rPr>
        <w:t>即为由国际财务报告准则基金会刊发的建议，以制定可持续性信息披露的一个综合性全球基线。</w:t>
      </w:r>
    </w:p>
    <w:p w:rsidR="00092F0A" w:rsidRDefault="00F80B3C">
      <w:pPr>
        <w:pStyle w:val="BodyText"/>
        <w:rPr>
          <w:lang w:eastAsia="zh-CN"/>
        </w:rPr>
      </w:pPr>
      <w:hyperlink w:anchor="footnote-598-3-backlink">
        <w:r>
          <w:rPr>
            <w:lang w:eastAsia="zh-CN"/>
          </w:rPr>
          <w:t>3</w:t>
        </w:r>
      </w:hyperlink>
      <w:r>
        <w:rPr>
          <w:lang w:eastAsia="zh-CN"/>
        </w:rPr>
        <w:t xml:space="preserve"> </w:t>
      </w:r>
      <w:r>
        <w:rPr>
          <w:lang w:eastAsia="zh-CN"/>
        </w:rPr>
        <w:t>香港自有的绿色和可持续金融跨机构督导小组在</w:t>
      </w:r>
      <w:r>
        <w:rPr>
          <w:lang w:eastAsia="zh-CN"/>
        </w:rPr>
        <w:t>2020</w:t>
      </w:r>
      <w:r>
        <w:rPr>
          <w:lang w:eastAsia="zh-CN"/>
        </w:rPr>
        <w:t>年</w:t>
      </w:r>
      <w:r>
        <w:rPr>
          <w:lang w:eastAsia="zh-CN"/>
        </w:rPr>
        <w:t>5</w:t>
      </w:r>
      <w:r>
        <w:rPr>
          <w:lang w:eastAsia="zh-CN"/>
        </w:rPr>
        <w:t>月成立，旨在协调金融业针对气候和环境风险的措施应对，加快香港绿色和可持续金融的发展，并支持政府的气候策略。有关香港碳中和的目标计划的《行政长官</w:t>
      </w:r>
      <w:r>
        <w:rPr>
          <w:lang w:eastAsia="zh-CN"/>
        </w:rPr>
        <w:t>2021</w:t>
      </w:r>
      <w:r>
        <w:rPr>
          <w:lang w:eastAsia="zh-CN"/>
        </w:rPr>
        <w:t>年施政报告》载列于</w:t>
      </w:r>
      <w:hyperlink r:id="rId28">
        <w:r>
          <w:rPr>
            <w:lang w:eastAsia="zh-CN"/>
          </w:rPr>
          <w:t>此处</w:t>
        </w:r>
      </w:hyperlink>
      <w:r>
        <w:rPr>
          <w:lang w:eastAsia="zh-CN"/>
        </w:rPr>
        <w:t>，而《香港气候行动蓝图</w:t>
      </w:r>
      <w:r>
        <w:rPr>
          <w:lang w:eastAsia="zh-CN"/>
        </w:rPr>
        <w:t>2050</w:t>
      </w:r>
      <w:r>
        <w:rPr>
          <w:lang w:eastAsia="zh-CN"/>
        </w:rPr>
        <w:t>》载列于</w:t>
      </w:r>
      <w:hyperlink r:id="rId29">
        <w:r>
          <w:rPr>
            <w:lang w:eastAsia="zh-CN"/>
          </w:rPr>
          <w:t>此处</w:t>
        </w:r>
      </w:hyperlink>
      <w:r>
        <w:rPr>
          <w:lang w:eastAsia="zh-CN"/>
        </w:rPr>
        <w:t>。</w:t>
      </w:r>
    </w:p>
    <w:p w:rsidR="00092F0A" w:rsidRDefault="00F80B3C">
      <w:pPr>
        <w:pStyle w:val="BodyText"/>
        <w:rPr>
          <w:lang w:eastAsia="zh-CN"/>
        </w:rPr>
      </w:pPr>
      <w:hyperlink w:anchor="footnote-598-4-backlink">
        <w:r>
          <w:rPr>
            <w:lang w:eastAsia="zh-CN"/>
          </w:rPr>
          <w:t>4</w:t>
        </w:r>
      </w:hyperlink>
      <w:r>
        <w:rPr>
          <w:lang w:eastAsia="zh-CN"/>
        </w:rPr>
        <w:t xml:space="preserve"> </w:t>
      </w:r>
      <w:r>
        <w:rPr>
          <w:lang w:eastAsia="zh-CN"/>
        </w:rPr>
        <w:t>香港交易所</w:t>
      </w:r>
      <w:r>
        <w:rPr>
          <w:lang w:eastAsia="zh-CN"/>
        </w:rPr>
        <w:t>的</w:t>
      </w:r>
      <w:r>
        <w:rPr>
          <w:lang w:eastAsia="zh-CN"/>
        </w:rPr>
        <w:t>ESG Academy</w:t>
      </w:r>
      <w:r>
        <w:rPr>
          <w:lang w:eastAsia="zh-CN"/>
        </w:rPr>
        <w:t>旨在为上市公司及业界提供支持、指导及教育，帮助他们实现可持续发展目标。《气候信息披露指引》可于</w:t>
      </w:r>
      <w:hyperlink r:id="rId30">
        <w:r>
          <w:rPr>
            <w:lang w:eastAsia="zh-CN"/>
          </w:rPr>
          <w:t>此处</w:t>
        </w:r>
      </w:hyperlink>
      <w:r>
        <w:rPr>
          <w:lang w:eastAsia="zh-CN"/>
        </w:rPr>
        <w:t>获取，而实践</w:t>
      </w:r>
      <w:r>
        <w:rPr>
          <w:lang w:eastAsia="zh-CN"/>
        </w:rPr>
        <w:t>ESG</w:t>
      </w:r>
      <w:r>
        <w:rPr>
          <w:lang w:eastAsia="zh-CN"/>
        </w:rPr>
        <w:t>部分载列于</w:t>
      </w:r>
      <w:hyperlink r:id="rId31">
        <w:r>
          <w:rPr>
            <w:lang w:eastAsia="zh-CN"/>
          </w:rPr>
          <w:t>此处</w:t>
        </w:r>
      </w:hyperlink>
      <w:r>
        <w:rPr>
          <w:lang w:eastAsia="zh-CN"/>
        </w:rPr>
        <w:t>。</w:t>
      </w:r>
    </w:p>
    <w:p w:rsidR="00092F0A" w:rsidRDefault="00F80B3C">
      <w:pPr>
        <w:pStyle w:val="BodyText"/>
      </w:pPr>
      <w:hyperlink w:anchor="footnote-598-5-backlink">
        <w:r>
          <w:t>5</w:t>
        </w:r>
      </w:hyperlink>
      <w:r>
        <w:t xml:space="preserve"> </w:t>
      </w:r>
      <w:hyperlink r:id="rId32">
        <w:r>
          <w:t>https://ghgprotocol.org/sites/default/files/standards/Scope3_Calculation_Guidance_0.pdf</w:t>
        </w:r>
      </w:hyperlink>
    </w:p>
    <w:p w:rsidR="00092F0A" w:rsidRDefault="00F80B3C">
      <w:pPr>
        <w:pStyle w:val="BodyText"/>
        <w:rPr>
          <w:lang w:eastAsia="zh-CN"/>
        </w:rPr>
      </w:pPr>
      <w:hyperlink w:anchor="footnote-598-6-backlink">
        <w:r>
          <w:rPr>
            <w:lang w:eastAsia="zh-CN"/>
          </w:rPr>
          <w:t>6</w:t>
        </w:r>
      </w:hyperlink>
      <w:r>
        <w:rPr>
          <w:lang w:eastAsia="zh-CN"/>
        </w:rPr>
        <w:t xml:space="preserve"> </w:t>
      </w:r>
      <w:r>
        <w:rPr>
          <w:lang w:eastAsia="zh-CN"/>
        </w:rPr>
        <w:t>该</w:t>
      </w:r>
      <w:r>
        <w:rPr>
          <w:lang w:eastAsia="zh-CN"/>
        </w:rPr>
        <w:t>15</w:t>
      </w:r>
      <w:r>
        <w:rPr>
          <w:lang w:eastAsia="zh-CN"/>
        </w:rPr>
        <w:t>个类别为：购买的产品和服务、资本产品、与燃料和能源有关的活动（未包括在范围</w:t>
      </w:r>
      <w:r>
        <w:rPr>
          <w:lang w:eastAsia="zh-CN"/>
        </w:rPr>
        <w:t>1</w:t>
      </w:r>
      <w:r>
        <w:rPr>
          <w:lang w:eastAsia="zh-CN"/>
        </w:rPr>
        <w:t>或</w:t>
      </w:r>
      <w:r>
        <w:rPr>
          <w:lang w:eastAsia="zh-CN"/>
        </w:rPr>
        <w:t>2</w:t>
      </w:r>
      <w:r>
        <w:rPr>
          <w:lang w:eastAsia="zh-CN"/>
        </w:rPr>
        <w:t>中者）、上游的运输和配送、营运中产生的废物、商务旅行、员工通勤、上游租赁资产、下</w:t>
      </w:r>
      <w:r>
        <w:rPr>
          <w:lang w:eastAsia="zh-CN"/>
        </w:rPr>
        <w:lastRenderedPageBreak/>
        <w:t>游的运输和配送、售出产品的加工、售出产品的使用、售出产品的最终处理、下游租赁资产、特许经营及投资</w:t>
      </w:r>
    </w:p>
    <w:p w:rsidR="00092F0A" w:rsidRDefault="00F80B3C">
      <w:pPr>
        <w:pStyle w:val="BodyText"/>
        <w:rPr>
          <w:lang w:eastAsia="zh-CN"/>
        </w:rPr>
      </w:pPr>
      <w:hyperlink w:anchor="footnote-598-7-backlink">
        <w:r>
          <w:rPr>
            <w:lang w:eastAsia="zh-CN"/>
          </w:rPr>
          <w:t>7</w:t>
        </w:r>
      </w:hyperlink>
      <w:r>
        <w:rPr>
          <w:lang w:eastAsia="zh-CN"/>
        </w:rPr>
        <w:t xml:space="preserve"> SPAC</w:t>
      </w:r>
      <w:r>
        <w:rPr>
          <w:lang w:eastAsia="zh-CN"/>
        </w:rPr>
        <w:t>的发起人具有香港交易所《上市规则》第</w:t>
      </w:r>
      <w:r>
        <w:rPr>
          <w:lang w:eastAsia="zh-CN"/>
        </w:rPr>
        <w:t>18B.10</w:t>
      </w:r>
      <w:r>
        <w:rPr>
          <w:lang w:eastAsia="zh-CN"/>
        </w:rPr>
        <w:t>及</w:t>
      </w:r>
      <w:r>
        <w:rPr>
          <w:lang w:eastAsia="zh-CN"/>
        </w:rPr>
        <w:t>18B.11</w:t>
      </w:r>
      <w:r>
        <w:rPr>
          <w:lang w:eastAsia="zh-CN"/>
        </w:rPr>
        <w:t>条的涵义</w:t>
      </w:r>
    </w:p>
    <w:p w:rsidR="00092F0A" w:rsidRDefault="00F80B3C">
      <w:pPr>
        <w:pStyle w:val="BodyText"/>
        <w:rPr>
          <w:lang w:eastAsia="zh-CN"/>
        </w:rPr>
      </w:pPr>
      <w:hyperlink w:anchor="footnote-598-8-backlink">
        <w:r>
          <w:rPr>
            <w:lang w:eastAsia="zh-CN"/>
          </w:rPr>
          <w:t>8</w:t>
        </w:r>
      </w:hyperlink>
      <w:r>
        <w:rPr>
          <w:lang w:eastAsia="zh-CN"/>
        </w:rPr>
        <w:t xml:space="preserve"> SPAC</w:t>
      </w:r>
      <w:r>
        <w:rPr>
          <w:lang w:eastAsia="zh-CN"/>
        </w:rPr>
        <w:t>并购交易指</w:t>
      </w:r>
      <w:r>
        <w:rPr>
          <w:lang w:eastAsia="zh-CN"/>
        </w:rPr>
        <w:t>SPAC</w:t>
      </w:r>
      <w:r>
        <w:rPr>
          <w:lang w:eastAsia="zh-CN"/>
        </w:rPr>
        <w:t>收购</w:t>
      </w:r>
      <w:r>
        <w:rPr>
          <w:lang w:eastAsia="zh-CN"/>
        </w:rPr>
        <w:t>SPAC</w:t>
      </w:r>
      <w:r>
        <w:rPr>
          <w:lang w:eastAsia="zh-CN"/>
        </w:rPr>
        <w:t>并购目标或与之进行业务合并，而最终促成继承公司</w:t>
      </w:r>
      <w:r>
        <w:rPr>
          <w:lang w:eastAsia="zh-CN"/>
        </w:rPr>
        <w:t>(SPAC</w:t>
      </w:r>
      <w:r>
        <w:rPr>
          <w:lang w:eastAsia="zh-CN"/>
        </w:rPr>
        <w:t>并购交易完成后产生的上市发行人</w:t>
      </w:r>
      <w:r>
        <w:rPr>
          <w:lang w:eastAsia="zh-CN"/>
        </w:rPr>
        <w:t>)</w:t>
      </w:r>
      <w:r>
        <w:rPr>
          <w:lang w:eastAsia="zh-CN"/>
        </w:rPr>
        <w:t>上市（香港交易所《上市规则》第</w:t>
      </w:r>
      <w:r>
        <w:rPr>
          <w:lang w:eastAsia="zh-CN"/>
        </w:rPr>
        <w:t>18B.01</w:t>
      </w:r>
      <w:r>
        <w:rPr>
          <w:lang w:eastAsia="zh-CN"/>
        </w:rPr>
        <w:t>条）</w:t>
      </w:r>
    </w:p>
    <w:p w:rsidR="00092F0A" w:rsidRDefault="00F80B3C">
      <w:pPr>
        <w:pStyle w:val="BodyText"/>
        <w:rPr>
          <w:lang w:eastAsia="zh-CN"/>
        </w:rPr>
      </w:pPr>
      <w:hyperlink w:anchor="footnote-598-9-backlink">
        <w:r>
          <w:rPr>
            <w:lang w:eastAsia="zh-CN"/>
          </w:rPr>
          <w:t>9</w:t>
        </w:r>
      </w:hyperlink>
      <w:r>
        <w:rPr>
          <w:lang w:eastAsia="zh-CN"/>
        </w:rPr>
        <w:t xml:space="preserve"> SPAC</w:t>
      </w:r>
      <w:r>
        <w:rPr>
          <w:lang w:eastAsia="zh-CN"/>
        </w:rPr>
        <w:t>并购目标指</w:t>
      </w:r>
      <w:r>
        <w:rPr>
          <w:lang w:eastAsia="zh-CN"/>
        </w:rPr>
        <w:t>SPAC</w:t>
      </w:r>
      <w:r>
        <w:rPr>
          <w:lang w:eastAsia="zh-CN"/>
        </w:rPr>
        <w:t>并购交易的目标公司（香港交易所《上市规则》第</w:t>
      </w:r>
      <w:r>
        <w:rPr>
          <w:lang w:eastAsia="zh-CN"/>
        </w:rPr>
        <w:t>18B.01</w:t>
      </w:r>
      <w:r>
        <w:rPr>
          <w:lang w:eastAsia="zh-CN"/>
        </w:rPr>
        <w:t>条）</w:t>
      </w:r>
    </w:p>
    <w:p w:rsidR="00092F0A" w:rsidRDefault="00F80B3C">
      <w:pPr>
        <w:pStyle w:val="BodyText"/>
        <w:rPr>
          <w:lang w:eastAsia="zh-CN"/>
        </w:rPr>
      </w:pPr>
      <w:hyperlink w:anchor="footnote-598-10-backlink">
        <w:r>
          <w:rPr>
            <w:lang w:eastAsia="zh-CN"/>
          </w:rPr>
          <w:t>10</w:t>
        </w:r>
      </w:hyperlink>
      <w:r>
        <w:rPr>
          <w:lang w:eastAsia="zh-CN"/>
        </w:rPr>
        <w:t xml:space="preserve"> </w:t>
      </w:r>
      <w:hyperlink r:id="rId33">
        <w:r>
          <w:rPr>
            <w:lang w:eastAsia="zh-CN"/>
          </w:rPr>
          <w:t>《证券及期货事务监察委员会持牌人或注册人操守准则》</w:t>
        </w:r>
      </w:hyperlink>
    </w:p>
    <w:p w:rsidR="00092F0A" w:rsidRDefault="00F80B3C">
      <w:pPr>
        <w:pStyle w:val="DisclaimerBold"/>
        <w:rPr>
          <w:lang w:eastAsia="zh-CN"/>
        </w:rPr>
      </w:pPr>
      <w:r>
        <w:rPr>
          <w:lang w:eastAsia="zh-CN"/>
        </w:rPr>
        <w:t>此法讯仅为提供相关资料信息之用，其内容并</w:t>
      </w:r>
    </w:p>
    <w:p w:rsidR="00092F0A" w:rsidRDefault="00F80B3C">
      <w:pPr>
        <w:pStyle w:val="Disclaimer"/>
        <w:rPr>
          <w:lang w:eastAsia="zh-CN"/>
        </w:rPr>
      </w:pPr>
      <w:r>
        <w:rPr>
          <w:lang w:eastAsia="zh-CN"/>
        </w:rPr>
        <w:t>不构成法律建议及个案的法律分析。</w:t>
      </w:r>
    </w:p>
    <w:p w:rsidR="00092F0A" w:rsidRDefault="00F80B3C">
      <w:pPr>
        <w:pStyle w:val="Disclaimer"/>
        <w:rPr>
          <w:lang w:eastAsia="zh-CN"/>
        </w:rPr>
      </w:pPr>
      <w:r>
        <w:rPr>
          <w:lang w:eastAsia="zh-CN"/>
        </w:rPr>
        <w:t>此法讯的发送并不是为了在易周律师行与用户或浏览者之间建立一种律师与客户之关系。</w:t>
      </w:r>
    </w:p>
    <w:p w:rsidR="00092F0A" w:rsidRDefault="00F80B3C">
      <w:pPr>
        <w:pStyle w:val="Disclaimer"/>
        <w:rPr>
          <w:lang w:eastAsia="zh-CN"/>
        </w:rPr>
      </w:pPr>
      <w:r>
        <w:rPr>
          <w:lang w:eastAsia="zh-CN"/>
        </w:rPr>
        <w:t>易周律师行并不对可从</w:t>
      </w:r>
      <w:r>
        <w:rPr>
          <w:lang w:eastAsia="zh-CN"/>
        </w:rPr>
        <w:t>互联网获得的任何第三方内容负责。</w:t>
      </w:r>
    </w:p>
    <w:p w:rsidR="00092F0A" w:rsidRDefault="00F80B3C">
      <w:pPr>
        <w:pStyle w:val="Disclaimer"/>
        <w:rPr>
          <w:lang w:eastAsia="zh-CN"/>
        </w:rPr>
      </w:pPr>
      <w:r>
        <w:rPr>
          <w:lang w:eastAsia="zh-CN"/>
        </w:rPr>
        <w:t>如你不希望再收到易周法讯，请发送电邮至</w:t>
      </w:r>
      <w:r>
        <w:rPr>
          <w:lang w:eastAsia="zh-CN"/>
        </w:rPr>
        <w:t xml:space="preserve">  </w:t>
      </w:r>
      <w:hyperlink r:id="rId34">
        <w:r>
          <w:rPr>
            <w:lang w:eastAsia="zh-CN"/>
          </w:rPr>
          <w:t>unsubscribe@charltonslaw.com</w:t>
        </w:r>
      </w:hyperlink>
    </w:p>
    <w:p w:rsidR="00092F0A" w:rsidRDefault="00F80B3C">
      <w:pPr>
        <w:pStyle w:val="BlackStrips"/>
      </w:pPr>
      <w:r>
        <w:t xml:space="preserve">Charltons - </w:t>
      </w:r>
      <w:r>
        <w:t>香港法律</w:t>
      </w:r>
      <w:r>
        <w:t xml:space="preserve"> - 2023</w:t>
      </w:r>
      <w:r>
        <w:t>年</w:t>
      </w:r>
      <w:r>
        <w:t>3</w:t>
      </w:r>
      <w:r>
        <w:t>月</w:t>
      </w:r>
      <w:r>
        <w:t>17</w:t>
      </w:r>
      <w:r>
        <w:t>日</w:t>
      </w:r>
    </w:p>
    <w:sectPr w:rsidR="00092F0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80B3C">
      <w:pPr>
        <w:spacing w:after="0"/>
      </w:pPr>
      <w:r>
        <w:separator/>
      </w:r>
    </w:p>
  </w:endnote>
  <w:endnote w:type="continuationSeparator" w:id="0">
    <w:p w:rsidR="00000000" w:rsidRDefault="00F8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F0A" w:rsidRDefault="00F80B3C">
      <w:r>
        <w:separator/>
      </w:r>
    </w:p>
  </w:footnote>
  <w:footnote w:type="continuationSeparator" w:id="0">
    <w:p w:rsidR="00092F0A" w:rsidRDefault="00F8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5F69364"/>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10DE99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9BE8BD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D8525D1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92F0A"/>
    <w:rsid w:val="004E29B3"/>
    <w:rsid w:val="00590D07"/>
    <w:rsid w:val="00784D58"/>
    <w:rsid w:val="008D6863"/>
    <w:rsid w:val="00B86B75"/>
    <w:rsid w:val="00BC48D5"/>
    <w:rsid w:val="00C36279"/>
    <w:rsid w:val="00E315A3"/>
    <w:rsid w:val="00F80B3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D4E"/>
  <w15:docId w15:val="{98A9E728-3341-4440-A266-E61AE0AE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hkexnews.hk/listedco/listconews/sehk/2022/0314/2022031400008_c.pdf" TargetMode="External"/><Relationship Id="rId18" Type="http://schemas.openxmlformats.org/officeDocument/2006/relationships/hyperlink" Target="https://cn-rules.hkex.com.hk/sites/default/files/net_file_store/FAQ_077-2022_c.pdf" TargetMode="External"/><Relationship Id="rId26" Type="http://schemas.openxmlformats.org/officeDocument/2006/relationships/hyperlink" Target="https://www.hkex.com.hk/Listing/Listed-Issuers/e-Learning?sc_lang=zh-HK" TargetMode="External"/><Relationship Id="rId3" Type="http://schemas.openxmlformats.org/officeDocument/2006/relationships/settings" Target="settings.xml"/><Relationship Id="rId21" Type="http://schemas.openxmlformats.org/officeDocument/2006/relationships/hyperlink" Target="https://www.hkex.com.hk/-/media/HKEX-Market/Listing/Rules-and-Guidance/Environmental-Social-and-Governance/Exchanges-guidance-materials-on-ESG/guidance_climate_disclosures_c.pdf" TargetMode="External"/><Relationship Id="rId34" Type="http://schemas.openxmlformats.org/officeDocument/2006/relationships/hyperlink" Target="mailto:unsubscribe@charltonslaw.com?subject=unsubscribe%20-Hong%20Kong%20Law-" TargetMode="External"/><Relationship Id="rId7" Type="http://schemas.openxmlformats.org/officeDocument/2006/relationships/hyperlink" Target="http://www.charltonslaw.com.cn/xiang-gang-jiao-yi-suo-geng-xin-qi-hou-xin-xi-pi-lu-biao-zhun" TargetMode="External"/><Relationship Id="rId12" Type="http://schemas.openxmlformats.org/officeDocument/2006/relationships/hyperlink" Target="https://www.charltonslaw.com.cn/xiang-gang-lian-jiao-suo-xin-de-te-shu-mu-di-shou-gou-gong-si-shang-shi-zhi-du-gai-shu/" TargetMode="External"/><Relationship Id="rId17" Type="http://schemas.openxmlformats.org/officeDocument/2006/relationships/hyperlink" Target="https://cn-rules.hkex.com.hk/sites/default/files/net_file_store/Update_137_Attachment1.pdf" TargetMode="External"/><Relationship Id="rId25" Type="http://schemas.openxmlformats.org/officeDocument/2006/relationships/hyperlink" Target="https://www.hkex.com.hk/?sc_lang=zh-HK" TargetMode="External"/><Relationship Id="rId33" Type="http://schemas.openxmlformats.org/officeDocument/2006/relationships/hyperlink" Target="https://www.sfc.hk/-/media/TC/assets/components/codes/files-current/Code_of_conduct_05082022_Chi.pdf?rev=1567434272a04523b7e9c6343aebb57e" TargetMode="External"/><Relationship Id="rId2" Type="http://schemas.openxmlformats.org/officeDocument/2006/relationships/styles" Target="styles.xml"/><Relationship Id="rId16" Type="http://schemas.openxmlformats.org/officeDocument/2006/relationships/hyperlink" Target="https://www.hkex.com.hk/-/media/HKEX-Market/News/Market-Consultations/2016-Present/October-2021-Share-Schemes/Consultation-Paper/cp202110_c.pdf?la=en" TargetMode="External"/><Relationship Id="rId20" Type="http://schemas.openxmlformats.org/officeDocument/2006/relationships/hyperlink" Target="https://www.hkex.com.hk/-/media/HKEX-Market/News/Market-Consultations/2016-Present/April-2021-Review-of-CG-Code-and-LR/Conclusions-(Dec-2021)/cp202104cc_c.pdf?la=en" TargetMode="External"/><Relationship Id="rId29" Type="http://schemas.openxmlformats.org/officeDocument/2006/relationships/hyperlink" Target="https://www.info.gov.hk/gia/general/202110/08/P2021100800569.htm?fontSize=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hgprotocol.org/sites/default/files/standards/Scope3_Calculation_Guidance_0.pdf" TargetMode="External"/><Relationship Id="rId24" Type="http://schemas.openxmlformats.org/officeDocument/2006/relationships/hyperlink" Target="https://www.hkex.com.hk/-/media/HKEX-Market/Listing/How-We-Regulate/Listing-Committee/Listing-Committee-Report/AnnualRpt_2021dec_c.pdf" TargetMode="External"/><Relationship Id="rId32" Type="http://schemas.openxmlformats.org/officeDocument/2006/relationships/hyperlink" Target="https://ghgprotocol.org/sites/default/files/standards/Scope3_Calculation_Guidance_0.pdf" TargetMode="External"/><Relationship Id="rId5" Type="http://schemas.openxmlformats.org/officeDocument/2006/relationships/footnotes" Target="footnotes.xml"/><Relationship Id="rId15" Type="http://schemas.openxmlformats.org/officeDocument/2006/relationships/hyperlink" Target="https://www.hkex.com.hk/-/media/HKEX-Market/News/Market-Consultations/2016-Present/March-2021-Listing-Regime/Conclusions-(Nov-2021)/cp202103cc_c.pdf?la=en" TargetMode="External"/><Relationship Id="rId23" Type="http://schemas.openxmlformats.org/officeDocument/2006/relationships/hyperlink" Target="https://www.hkex.com.hk/Listing/Sustainability/ESG-Academy/ESG-in-Practice?sc_lang=zh-HK" TargetMode="External"/><Relationship Id="rId28" Type="http://schemas.openxmlformats.org/officeDocument/2006/relationships/hyperlink" Target="https://www.policyaddress.gov.hk/2021/chi/p95.html" TargetMode="External"/><Relationship Id="rId36" Type="http://schemas.openxmlformats.org/officeDocument/2006/relationships/theme" Target="theme/theme1.xml"/><Relationship Id="rId10" Type="http://schemas.openxmlformats.org/officeDocument/2006/relationships/hyperlink" Target="https://www.hkex.com.hk/-/media/HKEX-Market/Listing/Rules-and-Guidance/Environmental-Social-and-Governance/Exchanges-guidance-materials-on-ESG/app2_envirokpis_c.pdf" TargetMode="External"/><Relationship Id="rId19" Type="http://schemas.openxmlformats.org/officeDocument/2006/relationships/hyperlink" Target="https://www.charltonslaw.com.cn/xiang-gang-jiao-yi-suo-shang-shi-gui-ze-you-guan-bu-ji-jian-dang-ji-pei-shou-huo-dong-de-xiu-ding/" TargetMode="External"/><Relationship Id="rId31" Type="http://schemas.openxmlformats.org/officeDocument/2006/relationships/hyperlink" Target="https://www.hkex.com.hk/Listing/Sustainability/ESG-Academy/ESG-in-Practice?sc_lang=zh-HK" TargetMode="External"/><Relationship Id="rId4" Type="http://schemas.openxmlformats.org/officeDocument/2006/relationships/webSettings" Target="webSettings.xml"/><Relationship Id="rId9" Type="http://schemas.openxmlformats.org/officeDocument/2006/relationships/hyperlink" Target="https://www.ifrs.org/content/dam/ifrs/project/climate-related-disclosures/issb-exposure-draft-2022-2-climate-related-disclosures.pdf" TargetMode="External"/><Relationship Id="rId14" Type="http://schemas.openxmlformats.org/officeDocument/2006/relationships/hyperlink" Target="https://www.hkex.com.hk/-/media/HKEX-Market/News/Market-Consultations/2016-Present/September-2021-Special-Purpose-Acquisition-Co/Conclusions-(Dec-2021)/cp202109cc_c.pdf?la=en" TargetMode="External"/><Relationship Id="rId22" Type="http://schemas.openxmlformats.org/officeDocument/2006/relationships/hyperlink" Target="https://www.hkex.com.hk/chi/BoardDiversity/index_c.htm" TargetMode="External"/><Relationship Id="rId27" Type="http://schemas.openxmlformats.org/officeDocument/2006/relationships/hyperlink" Target="https://www.ifrs.org/news-and-events/news/2022/03/issb-delivers-proposals-that-create-comprehensive-global-baseline-of-sustainability-disclosures/?utm_medium=email&amp;utm_source=website-follows-alert&amp;utm_campaign=immediate" TargetMode="External"/><Relationship Id="rId30" Type="http://schemas.openxmlformats.org/officeDocument/2006/relationships/hyperlink" Target="https://www.hkex.com.hk/-/media/HKEX-Market/Listing/Rules-and-Guidance/Environmental-Social-and-Governance/Exchanges-guidance-materials-on-ESG/guidance_climate_disclosures_c.pdf?la=zh"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1455</Words>
  <Characters>8299</Characters>
  <Application>Microsoft Office Word</Application>
  <DocSecurity>0</DocSecurity>
  <Lines>69</Lines>
  <Paragraphs>19</Paragraphs>
  <ScaleCrop>false</ScaleCrop>
  <Company>Charltons</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2023-03-17T07:08:00Z</dcterms:created>
  <dcterms:modified xsi:type="dcterms:W3CDTF">2023-03-17T07:09:00Z</dcterms:modified>
</cp:coreProperties>
</file>