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113" w:rsidRDefault="009729D0">
      <w:pPr>
        <w:pStyle w:val="BlackStrips"/>
      </w:pPr>
      <w:r>
        <w:t xml:space="preserve">Charltons - </w:t>
      </w:r>
      <w:r>
        <w:t>香港法律</w:t>
      </w:r>
      <w:r>
        <w:t xml:space="preserve"> - 2023</w:t>
      </w:r>
      <w:r>
        <w:t>年</w:t>
      </w:r>
      <w:r>
        <w:t>4</w:t>
      </w:r>
      <w:r>
        <w:t>月</w:t>
      </w:r>
      <w:r>
        <w:t>12</w:t>
      </w:r>
      <w:r>
        <w:t>日</w:t>
      </w:r>
    </w:p>
    <w:p w:rsidR="00A64113" w:rsidRDefault="009729D0">
      <w:pPr>
        <w:pStyle w:val="ReadOnline"/>
      </w:pPr>
      <w:hyperlink r:id="rId7">
        <w:r>
          <w:t>online version</w:t>
        </w:r>
      </w:hyperlink>
    </w:p>
    <w:p w:rsidR="00A64113" w:rsidRDefault="009729D0">
      <w:pPr>
        <w:pStyle w:val="Title"/>
        <w:rPr>
          <w:lang w:eastAsia="zh-CN"/>
        </w:rPr>
      </w:pPr>
      <w:r>
        <w:rPr>
          <w:lang w:eastAsia="zh-CN"/>
        </w:rPr>
        <w:t>香港交易所及证监会于</w:t>
      </w:r>
      <w:r>
        <w:rPr>
          <w:lang w:eastAsia="zh-CN"/>
        </w:rPr>
        <w:t>2022</w:t>
      </w:r>
      <w:r>
        <w:rPr>
          <w:lang w:eastAsia="zh-CN"/>
        </w:rPr>
        <w:t>年</w:t>
      </w:r>
      <w:r>
        <w:rPr>
          <w:lang w:eastAsia="zh-CN"/>
        </w:rPr>
        <w:t>6</w:t>
      </w:r>
      <w:r>
        <w:rPr>
          <w:lang w:eastAsia="zh-CN"/>
        </w:rPr>
        <w:t>月份及</w:t>
      </w:r>
      <w:r>
        <w:rPr>
          <w:lang w:eastAsia="zh-CN"/>
        </w:rPr>
        <w:t>7</w:t>
      </w:r>
      <w:r>
        <w:rPr>
          <w:lang w:eastAsia="zh-CN"/>
        </w:rPr>
        <w:t>月份采取的纪律行动</w:t>
      </w:r>
    </w:p>
    <w:p w:rsidR="00A64113" w:rsidRDefault="009729D0">
      <w:pPr>
        <w:pStyle w:val="FirstParagraph"/>
        <w:rPr>
          <w:lang w:eastAsia="zh-CN"/>
        </w:rPr>
      </w:pPr>
      <w:r>
        <w:rPr>
          <w:lang w:eastAsia="zh-CN"/>
        </w:rPr>
        <w:t>香港交易所及证监会于</w:t>
      </w:r>
      <w:r>
        <w:rPr>
          <w:lang w:eastAsia="zh-CN"/>
        </w:rPr>
        <w:t>2022</w:t>
      </w:r>
      <w:r>
        <w:rPr>
          <w:lang w:eastAsia="zh-CN"/>
        </w:rPr>
        <w:t>年</w:t>
      </w:r>
      <w:r>
        <w:rPr>
          <w:lang w:eastAsia="zh-CN"/>
        </w:rPr>
        <w:t>6</w:t>
      </w:r>
      <w:r>
        <w:rPr>
          <w:lang w:eastAsia="zh-CN"/>
        </w:rPr>
        <w:t>月份采取的纪律行动</w:t>
      </w:r>
    </w:p>
    <w:p w:rsidR="00A64113" w:rsidRDefault="009729D0">
      <w:pPr>
        <w:pStyle w:val="BodyText"/>
        <w:rPr>
          <w:lang w:eastAsia="zh-CN"/>
        </w:rPr>
      </w:pPr>
      <w:r>
        <w:rPr>
          <w:lang w:eastAsia="zh-CN"/>
        </w:rPr>
        <w:t>2022</w:t>
      </w:r>
      <w:r>
        <w:rPr>
          <w:lang w:eastAsia="zh-CN"/>
        </w:rPr>
        <w:t>年</w:t>
      </w:r>
      <w:r>
        <w:rPr>
          <w:lang w:eastAsia="zh-CN"/>
        </w:rPr>
        <w:t>6</w:t>
      </w:r>
      <w:r>
        <w:rPr>
          <w:lang w:eastAsia="zh-CN"/>
        </w:rPr>
        <w:t>月，香港联合交易所有限公司（</w:t>
      </w:r>
      <w:r>
        <w:rPr>
          <w:b/>
          <w:lang w:eastAsia="zh-CN"/>
        </w:rPr>
        <w:t>香港交易所</w:t>
      </w:r>
      <w:r>
        <w:rPr>
          <w:lang w:eastAsia="zh-CN"/>
        </w:rPr>
        <w:t>）公布了其于该期间内采取的</w:t>
      </w:r>
      <w:r>
        <w:rPr>
          <w:lang w:eastAsia="zh-CN"/>
        </w:rPr>
        <w:t>3</w:t>
      </w:r>
      <w:r>
        <w:rPr>
          <w:lang w:eastAsia="zh-CN"/>
        </w:rPr>
        <w:t>项纪律行动，针对对象及原因分别是：</w:t>
      </w:r>
      <w:r>
        <w:rPr>
          <w:lang w:eastAsia="zh-CN"/>
        </w:rPr>
        <w:t>(i)</w:t>
      </w:r>
      <w:r>
        <w:rPr>
          <w:lang w:eastAsia="zh-CN"/>
        </w:rPr>
        <w:t>长城天下控股有限公司及其</w:t>
      </w:r>
      <w:r>
        <w:rPr>
          <w:lang w:eastAsia="zh-CN"/>
        </w:rPr>
        <w:t>11</w:t>
      </w:r>
      <w:r>
        <w:rPr>
          <w:lang w:eastAsia="zh-CN"/>
        </w:rPr>
        <w:t>名董事没有告知其董事会某些交易；</w:t>
      </w:r>
      <w:r>
        <w:rPr>
          <w:lang w:eastAsia="zh-CN"/>
        </w:rPr>
        <w:t>(ii)</w:t>
      </w:r>
      <w:r>
        <w:rPr>
          <w:lang w:eastAsia="zh-CN"/>
        </w:rPr>
        <w:t>安山金控股份有限公司及</w:t>
      </w:r>
      <w:r>
        <w:rPr>
          <w:lang w:eastAsia="zh-CN"/>
        </w:rPr>
        <w:t>5</w:t>
      </w:r>
      <w:r>
        <w:rPr>
          <w:lang w:eastAsia="zh-CN"/>
        </w:rPr>
        <w:t>名前董事没有回应香港交易所的一宗调查；及</w:t>
      </w:r>
      <w:r>
        <w:rPr>
          <w:lang w:eastAsia="zh-CN"/>
        </w:rPr>
        <w:t>(iii)</w:t>
      </w:r>
      <w:r>
        <w:rPr>
          <w:lang w:eastAsia="zh-CN"/>
        </w:rPr>
        <w:t>明发集团（国际）有限公司及其</w:t>
      </w:r>
      <w:r>
        <w:rPr>
          <w:lang w:eastAsia="zh-CN"/>
        </w:rPr>
        <w:t>4</w:t>
      </w:r>
      <w:r>
        <w:rPr>
          <w:lang w:eastAsia="zh-CN"/>
        </w:rPr>
        <w:t>名前董事没有将多项须予披露及关连交易汇报予其董事会。</w:t>
      </w:r>
    </w:p>
    <w:p w:rsidR="00A64113" w:rsidRDefault="009729D0">
      <w:pPr>
        <w:pStyle w:val="BodyText"/>
        <w:rPr>
          <w:lang w:eastAsia="zh-CN"/>
        </w:rPr>
      </w:pPr>
      <w:r>
        <w:rPr>
          <w:lang w:eastAsia="zh-CN"/>
        </w:rPr>
        <w:t>2022</w:t>
      </w:r>
      <w:r>
        <w:rPr>
          <w:lang w:eastAsia="zh-CN"/>
        </w:rPr>
        <w:t>年</w:t>
      </w:r>
      <w:r>
        <w:rPr>
          <w:lang w:eastAsia="zh-CN"/>
        </w:rPr>
        <w:t>6</w:t>
      </w:r>
      <w:r>
        <w:rPr>
          <w:lang w:eastAsia="zh-CN"/>
        </w:rPr>
        <w:t>月，证券及期货事务监察委员会（</w:t>
      </w:r>
      <w:r>
        <w:rPr>
          <w:b/>
          <w:lang w:eastAsia="zh-CN"/>
        </w:rPr>
        <w:t>证监会</w:t>
      </w:r>
      <w:r>
        <w:rPr>
          <w:lang w:eastAsia="zh-CN"/>
        </w:rPr>
        <w:t>）亦公布了其在该期间所采取的</w:t>
      </w:r>
      <w:r>
        <w:rPr>
          <w:lang w:eastAsia="zh-CN"/>
        </w:rPr>
        <w:t>3</w:t>
      </w:r>
      <w:r>
        <w:rPr>
          <w:lang w:eastAsia="zh-CN"/>
        </w:rPr>
        <w:t>项纪律行动。第一项证监会纪律行动是针对东航国际金融（香港）有限公司管理私募基金有缺失。第二</w:t>
      </w:r>
      <w:r>
        <w:rPr>
          <w:lang w:eastAsia="zh-CN"/>
        </w:rPr>
        <w:t>项证监会纪律行动是针对中国光大证券</w:t>
      </w:r>
      <w:r>
        <w:rPr>
          <w:lang w:eastAsia="zh-CN"/>
        </w:rPr>
        <w:t>(</w:t>
      </w:r>
      <w:r>
        <w:rPr>
          <w:lang w:eastAsia="zh-CN"/>
        </w:rPr>
        <w:t>香港</w:t>
      </w:r>
      <w:r>
        <w:rPr>
          <w:lang w:eastAsia="zh-CN"/>
        </w:rPr>
        <w:t>)</w:t>
      </w:r>
      <w:r>
        <w:rPr>
          <w:lang w:eastAsia="zh-CN"/>
        </w:rPr>
        <w:t>有限公司违反有关打击洗钱的部分监管规定。第三项证监会纪律行动是针对马胜金融集团及马胜金融未向部分投资者支付每月回报。</w:t>
      </w:r>
    </w:p>
    <w:p w:rsidR="00A64113" w:rsidRDefault="009729D0">
      <w:pPr>
        <w:pStyle w:val="BodyText"/>
        <w:rPr>
          <w:lang w:eastAsia="zh-CN"/>
        </w:rPr>
      </w:pPr>
      <w:r>
        <w:rPr>
          <w:lang w:eastAsia="zh-CN"/>
        </w:rPr>
        <w:t>香港交易所对长城天下控股有限公司（股份代号：</w:t>
      </w:r>
      <w:r>
        <w:rPr>
          <w:lang w:eastAsia="zh-CN"/>
        </w:rPr>
        <w:t>524</w:t>
      </w:r>
      <w:r>
        <w:rPr>
          <w:lang w:eastAsia="zh-CN"/>
        </w:rPr>
        <w:t>）及</w:t>
      </w:r>
      <w:r>
        <w:rPr>
          <w:lang w:eastAsia="zh-CN"/>
        </w:rPr>
        <w:t>11</w:t>
      </w:r>
      <w:r>
        <w:rPr>
          <w:lang w:eastAsia="zh-CN"/>
        </w:rPr>
        <w:t>名董事的纪律行动</w:t>
      </w:r>
    </w:p>
    <w:p w:rsidR="00A64113" w:rsidRDefault="009729D0">
      <w:pPr>
        <w:pStyle w:val="BodyText"/>
        <w:rPr>
          <w:lang w:eastAsia="zh-CN"/>
        </w:rPr>
      </w:pPr>
      <w:r>
        <w:rPr>
          <w:lang w:eastAsia="zh-CN"/>
        </w:rPr>
        <w:t>2022</w:t>
      </w:r>
      <w:r>
        <w:rPr>
          <w:lang w:eastAsia="zh-CN"/>
        </w:rPr>
        <w:t>年</w:t>
      </w:r>
      <w:r>
        <w:rPr>
          <w:lang w:eastAsia="zh-CN"/>
        </w:rPr>
        <w:t>6</w:t>
      </w:r>
      <w:r>
        <w:rPr>
          <w:lang w:eastAsia="zh-CN"/>
        </w:rPr>
        <w:t>月</w:t>
      </w:r>
      <w:r>
        <w:rPr>
          <w:lang w:eastAsia="zh-CN"/>
        </w:rPr>
        <w:t>15</w:t>
      </w:r>
      <w:r>
        <w:rPr>
          <w:lang w:eastAsia="zh-CN"/>
        </w:rPr>
        <w:t>日，香港交易所谴责了长城天下控股有限公司及</w:t>
      </w:r>
      <w:r>
        <w:rPr>
          <w:lang w:eastAsia="zh-CN"/>
        </w:rPr>
        <w:t>8</w:t>
      </w:r>
      <w:r>
        <w:rPr>
          <w:lang w:eastAsia="zh-CN"/>
        </w:rPr>
        <w:t>名其他前董事，批评了</w:t>
      </w:r>
      <w:r>
        <w:rPr>
          <w:lang w:eastAsia="zh-CN"/>
        </w:rPr>
        <w:t>3</w:t>
      </w:r>
      <w:r>
        <w:rPr>
          <w:lang w:eastAsia="zh-CN"/>
        </w:rPr>
        <w:t>名其他前董事，以及指令上述前董事须完成有关监管及法律议题及《上市规则》合规事宜的培训。香港交易所的纪律行动声明载列于</w:t>
      </w:r>
      <w:hyperlink r:id="rId8">
        <w:r>
          <w:rPr>
            <w:lang w:eastAsia="zh-CN"/>
          </w:rPr>
          <w:t>此处</w:t>
        </w:r>
      </w:hyperlink>
      <w:r>
        <w:rPr>
          <w:lang w:eastAsia="zh-CN"/>
        </w:rPr>
        <w:t>。</w:t>
      </w:r>
    </w:p>
    <w:p w:rsidR="00A64113" w:rsidRDefault="009729D0">
      <w:pPr>
        <w:pStyle w:val="BodyText"/>
        <w:rPr>
          <w:lang w:eastAsia="zh-CN"/>
        </w:rPr>
      </w:pPr>
      <w:r>
        <w:rPr>
          <w:lang w:eastAsia="zh-CN"/>
        </w:rPr>
        <w:t>针对未告知的香港须予具报及关连交易采取的纪律行动</w:t>
      </w:r>
    </w:p>
    <w:p w:rsidR="00A64113" w:rsidRDefault="009729D0">
      <w:pPr>
        <w:pStyle w:val="BodyText"/>
        <w:rPr>
          <w:lang w:eastAsia="zh-CN"/>
        </w:rPr>
      </w:pPr>
      <w:r>
        <w:rPr>
          <w:lang w:eastAsia="zh-CN"/>
        </w:rPr>
        <w:t>长城天下控股有限公司在</w:t>
      </w:r>
      <w:r>
        <w:rPr>
          <w:lang w:eastAsia="zh-CN"/>
        </w:rPr>
        <w:t>2016</w:t>
      </w:r>
      <w:r>
        <w:rPr>
          <w:lang w:eastAsia="zh-CN"/>
        </w:rPr>
        <w:t>年收购一间内地公司。在收购完成后，长城天下控股有限公司没有派驻代表到该附属公司的董事会，且该附属公司的日常营运由其当地管理人员处理。在</w:t>
      </w:r>
      <w:r>
        <w:rPr>
          <w:lang w:eastAsia="zh-CN"/>
        </w:rPr>
        <w:t>2016</w:t>
      </w:r>
      <w:r>
        <w:rPr>
          <w:lang w:eastAsia="zh-CN"/>
        </w:rPr>
        <w:t>年至</w:t>
      </w:r>
      <w:r>
        <w:rPr>
          <w:lang w:eastAsia="zh-CN"/>
        </w:rPr>
        <w:t>2019</w:t>
      </w:r>
      <w:r>
        <w:rPr>
          <w:lang w:eastAsia="zh-CN"/>
        </w:rPr>
        <w:t>年间，该附属公司</w:t>
      </w:r>
      <w:r>
        <w:rPr>
          <w:lang w:eastAsia="zh-CN"/>
        </w:rPr>
        <w:t>在未有明确通知长城天下控股有限公司董事会的情况下，进行了多次须予公布的交易及关连交易。</w:t>
      </w:r>
    </w:p>
    <w:p w:rsidR="00A64113" w:rsidRDefault="009729D0">
      <w:pPr>
        <w:pStyle w:val="BodyText"/>
        <w:rPr>
          <w:lang w:eastAsia="zh-CN"/>
        </w:rPr>
      </w:pPr>
      <w:r>
        <w:rPr>
          <w:lang w:eastAsia="zh-CN"/>
        </w:rPr>
        <w:t>在</w:t>
      </w:r>
      <w:r>
        <w:rPr>
          <w:lang w:eastAsia="zh-CN"/>
        </w:rPr>
        <w:t>2016</w:t>
      </w:r>
      <w:r>
        <w:rPr>
          <w:lang w:eastAsia="zh-CN"/>
        </w:rPr>
        <w:t>年至</w:t>
      </w:r>
      <w:r>
        <w:rPr>
          <w:lang w:eastAsia="zh-CN"/>
        </w:rPr>
        <w:t>2018</w:t>
      </w:r>
      <w:r>
        <w:rPr>
          <w:lang w:eastAsia="zh-CN"/>
        </w:rPr>
        <w:t>年间，该附属公司与</w:t>
      </w:r>
      <w:r>
        <w:rPr>
          <w:lang w:eastAsia="zh-CN"/>
        </w:rPr>
        <w:t>3</w:t>
      </w:r>
      <w:r>
        <w:rPr>
          <w:lang w:eastAsia="zh-CN"/>
        </w:rPr>
        <w:t>间内地公司订立了共</w:t>
      </w:r>
      <w:r>
        <w:rPr>
          <w:lang w:eastAsia="zh-CN"/>
        </w:rPr>
        <w:t>5</w:t>
      </w:r>
      <w:r>
        <w:rPr>
          <w:lang w:eastAsia="zh-CN"/>
        </w:rPr>
        <w:t>份协议，当中该附属公司向该等内地公司提供了若干服务。但是，该附属公司的</w:t>
      </w:r>
      <w:r>
        <w:rPr>
          <w:lang w:eastAsia="zh-CN"/>
        </w:rPr>
        <w:t>2</w:t>
      </w:r>
      <w:r>
        <w:rPr>
          <w:lang w:eastAsia="zh-CN"/>
        </w:rPr>
        <w:t>名董事拥有该</w:t>
      </w:r>
      <w:r>
        <w:rPr>
          <w:lang w:eastAsia="zh-CN"/>
        </w:rPr>
        <w:t>3</w:t>
      </w:r>
      <w:r>
        <w:rPr>
          <w:lang w:eastAsia="zh-CN"/>
        </w:rPr>
        <w:t>家公司（该附属公司一直在与该等公司开展业务）的大量股本权益，由此使得该等公司成为长城天下控股有限公司的关连人士，而该等服务协议亦因此构成关连交易。</w:t>
      </w:r>
    </w:p>
    <w:p w:rsidR="00A64113" w:rsidRDefault="009729D0">
      <w:pPr>
        <w:pStyle w:val="BodyText"/>
        <w:rPr>
          <w:lang w:eastAsia="zh-CN"/>
        </w:rPr>
      </w:pPr>
      <w:r>
        <w:rPr>
          <w:lang w:eastAsia="zh-CN"/>
        </w:rPr>
        <w:t>在</w:t>
      </w:r>
      <w:r>
        <w:rPr>
          <w:lang w:eastAsia="zh-CN"/>
        </w:rPr>
        <w:t>2016</w:t>
      </w:r>
      <w:r>
        <w:rPr>
          <w:lang w:eastAsia="zh-CN"/>
        </w:rPr>
        <w:t>年</w:t>
      </w:r>
      <w:r>
        <w:rPr>
          <w:lang w:eastAsia="zh-CN"/>
        </w:rPr>
        <w:t>7</w:t>
      </w:r>
      <w:r>
        <w:rPr>
          <w:lang w:eastAsia="zh-CN"/>
        </w:rPr>
        <w:t>月至</w:t>
      </w:r>
      <w:r>
        <w:rPr>
          <w:lang w:eastAsia="zh-CN"/>
        </w:rPr>
        <w:t>2018</w:t>
      </w:r>
      <w:r>
        <w:rPr>
          <w:lang w:eastAsia="zh-CN"/>
        </w:rPr>
        <w:t>年</w:t>
      </w:r>
      <w:r>
        <w:rPr>
          <w:lang w:eastAsia="zh-CN"/>
        </w:rPr>
        <w:t>12</w:t>
      </w:r>
      <w:r>
        <w:rPr>
          <w:lang w:eastAsia="zh-CN"/>
        </w:rPr>
        <w:t>月间，该附属公司亦向上述</w:t>
      </w:r>
      <w:r>
        <w:rPr>
          <w:lang w:eastAsia="zh-CN"/>
        </w:rPr>
        <w:t>3</w:t>
      </w:r>
      <w:r>
        <w:rPr>
          <w:lang w:eastAsia="zh-CN"/>
        </w:rPr>
        <w:t>家内地公司中的一间公司以及另一间内地公司以及该附属公司之前的一名董事提</w:t>
      </w:r>
      <w:r>
        <w:rPr>
          <w:lang w:eastAsia="zh-CN"/>
        </w:rPr>
        <w:t>供免息垫款，其中向该名董事提供的免息垫款之后在</w:t>
      </w:r>
      <w:r>
        <w:rPr>
          <w:lang w:eastAsia="zh-CN"/>
        </w:rPr>
        <w:t>2018</w:t>
      </w:r>
      <w:r>
        <w:rPr>
          <w:lang w:eastAsia="zh-CN"/>
        </w:rPr>
        <w:t>年</w:t>
      </w:r>
      <w:r>
        <w:rPr>
          <w:lang w:eastAsia="zh-CN"/>
        </w:rPr>
        <w:t>12</w:t>
      </w:r>
      <w:r>
        <w:rPr>
          <w:lang w:eastAsia="zh-CN"/>
        </w:rPr>
        <w:t>月被转换为一笔为期一年的贷款。该名董事持相应内地公司</w:t>
      </w:r>
      <w:r>
        <w:rPr>
          <w:lang w:eastAsia="zh-CN"/>
        </w:rPr>
        <w:t>51%</w:t>
      </w:r>
      <w:r>
        <w:rPr>
          <w:lang w:eastAsia="zh-CN"/>
        </w:rPr>
        <w:t>的股本权益，即有关垫款的主题，亦由此成为长城天下控股有限公司的关连人士。该等垫款及该贷款构成长城天下控股有限公司的持续关连交易，亦构成须予公布的交易及《上市规则》第</w:t>
      </w:r>
      <w:r>
        <w:rPr>
          <w:lang w:eastAsia="zh-CN"/>
        </w:rPr>
        <w:t>13.13</w:t>
      </w:r>
      <w:r>
        <w:rPr>
          <w:lang w:eastAsia="zh-CN"/>
        </w:rPr>
        <w:t>条下的给予某实体的贷款。</w:t>
      </w:r>
    </w:p>
    <w:p w:rsidR="00A64113" w:rsidRDefault="009729D0">
      <w:pPr>
        <w:pStyle w:val="BodyText"/>
        <w:rPr>
          <w:lang w:eastAsia="zh-CN"/>
        </w:rPr>
      </w:pPr>
      <w:r>
        <w:rPr>
          <w:lang w:eastAsia="zh-CN"/>
        </w:rPr>
        <w:t>就该等服务协议、该等垫款及该贷款，长城天下控股有限公司须要遵守《上市规则》下有关汇报、公告、独立股东批准及年度披露的规定。该公司未有遵守有关规定。</w:t>
      </w:r>
    </w:p>
    <w:p w:rsidR="00A64113" w:rsidRDefault="009729D0">
      <w:pPr>
        <w:pStyle w:val="BodyText"/>
        <w:rPr>
          <w:lang w:eastAsia="zh-CN"/>
        </w:rPr>
      </w:pPr>
      <w:r>
        <w:rPr>
          <w:lang w:eastAsia="zh-CN"/>
        </w:rPr>
        <w:t>由此，香港交易所裁定：长城天下控股有限公司违反</w:t>
      </w:r>
      <w:r>
        <w:rPr>
          <w:lang w:eastAsia="zh-CN"/>
        </w:rPr>
        <w:t>了《上市规则》第</w:t>
      </w:r>
      <w:r>
        <w:rPr>
          <w:lang w:eastAsia="zh-CN"/>
        </w:rPr>
        <w:t>13.13</w:t>
      </w:r>
      <w:r>
        <w:rPr>
          <w:lang w:eastAsia="zh-CN"/>
        </w:rPr>
        <w:t>、</w:t>
      </w:r>
      <w:r>
        <w:rPr>
          <w:lang w:eastAsia="zh-CN"/>
        </w:rPr>
        <w:t>14.34</w:t>
      </w:r>
      <w:r>
        <w:rPr>
          <w:lang w:eastAsia="zh-CN"/>
        </w:rPr>
        <w:t>、</w:t>
      </w:r>
      <w:r>
        <w:rPr>
          <w:lang w:eastAsia="zh-CN"/>
        </w:rPr>
        <w:t>14A.34</w:t>
      </w:r>
      <w:r>
        <w:rPr>
          <w:lang w:eastAsia="zh-CN"/>
        </w:rPr>
        <w:t>、</w:t>
      </w:r>
      <w:r>
        <w:rPr>
          <w:lang w:eastAsia="zh-CN"/>
        </w:rPr>
        <w:t>14A.35</w:t>
      </w:r>
      <w:r>
        <w:rPr>
          <w:lang w:eastAsia="zh-CN"/>
        </w:rPr>
        <w:t>、</w:t>
      </w:r>
      <w:r>
        <w:rPr>
          <w:lang w:eastAsia="zh-CN"/>
        </w:rPr>
        <w:t>14A.36</w:t>
      </w:r>
      <w:r>
        <w:rPr>
          <w:lang w:eastAsia="zh-CN"/>
        </w:rPr>
        <w:t>、14A.46</w:t>
      </w:r>
      <w:r>
        <w:rPr>
          <w:lang w:eastAsia="zh-CN"/>
        </w:rPr>
        <w:t>及</w:t>
      </w:r>
      <w:r>
        <w:rPr>
          <w:lang w:eastAsia="zh-CN"/>
        </w:rPr>
        <w:t xml:space="preserve">14A.49 </w:t>
      </w:r>
      <w:r>
        <w:rPr>
          <w:lang w:eastAsia="zh-CN"/>
        </w:rPr>
        <w:t>条；而上述所有前董事均违反了他们的《董事承诺》，即尽其所能遵守《上市规则》并尽力促使长城天下控股有限公司遵守《上市规则》。</w:t>
      </w:r>
    </w:p>
    <w:p w:rsidR="00A64113" w:rsidRDefault="009729D0">
      <w:pPr>
        <w:pStyle w:val="BodyText"/>
        <w:rPr>
          <w:lang w:eastAsia="zh-CN"/>
        </w:rPr>
      </w:pPr>
      <w:r>
        <w:rPr>
          <w:lang w:eastAsia="zh-CN"/>
        </w:rPr>
        <w:t>香港交易所对安山金控股份有限公司（股份代号：</w:t>
      </w:r>
      <w:r>
        <w:rPr>
          <w:lang w:eastAsia="zh-CN"/>
        </w:rPr>
        <w:t>33</w:t>
      </w:r>
      <w:r>
        <w:rPr>
          <w:lang w:eastAsia="zh-CN"/>
        </w:rPr>
        <w:t>）</w:t>
      </w:r>
      <w:r>
        <w:rPr>
          <w:lang w:eastAsia="zh-CN"/>
        </w:rPr>
        <w:t>5</w:t>
      </w:r>
      <w:r>
        <w:rPr>
          <w:lang w:eastAsia="zh-CN"/>
        </w:rPr>
        <w:t>名前董事的纪律行动</w:t>
      </w:r>
    </w:p>
    <w:p w:rsidR="00A64113" w:rsidRDefault="009729D0">
      <w:pPr>
        <w:pStyle w:val="BodyText"/>
        <w:rPr>
          <w:lang w:eastAsia="zh-CN"/>
        </w:rPr>
      </w:pPr>
      <w:r>
        <w:rPr>
          <w:lang w:eastAsia="zh-CN"/>
        </w:rPr>
        <w:lastRenderedPageBreak/>
        <w:t>2022</w:t>
      </w:r>
      <w:r>
        <w:rPr>
          <w:lang w:eastAsia="zh-CN"/>
        </w:rPr>
        <w:t>年</w:t>
      </w:r>
      <w:r>
        <w:rPr>
          <w:lang w:eastAsia="zh-CN"/>
        </w:rPr>
        <w:t>6</w:t>
      </w:r>
      <w:r>
        <w:rPr>
          <w:lang w:eastAsia="zh-CN"/>
        </w:rPr>
        <w:t>月</w:t>
      </w:r>
      <w:r>
        <w:rPr>
          <w:lang w:eastAsia="zh-CN"/>
        </w:rPr>
        <w:t>16</w:t>
      </w:r>
      <w:r>
        <w:rPr>
          <w:lang w:eastAsia="zh-CN"/>
        </w:rPr>
        <w:t>日，香港交易所向安山金控股份有限公司（</w:t>
      </w:r>
      <w:r>
        <w:rPr>
          <w:b/>
          <w:lang w:eastAsia="zh-CN"/>
        </w:rPr>
        <w:t>安山公司</w:t>
      </w:r>
      <w:r>
        <w:rPr>
          <w:lang w:eastAsia="zh-CN"/>
        </w:rPr>
        <w:t>）</w:t>
      </w:r>
      <w:r>
        <w:rPr>
          <w:lang w:eastAsia="zh-CN"/>
        </w:rPr>
        <w:t>5</w:t>
      </w:r>
      <w:r>
        <w:rPr>
          <w:lang w:eastAsia="zh-CN"/>
        </w:rPr>
        <w:t>名前董事作出损害投资者权益声明，声明香港交易所认为该</w:t>
      </w:r>
      <w:r>
        <w:rPr>
          <w:lang w:eastAsia="zh-CN"/>
        </w:rPr>
        <w:t>5</w:t>
      </w:r>
      <w:r>
        <w:rPr>
          <w:lang w:eastAsia="zh-CN"/>
        </w:rPr>
        <w:t>名前董事若仍留任安山公司董事会的董事，均会损害投资者的权益。除上述向该</w:t>
      </w:r>
      <w:r>
        <w:rPr>
          <w:lang w:eastAsia="zh-CN"/>
        </w:rPr>
        <w:t>5</w:t>
      </w:r>
      <w:r>
        <w:rPr>
          <w:lang w:eastAsia="zh-CN"/>
        </w:rPr>
        <w:t>名前董事所</w:t>
      </w:r>
      <w:r>
        <w:rPr>
          <w:lang w:eastAsia="zh-CN"/>
        </w:rPr>
        <w:t>作的声明外，香港交易所亦公开谴责他们各人。香港交易所的纪律行动声明载列于</w:t>
      </w:r>
      <w:hyperlink r:id="rId9">
        <w:r>
          <w:rPr>
            <w:lang w:eastAsia="zh-CN"/>
          </w:rPr>
          <w:t>此处</w:t>
        </w:r>
      </w:hyperlink>
      <w:r>
        <w:rPr>
          <w:lang w:eastAsia="zh-CN"/>
        </w:rPr>
        <w:t>。</w:t>
      </w:r>
    </w:p>
    <w:p w:rsidR="00A64113" w:rsidRDefault="009729D0">
      <w:pPr>
        <w:pStyle w:val="BodyText"/>
        <w:rPr>
          <w:lang w:eastAsia="zh-CN"/>
        </w:rPr>
      </w:pPr>
      <w:r>
        <w:rPr>
          <w:lang w:eastAsia="zh-CN"/>
        </w:rPr>
        <w:t>针对香港交易所上市发行人及其在香港的董事未给予回应而采取的纪律行动</w:t>
      </w:r>
    </w:p>
    <w:p w:rsidR="00A64113" w:rsidRDefault="009729D0">
      <w:pPr>
        <w:pStyle w:val="BodyText"/>
        <w:rPr>
          <w:lang w:eastAsia="zh-CN"/>
        </w:rPr>
      </w:pPr>
      <w:r>
        <w:rPr>
          <w:lang w:eastAsia="zh-CN"/>
        </w:rPr>
        <w:t>香港交易所上市科已对安山公司董事有</w:t>
      </w:r>
      <w:r>
        <w:rPr>
          <w:lang w:eastAsia="zh-CN"/>
        </w:rPr>
        <w:t>否违反《上市规则》作出调查。为进行调查，上市科向相关董事发出了多份查询信函及提醒信函，但没有接获回复。该等董事没有给予回应违反了其《董事承诺》，原因是其没有在调查中与上巿科合作以及妨碍香港交易所适当履行维持及监管市场秩序的职能。</w:t>
      </w:r>
    </w:p>
    <w:p w:rsidR="00A64113" w:rsidRDefault="009729D0">
      <w:pPr>
        <w:pStyle w:val="BodyText"/>
        <w:rPr>
          <w:lang w:eastAsia="zh-CN"/>
        </w:rPr>
      </w:pPr>
      <w:r>
        <w:rPr>
          <w:lang w:eastAsia="zh-CN"/>
        </w:rPr>
        <w:t>香港交易所对香港交易所上市的明发集团（国际）有限公司（股份代号：</w:t>
      </w:r>
      <w:r>
        <w:rPr>
          <w:lang w:eastAsia="zh-CN"/>
        </w:rPr>
        <w:t>846</w:t>
      </w:r>
      <w:r>
        <w:rPr>
          <w:lang w:eastAsia="zh-CN"/>
        </w:rPr>
        <w:t>）</w:t>
      </w:r>
      <w:r>
        <w:rPr>
          <w:lang w:eastAsia="zh-CN"/>
        </w:rPr>
        <w:t>4</w:t>
      </w:r>
      <w:r>
        <w:rPr>
          <w:lang w:eastAsia="zh-CN"/>
        </w:rPr>
        <w:t>名前董事的纪律行动</w:t>
      </w:r>
    </w:p>
    <w:p w:rsidR="00A64113" w:rsidRDefault="009729D0">
      <w:pPr>
        <w:pStyle w:val="BodyText"/>
        <w:rPr>
          <w:lang w:eastAsia="zh-CN"/>
        </w:rPr>
      </w:pPr>
      <w:r>
        <w:rPr>
          <w:lang w:eastAsia="zh-CN"/>
        </w:rPr>
        <w:t>2022</w:t>
      </w:r>
      <w:r>
        <w:rPr>
          <w:lang w:eastAsia="zh-CN"/>
        </w:rPr>
        <w:t>年</w:t>
      </w:r>
      <w:r>
        <w:rPr>
          <w:lang w:eastAsia="zh-CN"/>
        </w:rPr>
        <w:t>6</w:t>
      </w:r>
      <w:r>
        <w:rPr>
          <w:lang w:eastAsia="zh-CN"/>
        </w:rPr>
        <w:t>月</w:t>
      </w:r>
      <w:r>
        <w:rPr>
          <w:lang w:eastAsia="zh-CN"/>
        </w:rPr>
        <w:t>27</w:t>
      </w:r>
      <w:r>
        <w:rPr>
          <w:lang w:eastAsia="zh-CN"/>
        </w:rPr>
        <w:t>日，香港交易所谴责明发集团（国际）有限公司（</w:t>
      </w:r>
      <w:r>
        <w:rPr>
          <w:b/>
          <w:lang w:eastAsia="zh-CN"/>
        </w:rPr>
        <w:t>明发公司</w:t>
      </w:r>
      <w:r>
        <w:rPr>
          <w:lang w:eastAsia="zh-CN"/>
        </w:rPr>
        <w:t>）及</w:t>
      </w:r>
      <w:r>
        <w:rPr>
          <w:lang w:eastAsia="zh-CN"/>
        </w:rPr>
        <w:t>2</w:t>
      </w:r>
      <w:r>
        <w:rPr>
          <w:lang w:eastAsia="zh-CN"/>
        </w:rPr>
        <w:t>名前执行董事（即黄焕明先生及黄庆祝先生），并向另外</w:t>
      </w:r>
      <w:r>
        <w:rPr>
          <w:lang w:eastAsia="zh-CN"/>
        </w:rPr>
        <w:t>2</w:t>
      </w:r>
      <w:r>
        <w:rPr>
          <w:lang w:eastAsia="zh-CN"/>
        </w:rPr>
        <w:t>名前执行董事（即黄连春先生及黄丽水先生）作出损害投资者权益声</w:t>
      </w:r>
      <w:r>
        <w:rPr>
          <w:lang w:eastAsia="zh-CN"/>
        </w:rPr>
        <w:t>明。香港交易所亦指令黄连春先生及黄丽水先生须各自完成</w:t>
      </w:r>
      <w:r>
        <w:rPr>
          <w:lang w:eastAsia="zh-CN"/>
        </w:rPr>
        <w:t>24</w:t>
      </w:r>
      <w:r>
        <w:rPr>
          <w:lang w:eastAsia="zh-CN"/>
        </w:rPr>
        <w:t>小时有关监管及法律议题（包括《上市规则》合规事宜）的培训。香港交易所的纪律行动声明载列于</w:t>
      </w:r>
      <w:hyperlink r:id="rId10">
        <w:r>
          <w:rPr>
            <w:lang w:eastAsia="zh-CN"/>
          </w:rPr>
          <w:t>此处</w:t>
        </w:r>
      </w:hyperlink>
      <w:r>
        <w:rPr>
          <w:lang w:eastAsia="zh-CN"/>
        </w:rPr>
        <w:t>。</w:t>
      </w:r>
    </w:p>
    <w:p w:rsidR="00A64113" w:rsidRDefault="009729D0">
      <w:pPr>
        <w:pStyle w:val="BodyText"/>
        <w:rPr>
          <w:lang w:eastAsia="zh-CN"/>
        </w:rPr>
      </w:pPr>
      <w:r>
        <w:rPr>
          <w:lang w:eastAsia="zh-CN"/>
        </w:rPr>
        <w:t>明发公司及相关董事已同意就此纪</w:t>
      </w:r>
      <w:r>
        <w:rPr>
          <w:lang w:eastAsia="zh-CN"/>
        </w:rPr>
        <w:t>律行动作出和解，亦承认各自违规事项（如下文所述），并已接受香港交易所向他们作出的制裁及指令。</w:t>
      </w:r>
    </w:p>
    <w:p w:rsidR="00A64113" w:rsidRDefault="009729D0">
      <w:pPr>
        <w:pStyle w:val="BodyText"/>
        <w:rPr>
          <w:lang w:eastAsia="zh-CN"/>
        </w:rPr>
      </w:pPr>
      <w:r>
        <w:rPr>
          <w:lang w:eastAsia="zh-CN"/>
        </w:rPr>
        <w:t>针对没有将香港的多项须予披露及关连交易汇报予董事会而采取的纪律行动</w:t>
      </w:r>
    </w:p>
    <w:p w:rsidR="00A64113" w:rsidRDefault="009729D0">
      <w:pPr>
        <w:pStyle w:val="BodyText"/>
        <w:rPr>
          <w:lang w:eastAsia="zh-CN"/>
        </w:rPr>
      </w:pPr>
      <w:r>
        <w:rPr>
          <w:lang w:eastAsia="zh-CN"/>
        </w:rPr>
        <w:t>自</w:t>
      </w:r>
      <w:r>
        <w:rPr>
          <w:lang w:eastAsia="zh-CN"/>
        </w:rPr>
        <w:t>2013</w:t>
      </w:r>
      <w:r>
        <w:rPr>
          <w:lang w:eastAsia="zh-CN"/>
        </w:rPr>
        <w:t>年至</w:t>
      </w:r>
      <w:r>
        <w:rPr>
          <w:lang w:eastAsia="zh-CN"/>
        </w:rPr>
        <w:t>2015</w:t>
      </w:r>
      <w:r>
        <w:rPr>
          <w:lang w:eastAsia="zh-CN"/>
        </w:rPr>
        <w:t>年间，明发公司订立了几份涉及贷款及资产出售的协议，其中部分被证监会视为违反了《上市规则》。</w:t>
      </w:r>
    </w:p>
    <w:p w:rsidR="00A64113" w:rsidRDefault="009729D0">
      <w:pPr>
        <w:pStyle w:val="BodyText"/>
        <w:rPr>
          <w:lang w:eastAsia="zh-CN"/>
        </w:rPr>
      </w:pPr>
      <w:r>
        <w:rPr>
          <w:lang w:eastAsia="zh-CN"/>
        </w:rPr>
        <w:t>2013</w:t>
      </w:r>
      <w:r>
        <w:rPr>
          <w:lang w:eastAsia="zh-CN"/>
        </w:rPr>
        <w:t>年</w:t>
      </w:r>
      <w:r>
        <w:rPr>
          <w:lang w:eastAsia="zh-CN"/>
        </w:rPr>
        <w:t>12</w:t>
      </w:r>
      <w:r>
        <w:rPr>
          <w:lang w:eastAsia="zh-CN"/>
        </w:rPr>
        <w:t>月，明发公司订立了</w:t>
      </w:r>
      <w:r>
        <w:rPr>
          <w:lang w:eastAsia="zh-CN"/>
        </w:rPr>
        <w:t>8</w:t>
      </w:r>
      <w:r>
        <w:rPr>
          <w:lang w:eastAsia="zh-CN"/>
        </w:rPr>
        <w:t>份合约，以总金额人民币</w:t>
      </w:r>
      <w:r>
        <w:rPr>
          <w:lang w:eastAsia="zh-CN"/>
        </w:rPr>
        <w:t>1.89</w:t>
      </w:r>
      <w:r>
        <w:rPr>
          <w:lang w:eastAsia="zh-CN"/>
        </w:rPr>
        <w:t>亿元向黄焕明先生、黄庆祝先生及其家人以及另外</w:t>
      </w:r>
      <w:r>
        <w:rPr>
          <w:lang w:eastAsia="zh-CN"/>
        </w:rPr>
        <w:t>2</w:t>
      </w:r>
      <w:r>
        <w:rPr>
          <w:lang w:eastAsia="zh-CN"/>
        </w:rPr>
        <w:t>名董事（即黄连春先生及黄丽水先生）的家人出售</w:t>
      </w:r>
      <w:r>
        <w:rPr>
          <w:lang w:eastAsia="zh-CN"/>
        </w:rPr>
        <w:t>8</w:t>
      </w:r>
      <w:r>
        <w:rPr>
          <w:lang w:eastAsia="zh-CN"/>
        </w:rPr>
        <w:t>幢别墅的使用权。这构成明发公司的一宗关连交易，明发公司在该宗交易中违反了《上市规</w:t>
      </w:r>
      <w:r>
        <w:rPr>
          <w:lang w:eastAsia="zh-CN"/>
        </w:rPr>
        <w:t>则》第</w:t>
      </w:r>
      <w:r>
        <w:rPr>
          <w:lang w:eastAsia="zh-CN"/>
        </w:rPr>
        <w:t>14A</w:t>
      </w:r>
      <w:r>
        <w:rPr>
          <w:lang w:eastAsia="zh-CN"/>
        </w:rPr>
        <w:t>章的公告规定。合约还规定全部款项须于</w:t>
      </w:r>
      <w:r>
        <w:rPr>
          <w:lang w:eastAsia="zh-CN"/>
        </w:rPr>
        <w:t xml:space="preserve"> 2013 </w:t>
      </w:r>
      <w:r>
        <w:rPr>
          <w:lang w:eastAsia="zh-CN"/>
        </w:rPr>
        <w:t>年</w:t>
      </w:r>
      <w:r>
        <w:rPr>
          <w:lang w:eastAsia="zh-CN"/>
        </w:rPr>
        <w:t xml:space="preserve"> 12 </w:t>
      </w:r>
      <w:r>
        <w:rPr>
          <w:lang w:eastAsia="zh-CN"/>
        </w:rPr>
        <w:t>月底或之前悉数支付，但八幢别墅的代价款项最终于</w:t>
      </w:r>
      <w:r>
        <w:rPr>
          <w:lang w:eastAsia="zh-CN"/>
        </w:rPr>
        <w:t>2015</w:t>
      </w:r>
      <w:r>
        <w:rPr>
          <w:lang w:eastAsia="zh-CN"/>
        </w:rPr>
        <w:t>年</w:t>
      </w:r>
      <w:r>
        <w:rPr>
          <w:lang w:eastAsia="zh-CN"/>
        </w:rPr>
        <w:t>12</w:t>
      </w:r>
      <w:r>
        <w:rPr>
          <w:lang w:eastAsia="zh-CN"/>
        </w:rPr>
        <w:t>月才付清。</w:t>
      </w:r>
    </w:p>
    <w:p w:rsidR="00A64113" w:rsidRDefault="009729D0">
      <w:pPr>
        <w:pStyle w:val="BodyText"/>
        <w:rPr>
          <w:lang w:eastAsia="zh-CN"/>
        </w:rPr>
      </w:pPr>
      <w:r>
        <w:rPr>
          <w:lang w:eastAsia="zh-CN"/>
        </w:rPr>
        <w:t>2014</w:t>
      </w:r>
      <w:r>
        <w:rPr>
          <w:lang w:eastAsia="zh-CN"/>
        </w:rPr>
        <w:t>年</w:t>
      </w:r>
      <w:r>
        <w:rPr>
          <w:lang w:eastAsia="zh-CN"/>
        </w:rPr>
        <w:t>12</w:t>
      </w:r>
      <w:r>
        <w:rPr>
          <w:lang w:eastAsia="zh-CN"/>
        </w:rPr>
        <w:t>月，明发公司与买方订立了一份协议，当中明发公司同意以人民币</w:t>
      </w:r>
      <w:r>
        <w:rPr>
          <w:lang w:eastAsia="zh-CN"/>
        </w:rPr>
        <w:t xml:space="preserve"> 6.63 </w:t>
      </w:r>
      <w:r>
        <w:rPr>
          <w:lang w:eastAsia="zh-CN"/>
        </w:rPr>
        <w:t>亿元向买方出售一家附属公司的</w:t>
      </w:r>
      <w:r>
        <w:rPr>
          <w:lang w:eastAsia="zh-CN"/>
        </w:rPr>
        <w:t>51%</w:t>
      </w:r>
      <w:r>
        <w:rPr>
          <w:lang w:eastAsia="zh-CN"/>
        </w:rPr>
        <w:t>股权。该出售事项其后于</w:t>
      </w:r>
      <w:r>
        <w:rPr>
          <w:lang w:eastAsia="zh-CN"/>
        </w:rPr>
        <w:t>2016</w:t>
      </w:r>
      <w:r>
        <w:rPr>
          <w:lang w:eastAsia="zh-CN"/>
        </w:rPr>
        <w:t>年</w:t>
      </w:r>
      <w:r>
        <w:rPr>
          <w:lang w:eastAsia="zh-CN"/>
        </w:rPr>
        <w:t>9</w:t>
      </w:r>
      <w:r>
        <w:rPr>
          <w:lang w:eastAsia="zh-CN"/>
        </w:rPr>
        <w:t>月终止。作为</w:t>
      </w:r>
      <w:r>
        <w:rPr>
          <w:lang w:eastAsia="zh-CN"/>
        </w:rPr>
        <w:t>4</w:t>
      </w:r>
      <w:r>
        <w:rPr>
          <w:lang w:eastAsia="zh-CN"/>
        </w:rPr>
        <w:t>名相关董事的堂弟，该买家是明发公司的视作关连人士，而该拟出售事项则构成明发公司的一宗须予披露及关连交易。因此，明发公司未有遵守《上市规则》第</w:t>
      </w:r>
      <w:r>
        <w:rPr>
          <w:lang w:eastAsia="zh-CN"/>
        </w:rPr>
        <w:t>14</w:t>
      </w:r>
      <w:r>
        <w:rPr>
          <w:lang w:eastAsia="zh-CN"/>
        </w:rPr>
        <w:t>及</w:t>
      </w:r>
      <w:r>
        <w:rPr>
          <w:lang w:eastAsia="zh-CN"/>
        </w:rPr>
        <w:t>14A</w:t>
      </w:r>
      <w:r>
        <w:rPr>
          <w:lang w:eastAsia="zh-CN"/>
        </w:rPr>
        <w:t>章的公告及独立股东批准规定。黄焕明先生代表明发公司批</w:t>
      </w:r>
      <w:r>
        <w:rPr>
          <w:lang w:eastAsia="zh-CN"/>
        </w:rPr>
        <w:t>准及签署了该股权转让合同；虽然其他</w:t>
      </w:r>
      <w:r>
        <w:rPr>
          <w:lang w:eastAsia="zh-CN"/>
        </w:rPr>
        <w:t>3</w:t>
      </w:r>
      <w:r>
        <w:rPr>
          <w:lang w:eastAsia="zh-CN"/>
        </w:rPr>
        <w:t>名董事知悉该拟出售事项，但董事会其他成员并不知情。</w:t>
      </w:r>
    </w:p>
    <w:p w:rsidR="00A64113" w:rsidRDefault="009729D0">
      <w:pPr>
        <w:pStyle w:val="BodyText"/>
        <w:rPr>
          <w:lang w:eastAsia="zh-CN"/>
        </w:rPr>
      </w:pPr>
      <w:r>
        <w:rPr>
          <w:lang w:eastAsia="zh-CN"/>
        </w:rPr>
        <w:t>2013</w:t>
      </w:r>
      <w:r>
        <w:rPr>
          <w:lang w:eastAsia="zh-CN"/>
        </w:rPr>
        <w:t>年</w:t>
      </w:r>
      <w:r>
        <w:rPr>
          <w:lang w:eastAsia="zh-CN"/>
        </w:rPr>
        <w:t>1</w:t>
      </w:r>
      <w:r>
        <w:rPr>
          <w:lang w:eastAsia="zh-CN"/>
        </w:rPr>
        <w:t>月，明发公司与</w:t>
      </w:r>
      <w:r>
        <w:rPr>
          <w:lang w:eastAsia="zh-CN"/>
        </w:rPr>
        <w:t>2</w:t>
      </w:r>
      <w:r>
        <w:rPr>
          <w:lang w:eastAsia="zh-CN"/>
        </w:rPr>
        <w:t>名订约方（为陈先生及黄焕明先生的配偶的兄弟）订立了</w:t>
      </w:r>
      <w:r>
        <w:rPr>
          <w:lang w:eastAsia="zh-CN"/>
        </w:rPr>
        <w:t>2</w:t>
      </w:r>
      <w:r>
        <w:rPr>
          <w:lang w:eastAsia="zh-CN"/>
        </w:rPr>
        <w:t>份框架协议。协议中规定立约各方可于</w:t>
      </w:r>
      <w:r>
        <w:rPr>
          <w:lang w:eastAsia="zh-CN"/>
        </w:rPr>
        <w:t>5</w:t>
      </w:r>
      <w:r>
        <w:rPr>
          <w:lang w:eastAsia="zh-CN"/>
        </w:rPr>
        <w:t>年期内互相借取款项，息率按当时银行利率加</w:t>
      </w:r>
      <w:r>
        <w:rPr>
          <w:lang w:eastAsia="zh-CN"/>
        </w:rPr>
        <w:t>20%</w:t>
      </w:r>
      <w:r>
        <w:rPr>
          <w:lang w:eastAsia="zh-CN"/>
        </w:rPr>
        <w:t>计算，于</w:t>
      </w:r>
      <w:r>
        <w:rPr>
          <w:lang w:eastAsia="zh-CN"/>
        </w:rPr>
        <w:t>5</w:t>
      </w:r>
      <w:r>
        <w:rPr>
          <w:lang w:eastAsia="zh-CN"/>
        </w:rPr>
        <w:t>年期结束时支付。于</w:t>
      </w:r>
      <w:r>
        <w:rPr>
          <w:lang w:eastAsia="zh-CN"/>
        </w:rPr>
        <w:t>2013</w:t>
      </w:r>
      <w:r>
        <w:rPr>
          <w:lang w:eastAsia="zh-CN"/>
        </w:rPr>
        <w:t>年至</w:t>
      </w:r>
      <w:r>
        <w:rPr>
          <w:lang w:eastAsia="zh-CN"/>
        </w:rPr>
        <w:t>2017</w:t>
      </w:r>
      <w:r>
        <w:rPr>
          <w:lang w:eastAsia="zh-CN"/>
        </w:rPr>
        <w:t>年期间，明发公司根据框架协议向陈先生的关连实体借入及借出了多笔贷款。该等框架协议由黄焕明先生磋商、批准及签署，并未知会明发公司董事会。框架协议亦一直由黄焕明先生保管，直至</w:t>
      </w:r>
      <w:r>
        <w:rPr>
          <w:lang w:eastAsia="zh-CN"/>
        </w:rPr>
        <w:t>2016</w:t>
      </w:r>
      <w:r>
        <w:rPr>
          <w:lang w:eastAsia="zh-CN"/>
        </w:rPr>
        <w:t>年</w:t>
      </w:r>
      <w:r>
        <w:rPr>
          <w:lang w:eastAsia="zh-CN"/>
        </w:rPr>
        <w:t>3</w:t>
      </w:r>
      <w:r>
        <w:rPr>
          <w:lang w:eastAsia="zh-CN"/>
        </w:rPr>
        <w:t>月才提供予明发公司的核数师。黄焕</w:t>
      </w:r>
      <w:r>
        <w:rPr>
          <w:lang w:eastAsia="zh-CN"/>
        </w:rPr>
        <w:t>明先生、黄庆祝先生及黄连春先生曾批准偿还明发公司根据框架协议借入的贷款。所有其他董事于</w:t>
      </w:r>
      <w:r>
        <w:rPr>
          <w:lang w:eastAsia="zh-CN"/>
        </w:rPr>
        <w:t>2016</w:t>
      </w:r>
      <w:r>
        <w:rPr>
          <w:lang w:eastAsia="zh-CN"/>
        </w:rPr>
        <w:t>年</w:t>
      </w:r>
      <w:r>
        <w:rPr>
          <w:lang w:eastAsia="zh-CN"/>
        </w:rPr>
        <w:t>3</w:t>
      </w:r>
      <w:r>
        <w:rPr>
          <w:lang w:eastAsia="zh-CN"/>
        </w:rPr>
        <w:t>月前对该等框架协议概不知情。</w:t>
      </w:r>
    </w:p>
    <w:p w:rsidR="00A64113" w:rsidRDefault="009729D0">
      <w:pPr>
        <w:pStyle w:val="BodyText"/>
        <w:rPr>
          <w:lang w:eastAsia="zh-CN"/>
        </w:rPr>
      </w:pPr>
      <w:r>
        <w:rPr>
          <w:lang w:eastAsia="zh-CN"/>
        </w:rPr>
        <w:t>2015</w:t>
      </w:r>
      <w:r>
        <w:rPr>
          <w:lang w:eastAsia="zh-CN"/>
        </w:rPr>
        <w:t>年</w:t>
      </w:r>
      <w:r>
        <w:rPr>
          <w:lang w:eastAsia="zh-CN"/>
        </w:rPr>
        <w:t>11</w:t>
      </w:r>
      <w:r>
        <w:rPr>
          <w:lang w:eastAsia="zh-CN"/>
        </w:rPr>
        <w:t>月，明发公司与</w:t>
      </w:r>
      <w:r>
        <w:rPr>
          <w:lang w:eastAsia="zh-CN"/>
        </w:rPr>
        <w:t>2</w:t>
      </w:r>
      <w:r>
        <w:rPr>
          <w:lang w:eastAsia="zh-CN"/>
        </w:rPr>
        <w:t>名总承建商及</w:t>
      </w:r>
      <w:r>
        <w:rPr>
          <w:lang w:eastAsia="zh-CN"/>
        </w:rPr>
        <w:t>1</w:t>
      </w:r>
      <w:r>
        <w:rPr>
          <w:lang w:eastAsia="zh-CN"/>
        </w:rPr>
        <w:t>名分包商订立了三方协议，该协议中各方同意明发公司偿付其欠</w:t>
      </w:r>
      <w:r>
        <w:rPr>
          <w:lang w:eastAsia="zh-CN"/>
        </w:rPr>
        <w:t>2</w:t>
      </w:r>
      <w:r>
        <w:rPr>
          <w:lang w:eastAsia="zh-CN"/>
        </w:rPr>
        <w:t>名总承建商的部分债务（即总债务人民币</w:t>
      </w:r>
      <w:r>
        <w:rPr>
          <w:lang w:eastAsia="zh-CN"/>
        </w:rPr>
        <w:t>7.4311</w:t>
      </w:r>
      <w:r>
        <w:rPr>
          <w:lang w:eastAsia="zh-CN"/>
        </w:rPr>
        <w:t>亿元中的人民币</w:t>
      </w:r>
      <w:r>
        <w:rPr>
          <w:lang w:eastAsia="zh-CN"/>
        </w:rPr>
        <w:t>6.44</w:t>
      </w:r>
      <w:r>
        <w:rPr>
          <w:lang w:eastAsia="zh-CN"/>
        </w:rPr>
        <w:t>亿元）。该项安排涉及将明发公司开发的</w:t>
      </w:r>
      <w:r>
        <w:rPr>
          <w:lang w:eastAsia="zh-CN"/>
        </w:rPr>
        <w:t>42</w:t>
      </w:r>
      <w:r>
        <w:rPr>
          <w:lang w:eastAsia="zh-CN"/>
        </w:rPr>
        <w:t>幢别墅的使用权转让给分包商（该</w:t>
      </w:r>
      <w:r>
        <w:rPr>
          <w:lang w:eastAsia="zh-CN"/>
        </w:rPr>
        <w:t>2</w:t>
      </w:r>
      <w:r>
        <w:rPr>
          <w:lang w:eastAsia="zh-CN"/>
        </w:rPr>
        <w:t>名总承建商都欠此分包商款项），然后分包商安排签署陈先生和上述买方接收</w:t>
      </w:r>
      <w:r>
        <w:rPr>
          <w:lang w:eastAsia="zh-CN"/>
        </w:rPr>
        <w:t>42</w:t>
      </w:r>
      <w:r>
        <w:rPr>
          <w:lang w:eastAsia="zh-CN"/>
        </w:rPr>
        <w:t>幢别墅。其后，明发公司与买方和陈先生另订协</w:t>
      </w:r>
      <w:r>
        <w:rPr>
          <w:lang w:eastAsia="zh-CN"/>
        </w:rPr>
        <w:lastRenderedPageBreak/>
        <w:t>议，于</w:t>
      </w:r>
      <w:r>
        <w:rPr>
          <w:lang w:eastAsia="zh-CN"/>
        </w:rPr>
        <w:t>2015</w:t>
      </w:r>
      <w:r>
        <w:rPr>
          <w:lang w:eastAsia="zh-CN"/>
        </w:rPr>
        <w:t>年</w:t>
      </w:r>
      <w:r>
        <w:rPr>
          <w:lang w:eastAsia="zh-CN"/>
        </w:rPr>
        <w:t>12</w:t>
      </w:r>
      <w:r>
        <w:rPr>
          <w:lang w:eastAsia="zh-CN"/>
        </w:rPr>
        <w:t>月向其</w:t>
      </w:r>
      <w:r>
        <w:rPr>
          <w:lang w:eastAsia="zh-CN"/>
        </w:rPr>
        <w:t>交付该</w:t>
      </w:r>
      <w:r>
        <w:rPr>
          <w:lang w:eastAsia="zh-CN"/>
        </w:rPr>
        <w:t>42</w:t>
      </w:r>
      <w:r>
        <w:rPr>
          <w:lang w:eastAsia="zh-CN"/>
        </w:rPr>
        <w:t>幢别墅。黄焕明先生批准了上述安排，并负责磋商及审批有关出售该</w:t>
      </w:r>
      <w:r>
        <w:rPr>
          <w:lang w:eastAsia="zh-CN"/>
        </w:rPr>
        <w:t>42</w:t>
      </w:r>
      <w:r>
        <w:rPr>
          <w:lang w:eastAsia="zh-CN"/>
        </w:rPr>
        <w:t>幢别墅的协议，而在正式出售该</w:t>
      </w:r>
      <w:r>
        <w:rPr>
          <w:lang w:eastAsia="zh-CN"/>
        </w:rPr>
        <w:t>42</w:t>
      </w:r>
      <w:r>
        <w:rPr>
          <w:lang w:eastAsia="zh-CN"/>
        </w:rPr>
        <w:t>幢别墅前并无对该等别墅进行专业估值。</w:t>
      </w:r>
    </w:p>
    <w:p w:rsidR="00A64113" w:rsidRDefault="009729D0">
      <w:pPr>
        <w:pStyle w:val="BodyText"/>
        <w:rPr>
          <w:lang w:eastAsia="zh-CN"/>
        </w:rPr>
      </w:pPr>
      <w:r>
        <w:rPr>
          <w:lang w:eastAsia="zh-CN"/>
        </w:rPr>
        <w:t>2015</w:t>
      </w:r>
      <w:r>
        <w:rPr>
          <w:lang w:eastAsia="zh-CN"/>
        </w:rPr>
        <w:t>年，明发公司订立了另一项安排，将其于一家全资拥有公司成都梦谷的股权转让予陈先生拥有的一家实体，然后再转让予一家第三方公司。转让代价由明发公司支付并退回明发公司。转让时承让人并无提供任何抵押品给明发公司。于</w:t>
      </w:r>
      <w:r>
        <w:rPr>
          <w:lang w:eastAsia="zh-CN"/>
        </w:rPr>
        <w:t>2017</w:t>
      </w:r>
      <w:r>
        <w:rPr>
          <w:lang w:eastAsia="zh-CN"/>
        </w:rPr>
        <w:t>年</w:t>
      </w:r>
      <w:r>
        <w:rPr>
          <w:lang w:eastAsia="zh-CN"/>
        </w:rPr>
        <w:t>12</w:t>
      </w:r>
      <w:r>
        <w:rPr>
          <w:lang w:eastAsia="zh-CN"/>
        </w:rPr>
        <w:t>月，第三方公司承让人表示其将无偿把成都梦谷归还给明发公司。所有该等交易均是经由黄焕明先生批准，且除黄焕明先生外，明发公司其余董事对成都梦谷转让</w:t>
      </w:r>
      <w:r>
        <w:rPr>
          <w:lang w:eastAsia="zh-CN"/>
        </w:rPr>
        <w:t>或相关协议及付款概不知情，亦未曾知悉过。</w:t>
      </w:r>
    </w:p>
    <w:p w:rsidR="00A64113" w:rsidRDefault="009729D0">
      <w:pPr>
        <w:pStyle w:val="BodyText"/>
        <w:rPr>
          <w:lang w:eastAsia="zh-CN"/>
        </w:rPr>
      </w:pPr>
      <w:r>
        <w:rPr>
          <w:lang w:eastAsia="zh-CN"/>
        </w:rPr>
        <w:t>2015</w:t>
      </w:r>
      <w:r>
        <w:rPr>
          <w:lang w:eastAsia="zh-CN"/>
        </w:rPr>
        <w:t>年</w:t>
      </w:r>
      <w:r>
        <w:rPr>
          <w:lang w:eastAsia="zh-CN"/>
        </w:rPr>
        <w:t>3</w:t>
      </w:r>
      <w:r>
        <w:rPr>
          <w:lang w:eastAsia="zh-CN"/>
        </w:rPr>
        <w:t>月，明发公司与无锡三阳及担保人订立战略合作协议，内容有关明发公司拟投资无锡三阳兴建的物业项目。然而，明发公司未对无锡三阳进行任何尽职审查便已向其支付按金人民币</w:t>
      </w:r>
      <w:r>
        <w:rPr>
          <w:lang w:eastAsia="zh-CN"/>
        </w:rPr>
        <w:t>1,500</w:t>
      </w:r>
      <w:r>
        <w:rPr>
          <w:lang w:eastAsia="zh-CN"/>
        </w:rPr>
        <w:t>万元。根据战略合作协议，如投资最终告吹，无锡三阳须于</w:t>
      </w:r>
      <w:r>
        <w:rPr>
          <w:lang w:eastAsia="zh-CN"/>
        </w:rPr>
        <w:t>15</w:t>
      </w:r>
      <w:r>
        <w:rPr>
          <w:lang w:eastAsia="zh-CN"/>
        </w:rPr>
        <w:t>个月后退还按金。之后，最终没有投资机会告吹，而无锡三阳进行了清盘。明发公司在</w:t>
      </w:r>
      <w:r>
        <w:rPr>
          <w:lang w:eastAsia="zh-CN"/>
        </w:rPr>
        <w:t>2018</w:t>
      </w:r>
      <w:r>
        <w:rPr>
          <w:lang w:eastAsia="zh-CN"/>
        </w:rPr>
        <w:t>年只能从破产管理人处收回约人民币</w:t>
      </w:r>
      <w:r>
        <w:rPr>
          <w:lang w:eastAsia="zh-CN"/>
        </w:rPr>
        <w:t>230</w:t>
      </w:r>
      <w:r>
        <w:rPr>
          <w:lang w:eastAsia="zh-CN"/>
        </w:rPr>
        <w:t>万元。</w:t>
      </w:r>
    </w:p>
    <w:p w:rsidR="00A64113" w:rsidRDefault="009729D0">
      <w:pPr>
        <w:pStyle w:val="BodyText"/>
        <w:rPr>
          <w:lang w:eastAsia="zh-CN"/>
        </w:rPr>
      </w:pPr>
      <w:r>
        <w:rPr>
          <w:lang w:eastAsia="zh-CN"/>
        </w:rPr>
        <w:t>明发公司亦未能于《上市规则》第</w:t>
      </w:r>
      <w:r>
        <w:rPr>
          <w:lang w:eastAsia="zh-CN"/>
        </w:rPr>
        <w:t>13</w:t>
      </w:r>
      <w:r>
        <w:rPr>
          <w:lang w:eastAsia="zh-CN"/>
        </w:rPr>
        <w:t>章规定的时限内刊发／寄发诸多</w:t>
      </w:r>
      <w:hyperlink w:anchor="footnote-598-1">
        <w:r>
          <w:rPr>
            <w:vertAlign w:val="superscript"/>
            <w:lang w:eastAsia="zh-CN"/>
          </w:rPr>
          <w:t>1</w:t>
        </w:r>
      </w:hyperlink>
      <w:r>
        <w:rPr>
          <w:lang w:eastAsia="zh-CN"/>
        </w:rPr>
        <w:t>中期及年度业绩及报告。在该等交易的时间，上述</w:t>
      </w:r>
      <w:r>
        <w:rPr>
          <w:lang w:eastAsia="zh-CN"/>
        </w:rPr>
        <w:t>4</w:t>
      </w:r>
      <w:r>
        <w:rPr>
          <w:lang w:eastAsia="zh-CN"/>
        </w:rPr>
        <w:t>名董事负责明发公司的整体管理及运营。</w:t>
      </w:r>
    </w:p>
    <w:p w:rsidR="00A64113" w:rsidRDefault="009729D0">
      <w:pPr>
        <w:pStyle w:val="BodyText"/>
        <w:rPr>
          <w:lang w:eastAsia="zh-CN"/>
        </w:rPr>
      </w:pPr>
      <w:r>
        <w:rPr>
          <w:lang w:eastAsia="zh-CN"/>
        </w:rPr>
        <w:t>就上述资金流的所有缺失而言，安永（中国）企业咨询有限公司及德豪财务顾问有限公司（</w:t>
      </w:r>
      <w:r>
        <w:rPr>
          <w:b/>
          <w:lang w:eastAsia="zh-CN"/>
        </w:rPr>
        <w:t>德豪</w:t>
      </w:r>
      <w:r>
        <w:rPr>
          <w:lang w:eastAsia="zh-CN"/>
        </w:rPr>
        <w:t>）均发现明发公司的内部监控有缺失。安永及德豪发现明发公司并无订立书面的合约管理程序，亦无大额交易对账程序。此外，他们亦发现</w:t>
      </w:r>
      <w:r>
        <w:rPr>
          <w:lang w:eastAsia="zh-CN"/>
        </w:rPr>
        <w:t>(i)</w:t>
      </w:r>
      <w:r>
        <w:rPr>
          <w:lang w:eastAsia="zh-CN"/>
        </w:rPr>
        <w:t>明发公司没有制定利益冲突政策，要求雇员申报现有及潜在冲突；</w:t>
      </w:r>
      <w:r>
        <w:rPr>
          <w:lang w:eastAsia="zh-CN"/>
        </w:rPr>
        <w:t>(ii)</w:t>
      </w:r>
      <w:r>
        <w:rPr>
          <w:lang w:eastAsia="zh-CN"/>
        </w:rPr>
        <w:t>其关连人士及须予公布交易的名单并无分派给明发公司的附属公司；</w:t>
      </w:r>
      <w:r>
        <w:rPr>
          <w:lang w:eastAsia="zh-CN"/>
        </w:rPr>
        <w:t>(iii)</w:t>
      </w:r>
      <w:r>
        <w:rPr>
          <w:lang w:eastAsia="zh-CN"/>
        </w:rPr>
        <w:t>亦无规定</w:t>
      </w:r>
      <w:r>
        <w:rPr>
          <w:lang w:eastAsia="zh-CN"/>
        </w:rPr>
        <w:t>明发公司与其董事进行贷款交易时须订立书面协议，并无书面融资管理政策，亦无保留贷款及合约条款的评估及审批纪录；以及</w:t>
      </w:r>
      <w:r>
        <w:rPr>
          <w:lang w:eastAsia="zh-CN"/>
        </w:rPr>
        <w:t xml:space="preserve">(iv) </w:t>
      </w:r>
      <w:r>
        <w:rPr>
          <w:lang w:eastAsia="zh-CN"/>
        </w:rPr>
        <w:t>明发公司也没有保留其内部审计报告。</w:t>
      </w:r>
    </w:p>
    <w:p w:rsidR="00A64113" w:rsidRDefault="009729D0">
      <w:pPr>
        <w:pStyle w:val="BodyText"/>
        <w:rPr>
          <w:lang w:eastAsia="zh-CN"/>
        </w:rPr>
      </w:pPr>
      <w:r>
        <w:rPr>
          <w:lang w:eastAsia="zh-CN"/>
        </w:rPr>
        <w:t>结果，德豪向明发公司建议了多项补救措施，董事会也同意采纳以弥补相关内部监控缺欠。根据明发公司于</w:t>
      </w:r>
      <w:r>
        <w:rPr>
          <w:lang w:eastAsia="zh-CN"/>
        </w:rPr>
        <w:t xml:space="preserve">2019 </w:t>
      </w:r>
      <w:r>
        <w:rPr>
          <w:lang w:eastAsia="zh-CN"/>
        </w:rPr>
        <w:t>年</w:t>
      </w:r>
      <w:r>
        <w:rPr>
          <w:lang w:eastAsia="zh-CN"/>
        </w:rPr>
        <w:t xml:space="preserve"> 4 </w:t>
      </w:r>
      <w:r>
        <w:rPr>
          <w:lang w:eastAsia="zh-CN"/>
        </w:rPr>
        <w:t>月</w:t>
      </w:r>
      <w:r>
        <w:rPr>
          <w:lang w:eastAsia="zh-CN"/>
        </w:rPr>
        <w:t xml:space="preserve"> 30 </w:t>
      </w:r>
      <w:r>
        <w:rPr>
          <w:lang w:eastAsia="zh-CN"/>
        </w:rPr>
        <w:t>日刊发的公告，该等建议的措施之后均已实施。</w:t>
      </w:r>
    </w:p>
    <w:p w:rsidR="00A64113" w:rsidRDefault="009729D0">
      <w:pPr>
        <w:pStyle w:val="BodyText"/>
        <w:rPr>
          <w:lang w:eastAsia="zh-CN"/>
        </w:rPr>
      </w:pPr>
      <w:r>
        <w:rPr>
          <w:lang w:eastAsia="zh-CN"/>
        </w:rPr>
        <w:t>针对明发公司在香港违反香港交易所《上市规则》而采取的纪律行动</w:t>
      </w:r>
    </w:p>
    <w:p w:rsidR="00A64113" w:rsidRDefault="009729D0">
      <w:pPr>
        <w:pStyle w:val="BodyText"/>
        <w:rPr>
          <w:lang w:eastAsia="zh-CN"/>
        </w:rPr>
      </w:pPr>
      <w:r>
        <w:rPr>
          <w:lang w:eastAsia="zh-CN"/>
        </w:rPr>
        <w:t>基于以上，上市委员会裁定明发公司违反了《上市规则》以下各条：</w:t>
      </w:r>
    </w:p>
    <w:p w:rsidR="00A64113" w:rsidRDefault="009729D0">
      <w:pPr>
        <w:pStyle w:val="Compact"/>
        <w:numPr>
          <w:ilvl w:val="0"/>
          <w:numId w:val="3"/>
        </w:numPr>
        <w:rPr>
          <w:lang w:eastAsia="zh-CN"/>
        </w:rPr>
      </w:pPr>
      <w:r>
        <w:rPr>
          <w:lang w:eastAsia="zh-CN"/>
        </w:rPr>
        <w:t>第</w:t>
      </w:r>
      <w:r>
        <w:rPr>
          <w:lang w:eastAsia="zh-CN"/>
        </w:rPr>
        <w:t>14.34</w:t>
      </w:r>
      <w:r>
        <w:rPr>
          <w:lang w:eastAsia="zh-CN"/>
        </w:rPr>
        <w:t>、</w:t>
      </w:r>
      <w:r>
        <w:rPr>
          <w:lang w:eastAsia="zh-CN"/>
        </w:rPr>
        <w:t>14A.35</w:t>
      </w:r>
      <w:r>
        <w:rPr>
          <w:lang w:eastAsia="zh-CN"/>
        </w:rPr>
        <w:t>及</w:t>
      </w:r>
      <w:r>
        <w:rPr>
          <w:lang w:eastAsia="zh-CN"/>
        </w:rPr>
        <w:t>14A.36</w:t>
      </w:r>
      <w:r>
        <w:rPr>
          <w:lang w:eastAsia="zh-CN"/>
        </w:rPr>
        <w:t>条（就拟出售事项）；</w:t>
      </w:r>
    </w:p>
    <w:p w:rsidR="00A64113" w:rsidRDefault="009729D0">
      <w:pPr>
        <w:pStyle w:val="Compact"/>
        <w:numPr>
          <w:ilvl w:val="0"/>
          <w:numId w:val="3"/>
        </w:numPr>
        <w:rPr>
          <w:lang w:eastAsia="zh-CN"/>
        </w:rPr>
      </w:pPr>
      <w:r>
        <w:rPr>
          <w:lang w:eastAsia="zh-CN"/>
        </w:rPr>
        <w:t>第</w:t>
      </w:r>
      <w:r>
        <w:rPr>
          <w:lang w:eastAsia="zh-CN"/>
        </w:rPr>
        <w:t>14A.35</w:t>
      </w:r>
      <w:r>
        <w:rPr>
          <w:lang w:eastAsia="zh-CN"/>
        </w:rPr>
        <w:t>条（就出售</w:t>
      </w:r>
      <w:r>
        <w:rPr>
          <w:lang w:eastAsia="zh-CN"/>
        </w:rPr>
        <w:t>8</w:t>
      </w:r>
      <w:r>
        <w:rPr>
          <w:lang w:eastAsia="zh-CN"/>
        </w:rPr>
        <w:t>幢别墅）；及</w:t>
      </w:r>
    </w:p>
    <w:p w:rsidR="00A64113" w:rsidRDefault="009729D0">
      <w:pPr>
        <w:pStyle w:val="Compact"/>
        <w:numPr>
          <w:ilvl w:val="0"/>
          <w:numId w:val="3"/>
        </w:numPr>
        <w:rPr>
          <w:lang w:eastAsia="zh-CN"/>
        </w:rPr>
      </w:pPr>
      <w:r>
        <w:rPr>
          <w:lang w:eastAsia="zh-CN"/>
        </w:rPr>
        <w:t>第</w:t>
      </w:r>
      <w:r>
        <w:rPr>
          <w:lang w:eastAsia="zh-CN"/>
        </w:rPr>
        <w:t>13.46(2)(a)</w:t>
      </w:r>
      <w:r>
        <w:rPr>
          <w:lang w:eastAsia="zh-CN"/>
        </w:rPr>
        <w:t>条、第</w:t>
      </w:r>
      <w:r>
        <w:rPr>
          <w:lang w:eastAsia="zh-CN"/>
        </w:rPr>
        <w:t xml:space="preserve"> 13.49(1)</w:t>
      </w:r>
      <w:r>
        <w:rPr>
          <w:lang w:eastAsia="zh-CN"/>
        </w:rPr>
        <w:t>条及第</w:t>
      </w:r>
      <w:r>
        <w:rPr>
          <w:lang w:eastAsia="zh-CN"/>
        </w:rPr>
        <w:t>13.49(6)</w:t>
      </w:r>
      <w:r>
        <w:rPr>
          <w:lang w:eastAsia="zh-CN"/>
        </w:rPr>
        <w:t>条（就明发公司的有关年度业绩及报告）。</w:t>
      </w:r>
    </w:p>
    <w:p w:rsidR="00A64113" w:rsidRDefault="009729D0">
      <w:pPr>
        <w:pStyle w:val="FirstParagraph"/>
        <w:rPr>
          <w:lang w:eastAsia="zh-CN"/>
        </w:rPr>
      </w:pPr>
      <w:r>
        <w:rPr>
          <w:lang w:eastAsia="zh-CN"/>
        </w:rPr>
        <w:t>黄焕明先生就拟出售事项、出售别墅、框架协议及成都梦谷转让违反了《上市规则》第</w:t>
      </w:r>
      <w:r>
        <w:rPr>
          <w:lang w:eastAsia="zh-CN"/>
        </w:rPr>
        <w:t>3.08</w:t>
      </w:r>
      <w:r>
        <w:rPr>
          <w:lang w:eastAsia="zh-CN"/>
        </w:rPr>
        <w:t>条及其《董事承诺》，未能尽力遵守《上巿规则》并尽力促使明发公司遵守《上巿规则》。</w:t>
      </w:r>
    </w:p>
    <w:p w:rsidR="00A64113" w:rsidRDefault="009729D0">
      <w:pPr>
        <w:pStyle w:val="BodyText"/>
        <w:rPr>
          <w:lang w:eastAsia="zh-CN"/>
        </w:rPr>
      </w:pPr>
      <w:r>
        <w:rPr>
          <w:lang w:eastAsia="zh-CN"/>
        </w:rPr>
        <w:t>黄庆祝先生就拟出售事项、出售</w:t>
      </w:r>
      <w:r>
        <w:rPr>
          <w:lang w:eastAsia="zh-CN"/>
        </w:rPr>
        <w:t>8</w:t>
      </w:r>
      <w:r>
        <w:rPr>
          <w:lang w:eastAsia="zh-CN"/>
        </w:rPr>
        <w:t>幢别墅及框架协议违反了《上市规则》第</w:t>
      </w:r>
      <w:r>
        <w:rPr>
          <w:lang w:eastAsia="zh-CN"/>
        </w:rPr>
        <w:t>3.08</w:t>
      </w:r>
      <w:r>
        <w:rPr>
          <w:lang w:eastAsia="zh-CN"/>
        </w:rPr>
        <w:t>条及其《董事承诺》，未能尽力遵守《上巿规则》并尽力促使明发公司遵守《上巿规则》。</w:t>
      </w:r>
    </w:p>
    <w:p w:rsidR="00A64113" w:rsidRDefault="009729D0">
      <w:pPr>
        <w:pStyle w:val="BodyText"/>
        <w:rPr>
          <w:lang w:eastAsia="zh-CN"/>
        </w:rPr>
      </w:pPr>
      <w:r>
        <w:rPr>
          <w:lang w:eastAsia="zh-CN"/>
        </w:rPr>
        <w:t>黄连春先生就拟出售事项、出售</w:t>
      </w:r>
      <w:r>
        <w:rPr>
          <w:lang w:eastAsia="zh-CN"/>
        </w:rPr>
        <w:t>8</w:t>
      </w:r>
      <w:r>
        <w:rPr>
          <w:lang w:eastAsia="zh-CN"/>
        </w:rPr>
        <w:t>幢别墅、框</w:t>
      </w:r>
      <w:r>
        <w:rPr>
          <w:lang w:eastAsia="zh-CN"/>
        </w:rPr>
        <w:t>架协议及无锡三阳投资违反了《上市规则》第</w:t>
      </w:r>
      <w:r>
        <w:rPr>
          <w:lang w:eastAsia="zh-CN"/>
        </w:rPr>
        <w:t>3.08</w:t>
      </w:r>
      <w:r>
        <w:rPr>
          <w:lang w:eastAsia="zh-CN"/>
        </w:rPr>
        <w:t>条及其《董事承诺》，未能尽力遵守《上巿规则》并尽力促使明发公司遵守《上巿规则》。</w:t>
      </w:r>
    </w:p>
    <w:p w:rsidR="00A64113" w:rsidRDefault="009729D0">
      <w:pPr>
        <w:pStyle w:val="BodyText"/>
        <w:rPr>
          <w:lang w:eastAsia="zh-CN"/>
        </w:rPr>
      </w:pPr>
      <w:r>
        <w:rPr>
          <w:lang w:eastAsia="zh-CN"/>
        </w:rPr>
        <w:t>黄丽水先生就拟出售事项及出售</w:t>
      </w:r>
      <w:r>
        <w:rPr>
          <w:lang w:eastAsia="zh-CN"/>
        </w:rPr>
        <w:t>8</w:t>
      </w:r>
      <w:r>
        <w:rPr>
          <w:lang w:eastAsia="zh-CN"/>
        </w:rPr>
        <w:t>幢别墅违反了《上市规则》第</w:t>
      </w:r>
      <w:r>
        <w:rPr>
          <w:lang w:eastAsia="zh-CN"/>
        </w:rPr>
        <w:t>3.08</w:t>
      </w:r>
      <w:r>
        <w:rPr>
          <w:lang w:eastAsia="zh-CN"/>
        </w:rPr>
        <w:t>条及其《董事承诺》，未能尽力遵守《上巿规则》并尽力促使明发公司遵守《上巿规则》。</w:t>
      </w:r>
    </w:p>
    <w:p w:rsidR="00A64113" w:rsidRDefault="009729D0">
      <w:pPr>
        <w:pStyle w:val="BodyText"/>
        <w:rPr>
          <w:lang w:eastAsia="zh-CN"/>
        </w:rPr>
      </w:pPr>
      <w:r>
        <w:rPr>
          <w:lang w:eastAsia="zh-CN"/>
        </w:rPr>
        <w:t>香港法庭颁令马胜金融集团及马胜金融因失当行为向投资者支付损害赔偿</w:t>
      </w:r>
    </w:p>
    <w:p w:rsidR="00A64113" w:rsidRDefault="009729D0">
      <w:pPr>
        <w:pStyle w:val="BodyText"/>
        <w:rPr>
          <w:lang w:eastAsia="zh-CN"/>
        </w:rPr>
      </w:pPr>
      <w:r>
        <w:rPr>
          <w:lang w:eastAsia="zh-CN"/>
        </w:rPr>
        <w:t>2022</w:t>
      </w:r>
      <w:r>
        <w:rPr>
          <w:lang w:eastAsia="zh-CN"/>
        </w:rPr>
        <w:t>年</w:t>
      </w:r>
      <w:r>
        <w:rPr>
          <w:lang w:eastAsia="zh-CN"/>
        </w:rPr>
        <w:t>6</w:t>
      </w:r>
      <w:r>
        <w:rPr>
          <w:lang w:eastAsia="zh-CN"/>
        </w:rPr>
        <w:t>月</w:t>
      </w:r>
      <w:r>
        <w:rPr>
          <w:lang w:eastAsia="zh-CN"/>
        </w:rPr>
        <w:t>7</w:t>
      </w:r>
      <w:r>
        <w:rPr>
          <w:lang w:eastAsia="zh-CN"/>
        </w:rPr>
        <w:t>日，继证监会先前根据《证券及期货条例》第</w:t>
      </w:r>
      <w:r>
        <w:rPr>
          <w:lang w:eastAsia="zh-CN"/>
        </w:rPr>
        <w:t>213</w:t>
      </w:r>
      <w:r>
        <w:rPr>
          <w:lang w:eastAsia="zh-CN"/>
        </w:rPr>
        <w:t>条提起法律程序后，原讼法庭饬令马胜金融集团及马胜金融（统称</w:t>
      </w:r>
      <w:r>
        <w:rPr>
          <w:b/>
          <w:lang w:eastAsia="zh-CN"/>
        </w:rPr>
        <w:t>马胜</w:t>
      </w:r>
      <w:r>
        <w:rPr>
          <w:lang w:eastAsia="zh-CN"/>
        </w:rPr>
        <w:t>）就它们未能向已投资马胜投资计划的投资者返还款</w:t>
      </w:r>
      <w:r>
        <w:rPr>
          <w:lang w:eastAsia="zh-CN"/>
        </w:rPr>
        <w:t>项事宜向投资者支付款项。原讼法庭案件资料载列于</w:t>
      </w:r>
      <w:hyperlink r:id="rId11">
        <w:r>
          <w:rPr>
            <w:lang w:eastAsia="zh-CN"/>
          </w:rPr>
          <w:t>此处</w:t>
        </w:r>
      </w:hyperlink>
      <w:r>
        <w:rPr>
          <w:lang w:eastAsia="zh-CN"/>
        </w:rPr>
        <w:t>。</w:t>
      </w:r>
    </w:p>
    <w:p w:rsidR="00A64113" w:rsidRDefault="009729D0">
      <w:pPr>
        <w:pStyle w:val="BodyText"/>
        <w:rPr>
          <w:lang w:eastAsia="zh-CN"/>
        </w:rPr>
      </w:pPr>
      <w:r>
        <w:rPr>
          <w:lang w:eastAsia="zh-CN"/>
        </w:rPr>
        <w:lastRenderedPageBreak/>
        <w:t>失实陈述及之后因为在香港的失当行为被香港法庭签发强制令</w:t>
      </w:r>
    </w:p>
    <w:p w:rsidR="00A64113" w:rsidRDefault="009729D0">
      <w:pPr>
        <w:pStyle w:val="BodyText"/>
        <w:rPr>
          <w:lang w:eastAsia="zh-CN"/>
        </w:rPr>
      </w:pPr>
      <w:r>
        <w:rPr>
          <w:lang w:eastAsia="zh-CN"/>
        </w:rPr>
        <w:t>2014</w:t>
      </w:r>
      <w:r>
        <w:rPr>
          <w:lang w:eastAsia="zh-CN"/>
        </w:rPr>
        <w:t>年</w:t>
      </w:r>
      <w:r>
        <w:rPr>
          <w:lang w:eastAsia="zh-CN"/>
        </w:rPr>
        <w:t>2</w:t>
      </w:r>
      <w:r>
        <w:rPr>
          <w:lang w:eastAsia="zh-CN"/>
        </w:rPr>
        <w:t>月，证监会收到投资者对马胜投资计划的投诉。之后证监会针对该事宜展开调查，并发现马胜从未获证监会</w:t>
      </w:r>
      <w:r>
        <w:rPr>
          <w:lang w:eastAsia="zh-CN"/>
        </w:rPr>
        <w:t>发牌从事任何受规管活动，且马胜已经在其网站及社交媒体和社交媒体以及其诸多研讨会及该等研讨会期间分发的资料中作出诸多不准确的陈述（例如已于纽约证券交易所上市）。</w:t>
      </w:r>
    </w:p>
    <w:p w:rsidR="00A64113" w:rsidRDefault="009729D0">
      <w:pPr>
        <w:pStyle w:val="BodyText"/>
        <w:rPr>
          <w:lang w:eastAsia="zh-CN"/>
        </w:rPr>
      </w:pPr>
      <w:r>
        <w:rPr>
          <w:lang w:eastAsia="zh-CN"/>
        </w:rPr>
        <w:t>2015</w:t>
      </w:r>
      <w:r>
        <w:rPr>
          <w:lang w:eastAsia="zh-CN"/>
        </w:rPr>
        <w:t>年</w:t>
      </w:r>
      <w:r>
        <w:rPr>
          <w:lang w:eastAsia="zh-CN"/>
        </w:rPr>
        <w:t>11</w:t>
      </w:r>
      <w:r>
        <w:rPr>
          <w:lang w:eastAsia="zh-CN"/>
        </w:rPr>
        <w:t>月及</w:t>
      </w:r>
      <w:r>
        <w:rPr>
          <w:lang w:eastAsia="zh-CN"/>
        </w:rPr>
        <w:t>12</w:t>
      </w:r>
      <w:r>
        <w:rPr>
          <w:lang w:eastAsia="zh-CN"/>
        </w:rPr>
        <w:t>月，证监会针对马胜取得临时强制令，冻结其价值约</w:t>
      </w:r>
      <w:r>
        <w:rPr>
          <w:lang w:eastAsia="zh-CN"/>
        </w:rPr>
        <w:t>2,350</w:t>
      </w:r>
      <w:r>
        <w:rPr>
          <w:lang w:eastAsia="zh-CN"/>
        </w:rPr>
        <w:t>万港元的款项，并禁止马胜经营《证券及期货条例》中所界定的受规管活动的业务。</w:t>
      </w:r>
    </w:p>
    <w:p w:rsidR="00A64113" w:rsidRDefault="009729D0">
      <w:pPr>
        <w:pStyle w:val="BodyText"/>
        <w:rPr>
          <w:lang w:eastAsia="zh-CN"/>
        </w:rPr>
      </w:pPr>
      <w:r>
        <w:rPr>
          <w:lang w:eastAsia="zh-CN"/>
        </w:rPr>
        <w:t>此外，证监会指控马胜违反了《证券及期货条例》第</w:t>
      </w:r>
      <w:r>
        <w:rPr>
          <w:lang w:eastAsia="zh-CN"/>
        </w:rPr>
        <w:t>109(1)</w:t>
      </w:r>
      <w:r>
        <w:rPr>
          <w:lang w:eastAsia="zh-CN"/>
        </w:rPr>
        <w:t>条及第</w:t>
      </w:r>
      <w:r>
        <w:rPr>
          <w:lang w:eastAsia="zh-CN"/>
        </w:rPr>
        <w:t>114(1)(b)</w:t>
      </w:r>
      <w:hyperlink w:anchor="footnote-598-2">
        <w:r>
          <w:rPr>
            <w:vertAlign w:val="superscript"/>
            <w:lang w:eastAsia="zh-CN"/>
          </w:rPr>
          <w:t>2</w:t>
        </w:r>
      </w:hyperlink>
      <w:r>
        <w:rPr>
          <w:lang w:eastAsia="zh-CN"/>
        </w:rPr>
        <w:t>条，并寻求《证券及期货条例》第</w:t>
      </w:r>
      <w:r>
        <w:rPr>
          <w:lang w:eastAsia="zh-CN"/>
        </w:rPr>
        <w:t>213(2</w:t>
      </w:r>
      <w:r>
        <w:rPr>
          <w:lang w:eastAsia="zh-CN"/>
        </w:rPr>
        <w:t>)</w:t>
      </w:r>
      <w:r>
        <w:rPr>
          <w:lang w:eastAsia="zh-CN"/>
        </w:rPr>
        <w:t>条下的宽免以将相关方恢复至其于该等交易之前的相关财务状况。</w:t>
      </w:r>
    </w:p>
    <w:p w:rsidR="00A64113" w:rsidRDefault="009729D0">
      <w:pPr>
        <w:pStyle w:val="BodyText"/>
        <w:rPr>
          <w:lang w:eastAsia="zh-CN"/>
        </w:rPr>
      </w:pPr>
      <w:r>
        <w:rPr>
          <w:lang w:eastAsia="zh-CN"/>
        </w:rPr>
        <w:t>香港法庭有关未获发牌及未注册公司的判决</w:t>
      </w:r>
    </w:p>
    <w:p w:rsidR="00A64113" w:rsidRDefault="009729D0">
      <w:pPr>
        <w:pStyle w:val="BodyText"/>
        <w:rPr>
          <w:lang w:eastAsia="zh-CN"/>
        </w:rPr>
      </w:pPr>
      <w:r>
        <w:rPr>
          <w:lang w:eastAsia="zh-CN"/>
        </w:rPr>
        <w:t>马胜被认为在没有获发牌未经注册且无合理理由的情况下，显示自己经营受规管活动的业务，违反了《证券及期货条例》第</w:t>
      </w:r>
      <w:r>
        <w:rPr>
          <w:lang w:eastAsia="zh-CN"/>
        </w:rPr>
        <w:t>114(1)(b)</w:t>
      </w:r>
      <w:r>
        <w:rPr>
          <w:lang w:eastAsia="zh-CN"/>
        </w:rPr>
        <w:t>条。而且，其在没有获发牌未经注册的情况下明知而发出显示自己准备进行指明受规管活动的广告，亦违反了《证券及期货条例》第</w:t>
      </w:r>
      <w:r>
        <w:rPr>
          <w:lang w:eastAsia="zh-CN"/>
        </w:rPr>
        <w:t>109(1)</w:t>
      </w:r>
      <w:r>
        <w:rPr>
          <w:lang w:eastAsia="zh-CN"/>
        </w:rPr>
        <w:t>条。</w:t>
      </w:r>
    </w:p>
    <w:p w:rsidR="00A64113" w:rsidRDefault="009729D0">
      <w:pPr>
        <w:pStyle w:val="BodyText"/>
        <w:rPr>
          <w:lang w:eastAsia="zh-CN"/>
        </w:rPr>
      </w:pPr>
      <w:r>
        <w:rPr>
          <w:lang w:eastAsia="zh-CN"/>
        </w:rPr>
        <w:t>因此，法庭饬令马胜勿显示自己在香港经营《证券及期货条例》中所界定的受规管活动的业务。法庭亦颁布强制令禁止马胜发出、刊登、传阅、分发及</w:t>
      </w:r>
      <w:r>
        <w:rPr>
          <w:lang w:eastAsia="zh-CN"/>
        </w:rPr>
        <w:t>/</w:t>
      </w:r>
      <w:r>
        <w:rPr>
          <w:lang w:eastAsia="zh-CN"/>
        </w:rPr>
        <w:t>或传播任何广告；</w:t>
      </w:r>
      <w:r>
        <w:rPr>
          <w:lang w:eastAsia="zh-CN"/>
        </w:rPr>
        <w:t>处置其银行账户任何款项；及关闭其所有网站。</w:t>
      </w:r>
    </w:p>
    <w:p w:rsidR="00A64113" w:rsidRDefault="009729D0">
      <w:pPr>
        <w:pStyle w:val="BodyText"/>
        <w:rPr>
          <w:lang w:eastAsia="zh-CN"/>
        </w:rPr>
      </w:pPr>
      <w:r>
        <w:rPr>
          <w:lang w:eastAsia="zh-CN"/>
        </w:rPr>
        <w:t>另外，法庭还饬令马胜按比例把款项返还予受其失当行为影响的投资者。</w:t>
      </w:r>
    </w:p>
    <w:p w:rsidR="00A64113" w:rsidRDefault="009729D0">
      <w:pPr>
        <w:pStyle w:val="BodyText"/>
        <w:rPr>
          <w:lang w:eastAsia="zh-CN"/>
        </w:rPr>
      </w:pPr>
      <w:r>
        <w:rPr>
          <w:lang w:eastAsia="zh-CN"/>
        </w:rPr>
        <w:t>证监会采取纪律行动对中国光大证券（香港）有限公司谴责及罚款</w:t>
      </w:r>
      <w:r>
        <w:rPr>
          <w:lang w:eastAsia="zh-CN"/>
        </w:rPr>
        <w:t>380</w:t>
      </w:r>
      <w:r>
        <w:rPr>
          <w:lang w:eastAsia="zh-CN"/>
        </w:rPr>
        <w:t>万港元</w:t>
      </w:r>
    </w:p>
    <w:p w:rsidR="00A64113" w:rsidRDefault="009729D0">
      <w:pPr>
        <w:pStyle w:val="BodyText"/>
        <w:rPr>
          <w:lang w:eastAsia="zh-CN"/>
        </w:rPr>
      </w:pPr>
      <w:r>
        <w:rPr>
          <w:lang w:eastAsia="zh-CN"/>
        </w:rPr>
        <w:t>2022</w:t>
      </w:r>
      <w:r>
        <w:rPr>
          <w:lang w:eastAsia="zh-CN"/>
        </w:rPr>
        <w:t>年</w:t>
      </w:r>
      <w:r>
        <w:rPr>
          <w:lang w:eastAsia="zh-CN"/>
        </w:rPr>
        <w:t>6</w:t>
      </w:r>
      <w:r>
        <w:rPr>
          <w:lang w:eastAsia="zh-CN"/>
        </w:rPr>
        <w:t>月</w:t>
      </w:r>
      <w:r>
        <w:rPr>
          <w:lang w:eastAsia="zh-CN"/>
        </w:rPr>
        <w:t>16</w:t>
      </w:r>
      <w:r>
        <w:rPr>
          <w:lang w:eastAsia="zh-CN"/>
        </w:rPr>
        <w:t>日，证监会公开谴责中国光大证券（香港）有限公司（</w:t>
      </w:r>
      <w:r>
        <w:rPr>
          <w:b/>
          <w:lang w:eastAsia="zh-CN"/>
        </w:rPr>
        <w:t>光大证券</w:t>
      </w:r>
      <w:r>
        <w:rPr>
          <w:lang w:eastAsia="zh-CN"/>
        </w:rPr>
        <w:t>）并对其处以</w:t>
      </w:r>
      <w:r>
        <w:rPr>
          <w:lang w:eastAsia="zh-CN"/>
        </w:rPr>
        <w:t>380</w:t>
      </w:r>
      <w:r>
        <w:rPr>
          <w:lang w:eastAsia="zh-CN"/>
        </w:rPr>
        <w:t>万港元罚款，原因是光大证券没有实施充足及有效的内部有关打击洗钱及恐怖分子资金筹集的监管规定制度和管控措施，以防范及减低与第三者存款（</w:t>
      </w:r>
      <w:r>
        <w:rPr>
          <w:lang w:eastAsia="zh-CN"/>
        </w:rPr>
        <w:t>2015</w:t>
      </w:r>
      <w:r>
        <w:rPr>
          <w:lang w:eastAsia="zh-CN"/>
        </w:rPr>
        <w:t>年</w:t>
      </w:r>
      <w:r>
        <w:rPr>
          <w:lang w:eastAsia="zh-CN"/>
        </w:rPr>
        <w:t>1</w:t>
      </w:r>
      <w:r>
        <w:rPr>
          <w:lang w:eastAsia="zh-CN"/>
        </w:rPr>
        <w:t>月至</w:t>
      </w:r>
      <w:r>
        <w:rPr>
          <w:lang w:eastAsia="zh-CN"/>
        </w:rPr>
        <w:t>2017</w:t>
      </w:r>
      <w:r>
        <w:rPr>
          <w:lang w:eastAsia="zh-CN"/>
        </w:rPr>
        <w:t>年</w:t>
      </w:r>
      <w:r>
        <w:rPr>
          <w:lang w:eastAsia="zh-CN"/>
        </w:rPr>
        <w:t>2</w:t>
      </w:r>
      <w:r>
        <w:rPr>
          <w:lang w:eastAsia="zh-CN"/>
        </w:rPr>
        <w:t>月期间）相关的洗钱及恐怖分子资金筹集风险。证监会的纪律行动声明载列于</w:t>
      </w:r>
      <w:hyperlink r:id="rId12">
        <w:r>
          <w:rPr>
            <w:lang w:eastAsia="zh-CN"/>
          </w:rPr>
          <w:t>此处</w:t>
        </w:r>
      </w:hyperlink>
      <w:r>
        <w:rPr>
          <w:lang w:eastAsia="zh-CN"/>
        </w:rPr>
        <w:t>。</w:t>
      </w:r>
    </w:p>
    <w:p w:rsidR="00A64113" w:rsidRDefault="009729D0">
      <w:pPr>
        <w:pStyle w:val="BodyText"/>
        <w:rPr>
          <w:lang w:eastAsia="zh-CN"/>
        </w:rPr>
      </w:pPr>
      <w:r>
        <w:rPr>
          <w:lang w:eastAsia="zh-CN"/>
        </w:rPr>
        <w:t>因应未能识别在香港的第三者存款而采取的纪律行动</w:t>
      </w:r>
    </w:p>
    <w:p w:rsidR="00A64113" w:rsidRDefault="009729D0">
      <w:pPr>
        <w:pStyle w:val="BodyText"/>
        <w:rPr>
          <w:lang w:eastAsia="zh-CN"/>
        </w:rPr>
      </w:pPr>
      <w:r>
        <w:rPr>
          <w:lang w:eastAsia="zh-CN"/>
        </w:rPr>
        <w:t>在该</w:t>
      </w:r>
      <w:r>
        <w:rPr>
          <w:lang w:eastAsia="zh-CN"/>
        </w:rPr>
        <w:t>2</w:t>
      </w:r>
      <w:r>
        <w:rPr>
          <w:lang w:eastAsia="zh-CN"/>
        </w:rPr>
        <w:t>年间（</w:t>
      </w:r>
      <w:r>
        <w:rPr>
          <w:lang w:eastAsia="zh-CN"/>
        </w:rPr>
        <w:t>2015</w:t>
      </w:r>
      <w:r>
        <w:rPr>
          <w:lang w:eastAsia="zh-CN"/>
        </w:rPr>
        <w:t>年</w:t>
      </w:r>
      <w:r>
        <w:rPr>
          <w:lang w:eastAsia="zh-CN"/>
        </w:rPr>
        <w:t>1</w:t>
      </w:r>
      <w:r>
        <w:rPr>
          <w:lang w:eastAsia="zh-CN"/>
        </w:rPr>
        <w:t>月至</w:t>
      </w:r>
      <w:r>
        <w:rPr>
          <w:lang w:eastAsia="zh-CN"/>
        </w:rPr>
        <w:t>2017</w:t>
      </w:r>
      <w:r>
        <w:rPr>
          <w:lang w:eastAsia="zh-CN"/>
        </w:rPr>
        <w:t>年</w:t>
      </w:r>
      <w:r>
        <w:rPr>
          <w:lang w:eastAsia="zh-CN"/>
        </w:rPr>
        <w:t>2</w:t>
      </w:r>
      <w:r>
        <w:rPr>
          <w:lang w:eastAsia="zh-CN"/>
        </w:rPr>
        <w:t>月期间），证监会抽样检视了</w:t>
      </w:r>
      <w:r>
        <w:rPr>
          <w:lang w:eastAsia="zh-CN"/>
        </w:rPr>
        <w:t>234</w:t>
      </w:r>
      <w:r>
        <w:rPr>
          <w:lang w:eastAsia="zh-CN"/>
        </w:rPr>
        <w:t>份客户存款，发现其中</w:t>
      </w:r>
      <w:r>
        <w:rPr>
          <w:lang w:eastAsia="zh-CN"/>
        </w:rPr>
        <w:t>76%</w:t>
      </w:r>
      <w:r>
        <w:rPr>
          <w:lang w:eastAsia="zh-CN"/>
        </w:rPr>
        <w:t>由第三者存入但当中只有一笔存款被光大证券识别为第三者存款。所有这些存款金额超过</w:t>
      </w:r>
      <w:r>
        <w:rPr>
          <w:lang w:eastAsia="zh-CN"/>
        </w:rPr>
        <w:t>2.5</w:t>
      </w:r>
      <w:r>
        <w:rPr>
          <w:lang w:eastAsia="zh-CN"/>
        </w:rPr>
        <w:t>亿港元。</w:t>
      </w:r>
    </w:p>
    <w:p w:rsidR="00A64113" w:rsidRDefault="009729D0">
      <w:pPr>
        <w:pStyle w:val="BodyText"/>
        <w:rPr>
          <w:lang w:eastAsia="zh-CN"/>
        </w:rPr>
      </w:pPr>
      <w:r>
        <w:rPr>
          <w:lang w:eastAsia="zh-CN"/>
        </w:rPr>
        <w:t>光大证券表示其设有程序以识别透过其于不同的银行开立的指</w:t>
      </w:r>
      <w:r>
        <w:rPr>
          <w:lang w:eastAsia="zh-CN"/>
        </w:rPr>
        <w:t>定汇集账户作出的第三者存款。然而，光大证券发现有关程序不适用于透过光大银行于一家本地银行开立的该等子帐户作出的客户存款。反而，光大证券仅进行每月审核。按照有关流程，光大证券的合规小组会随机选取该等子账户内最多</w:t>
      </w:r>
      <w:r>
        <w:rPr>
          <w:lang w:eastAsia="zh-CN"/>
        </w:rPr>
        <w:t xml:space="preserve"> 25 </w:t>
      </w:r>
      <w:r>
        <w:rPr>
          <w:lang w:eastAsia="zh-CN"/>
        </w:rPr>
        <w:t>笔客户存款，及要求上述的本地银行就所选取的存款提供证明文件。</w:t>
      </w:r>
    </w:p>
    <w:p w:rsidR="00A64113" w:rsidRDefault="009729D0">
      <w:pPr>
        <w:pStyle w:val="BodyText"/>
        <w:rPr>
          <w:lang w:eastAsia="zh-CN"/>
        </w:rPr>
      </w:pPr>
      <w:r>
        <w:rPr>
          <w:lang w:eastAsia="zh-CN"/>
        </w:rPr>
        <w:t>证监会认为该项每月审核存在缺失，原因是该审核是在存款已获接纳后才进行，且抽样规模有限。而且，本地银行未曾向光大证券作出任何书面回复。</w:t>
      </w:r>
    </w:p>
    <w:p w:rsidR="00A64113" w:rsidRDefault="009729D0">
      <w:pPr>
        <w:pStyle w:val="BodyText"/>
        <w:rPr>
          <w:lang w:eastAsia="zh-CN"/>
        </w:rPr>
      </w:pPr>
      <w:r>
        <w:rPr>
          <w:lang w:eastAsia="zh-CN"/>
        </w:rPr>
        <w:t>针对香港的可疑客户存款采取的纪律行动</w:t>
      </w:r>
    </w:p>
    <w:p w:rsidR="00A64113" w:rsidRDefault="009729D0">
      <w:pPr>
        <w:pStyle w:val="BodyText"/>
        <w:rPr>
          <w:lang w:eastAsia="zh-CN"/>
        </w:rPr>
      </w:pPr>
      <w:r>
        <w:rPr>
          <w:lang w:eastAsia="zh-CN"/>
        </w:rPr>
        <w:t>证监会在其对该事项进行调查期间成功识别出可疑存款，其发现：</w:t>
      </w:r>
    </w:p>
    <w:p w:rsidR="00A64113" w:rsidRDefault="009729D0">
      <w:pPr>
        <w:pStyle w:val="Compact"/>
        <w:numPr>
          <w:ilvl w:val="0"/>
          <w:numId w:val="4"/>
        </w:numPr>
        <w:rPr>
          <w:lang w:eastAsia="zh-CN"/>
        </w:rPr>
      </w:pPr>
      <w:r>
        <w:rPr>
          <w:lang w:eastAsia="zh-CN"/>
        </w:rPr>
        <w:t xml:space="preserve">11 </w:t>
      </w:r>
      <w:r>
        <w:rPr>
          <w:lang w:eastAsia="zh-CN"/>
        </w:rPr>
        <w:t>名客户从多名与其关系不明的第三者收到</w:t>
      </w:r>
      <w:r>
        <w:rPr>
          <w:lang w:eastAsia="zh-CN"/>
        </w:rPr>
        <w:t>5</w:t>
      </w:r>
      <w:r>
        <w:rPr>
          <w:lang w:eastAsia="zh-CN"/>
        </w:rPr>
        <w:t>笔或以上的存款；</w:t>
      </w:r>
    </w:p>
    <w:p w:rsidR="00A64113" w:rsidRDefault="009729D0">
      <w:pPr>
        <w:pStyle w:val="Compact"/>
        <w:numPr>
          <w:ilvl w:val="0"/>
          <w:numId w:val="4"/>
        </w:numPr>
        <w:rPr>
          <w:lang w:eastAsia="zh-CN"/>
        </w:rPr>
      </w:pPr>
      <w:r>
        <w:rPr>
          <w:lang w:eastAsia="zh-CN"/>
        </w:rPr>
        <w:t>7</w:t>
      </w:r>
      <w:r>
        <w:rPr>
          <w:lang w:eastAsia="zh-CN"/>
        </w:rPr>
        <w:t>名客户收到的存款净金额与他们的估计净资产不相称。在</w:t>
      </w:r>
      <w:r>
        <w:rPr>
          <w:lang w:eastAsia="zh-CN"/>
        </w:rPr>
        <w:t>2</w:t>
      </w:r>
      <w:r>
        <w:rPr>
          <w:lang w:eastAsia="zh-CN"/>
        </w:rPr>
        <w:t>宗个案中，存入客户账户的资金净额超过他们的估计净资产的</w:t>
      </w:r>
      <w:r>
        <w:rPr>
          <w:lang w:eastAsia="zh-CN"/>
        </w:rPr>
        <w:t>12</w:t>
      </w:r>
      <w:r>
        <w:rPr>
          <w:lang w:eastAsia="zh-CN"/>
        </w:rPr>
        <w:t>倍及</w:t>
      </w:r>
      <w:r>
        <w:rPr>
          <w:lang w:eastAsia="zh-CN"/>
        </w:rPr>
        <w:t>14</w:t>
      </w:r>
      <w:r>
        <w:rPr>
          <w:lang w:eastAsia="zh-CN"/>
        </w:rPr>
        <w:t>倍；及</w:t>
      </w:r>
    </w:p>
    <w:p w:rsidR="00A64113" w:rsidRDefault="009729D0">
      <w:pPr>
        <w:pStyle w:val="Compact"/>
        <w:numPr>
          <w:ilvl w:val="0"/>
          <w:numId w:val="4"/>
        </w:numPr>
        <w:rPr>
          <w:lang w:eastAsia="zh-CN"/>
        </w:rPr>
      </w:pPr>
      <w:r>
        <w:rPr>
          <w:lang w:eastAsia="zh-CN"/>
        </w:rPr>
        <w:t>在其中一次，</w:t>
      </w:r>
      <w:r>
        <w:rPr>
          <w:lang w:eastAsia="zh-CN"/>
        </w:rPr>
        <w:t>5</w:t>
      </w:r>
      <w:r>
        <w:rPr>
          <w:lang w:eastAsia="zh-CN"/>
        </w:rPr>
        <w:t>名看来互不相关的客户在</w:t>
      </w:r>
      <w:r>
        <w:rPr>
          <w:lang w:eastAsia="zh-CN"/>
        </w:rPr>
        <w:t>4</w:t>
      </w:r>
      <w:r>
        <w:rPr>
          <w:lang w:eastAsia="zh-CN"/>
        </w:rPr>
        <w:t>天内收到来自同</w:t>
      </w:r>
      <w:r>
        <w:rPr>
          <w:lang w:eastAsia="zh-CN"/>
        </w:rPr>
        <w:t>1</w:t>
      </w:r>
      <w:r>
        <w:rPr>
          <w:lang w:eastAsia="zh-CN"/>
        </w:rPr>
        <w:t>名第三者合共约</w:t>
      </w:r>
      <w:r>
        <w:rPr>
          <w:lang w:eastAsia="zh-CN"/>
        </w:rPr>
        <w:t xml:space="preserve"> 500 </w:t>
      </w:r>
      <w:r>
        <w:rPr>
          <w:lang w:eastAsia="zh-CN"/>
        </w:rPr>
        <w:t>万港元，而该</w:t>
      </w:r>
      <w:r>
        <w:rPr>
          <w:lang w:eastAsia="zh-CN"/>
        </w:rPr>
        <w:t>5</w:t>
      </w:r>
      <w:r>
        <w:rPr>
          <w:lang w:eastAsia="zh-CN"/>
        </w:rPr>
        <w:t>名客户使用有关资金买卖同一只股票</w:t>
      </w:r>
      <w:r>
        <w:rPr>
          <w:lang w:eastAsia="zh-CN"/>
        </w:rPr>
        <w:t xml:space="preserve"> </w:t>
      </w:r>
      <w:r>
        <w:rPr>
          <w:lang w:eastAsia="zh-CN"/>
        </w:rPr>
        <w:t>。</w:t>
      </w:r>
    </w:p>
    <w:p w:rsidR="00A64113" w:rsidRDefault="009729D0">
      <w:pPr>
        <w:pStyle w:val="FirstParagraph"/>
        <w:rPr>
          <w:lang w:eastAsia="zh-CN"/>
        </w:rPr>
      </w:pPr>
      <w:r>
        <w:rPr>
          <w:lang w:eastAsia="zh-CN"/>
        </w:rPr>
        <w:lastRenderedPageBreak/>
        <w:t>尽管出现了上述迹象，但光大证券未能侦测到任何可疑的客户存款，也没有对有关情况作出查询。</w:t>
      </w:r>
    </w:p>
    <w:p w:rsidR="00A64113" w:rsidRDefault="009729D0">
      <w:pPr>
        <w:pStyle w:val="BodyText"/>
        <w:rPr>
          <w:lang w:eastAsia="zh-CN"/>
        </w:rPr>
      </w:pPr>
      <w:r>
        <w:rPr>
          <w:lang w:eastAsia="zh-CN"/>
        </w:rPr>
        <w:t>违反《打击洗钱及恐怖分子资金筹集条例》（《打击洗钱条例》）及证监会《操守准则》</w:t>
      </w:r>
    </w:p>
    <w:p w:rsidR="00A64113" w:rsidRDefault="009729D0">
      <w:pPr>
        <w:pStyle w:val="BodyText"/>
        <w:rPr>
          <w:lang w:eastAsia="zh-CN"/>
        </w:rPr>
      </w:pPr>
      <w:r>
        <w:rPr>
          <w:lang w:eastAsia="zh-CN"/>
        </w:rPr>
        <w:t>鉴于上述缺失，光大证券由</w:t>
      </w:r>
      <w:r>
        <w:rPr>
          <w:lang w:eastAsia="zh-CN"/>
        </w:rPr>
        <w:t>此违反了《打击洗钱条例》附表</w:t>
      </w:r>
      <w:r>
        <w:rPr>
          <w:lang w:eastAsia="zh-CN"/>
        </w:rPr>
        <w:t>2</w:t>
      </w:r>
      <w:r>
        <w:rPr>
          <w:lang w:eastAsia="zh-CN"/>
        </w:rPr>
        <w:t>第</w:t>
      </w:r>
      <w:r>
        <w:rPr>
          <w:lang w:eastAsia="zh-CN"/>
        </w:rPr>
        <w:t>23</w:t>
      </w:r>
      <w:r>
        <w:rPr>
          <w:lang w:eastAsia="zh-CN"/>
        </w:rPr>
        <w:t>条、第</w:t>
      </w:r>
      <w:r>
        <w:rPr>
          <w:lang w:eastAsia="zh-CN"/>
        </w:rPr>
        <w:t>5(1)(b)</w:t>
      </w:r>
      <w:r>
        <w:rPr>
          <w:lang w:eastAsia="zh-CN"/>
        </w:rPr>
        <w:t>条及第</w:t>
      </w:r>
      <w:r>
        <w:rPr>
          <w:lang w:eastAsia="zh-CN"/>
        </w:rPr>
        <w:t>5(1)(c)</w:t>
      </w:r>
      <w:r>
        <w:rPr>
          <w:lang w:eastAsia="zh-CN"/>
        </w:rPr>
        <w:t>条。光大证券亦违反了《打击洗钱及恐怖分子资金筹集指引》（</w:t>
      </w:r>
      <w:r>
        <w:rPr>
          <w:lang w:eastAsia="zh-CN"/>
        </w:rPr>
        <w:t>2015</w:t>
      </w:r>
      <w:r>
        <w:rPr>
          <w:lang w:eastAsia="zh-CN"/>
        </w:rPr>
        <w:t>年</w:t>
      </w:r>
      <w:r>
        <w:rPr>
          <w:lang w:eastAsia="zh-CN"/>
        </w:rPr>
        <w:t>4</w:t>
      </w:r>
      <w:r>
        <w:rPr>
          <w:lang w:eastAsia="zh-CN"/>
        </w:rPr>
        <w:t>月版本）（</w:t>
      </w:r>
      <w:r>
        <w:rPr>
          <w:b/>
          <w:lang w:eastAsia="zh-CN"/>
        </w:rPr>
        <w:t>《打击洗钱指引》</w:t>
      </w:r>
      <w:r>
        <w:rPr>
          <w:lang w:eastAsia="zh-CN"/>
        </w:rPr>
        <w:t>）第</w:t>
      </w:r>
      <w:r>
        <w:rPr>
          <w:lang w:eastAsia="zh-CN"/>
        </w:rPr>
        <w:t xml:space="preserve"> 2.1 </w:t>
      </w:r>
      <w:r>
        <w:rPr>
          <w:lang w:eastAsia="zh-CN"/>
        </w:rPr>
        <w:t>段、第</w:t>
      </w:r>
      <w:r>
        <w:rPr>
          <w:lang w:eastAsia="zh-CN"/>
        </w:rPr>
        <w:t>5.1(b)</w:t>
      </w:r>
      <w:r>
        <w:rPr>
          <w:lang w:eastAsia="zh-CN"/>
        </w:rPr>
        <w:t>段、第</w:t>
      </w:r>
      <w:r>
        <w:rPr>
          <w:lang w:eastAsia="zh-CN"/>
        </w:rPr>
        <w:t>5.1(c)</w:t>
      </w:r>
      <w:r>
        <w:rPr>
          <w:lang w:eastAsia="zh-CN"/>
        </w:rPr>
        <w:t>段、第</w:t>
      </w:r>
      <w:r>
        <w:rPr>
          <w:lang w:eastAsia="zh-CN"/>
        </w:rPr>
        <w:t>5.10</w:t>
      </w:r>
      <w:r>
        <w:rPr>
          <w:lang w:eastAsia="zh-CN"/>
        </w:rPr>
        <w:t>段、第</w:t>
      </w:r>
      <w:r>
        <w:rPr>
          <w:lang w:eastAsia="zh-CN"/>
        </w:rPr>
        <w:t>5.11</w:t>
      </w:r>
      <w:r>
        <w:rPr>
          <w:lang w:eastAsia="zh-CN"/>
        </w:rPr>
        <w:t>段、第</w:t>
      </w:r>
      <w:r>
        <w:rPr>
          <w:lang w:eastAsia="zh-CN"/>
        </w:rPr>
        <w:t>7.11</w:t>
      </w:r>
      <w:r>
        <w:rPr>
          <w:lang w:eastAsia="zh-CN"/>
        </w:rPr>
        <w:t>段、第</w:t>
      </w:r>
      <w:r>
        <w:rPr>
          <w:lang w:eastAsia="zh-CN"/>
        </w:rPr>
        <w:t>7.14</w:t>
      </w:r>
      <w:r>
        <w:rPr>
          <w:lang w:eastAsia="zh-CN"/>
        </w:rPr>
        <w:t>段及第</w:t>
      </w:r>
      <w:r>
        <w:rPr>
          <w:lang w:eastAsia="zh-CN"/>
        </w:rPr>
        <w:t xml:space="preserve">7.39 </w:t>
      </w:r>
      <w:r>
        <w:rPr>
          <w:lang w:eastAsia="zh-CN"/>
        </w:rPr>
        <w:t>段，以及《证券及期货事务监察委员会持牌人或注册人操守准则》（</w:t>
      </w:r>
      <w:r>
        <w:rPr>
          <w:b/>
          <w:lang w:eastAsia="zh-CN"/>
        </w:rPr>
        <w:t>证监会《操守准则》</w:t>
      </w:r>
      <w:r>
        <w:rPr>
          <w:lang w:eastAsia="zh-CN"/>
        </w:rPr>
        <w:t>）第</w:t>
      </w:r>
      <w:r>
        <w:rPr>
          <w:lang w:eastAsia="zh-CN"/>
        </w:rPr>
        <w:t xml:space="preserve"> 3</w:t>
      </w:r>
      <w:r>
        <w:rPr>
          <w:lang w:eastAsia="zh-CN"/>
        </w:rPr>
        <w:t>项一般原则、第</w:t>
      </w:r>
      <w:r>
        <w:rPr>
          <w:lang w:eastAsia="zh-CN"/>
        </w:rPr>
        <w:t xml:space="preserve"> 7 </w:t>
      </w:r>
      <w:r>
        <w:rPr>
          <w:lang w:eastAsia="zh-CN"/>
        </w:rPr>
        <w:t>项一般原则及第</w:t>
      </w:r>
      <w:r>
        <w:rPr>
          <w:lang w:eastAsia="zh-CN"/>
        </w:rPr>
        <w:t xml:space="preserve"> 12.1 </w:t>
      </w:r>
      <w:r>
        <w:rPr>
          <w:lang w:eastAsia="zh-CN"/>
        </w:rPr>
        <w:t>段。</w:t>
      </w:r>
    </w:p>
    <w:p w:rsidR="00A64113" w:rsidRDefault="009729D0">
      <w:pPr>
        <w:pStyle w:val="BodyText"/>
        <w:rPr>
          <w:lang w:eastAsia="zh-CN"/>
        </w:rPr>
      </w:pPr>
      <w:r>
        <w:rPr>
          <w:lang w:eastAsia="zh-CN"/>
        </w:rPr>
        <w:t>证监会认为光大证券犯有失当行为，因此对光大证券进行谴责并处以</w:t>
      </w:r>
      <w:r>
        <w:rPr>
          <w:lang w:eastAsia="zh-CN"/>
        </w:rPr>
        <w:t>380</w:t>
      </w:r>
      <w:r>
        <w:rPr>
          <w:lang w:eastAsia="zh-CN"/>
        </w:rPr>
        <w:t>万港元罚款。</w:t>
      </w:r>
    </w:p>
    <w:p w:rsidR="00A64113" w:rsidRDefault="009729D0">
      <w:pPr>
        <w:pStyle w:val="BodyText"/>
        <w:rPr>
          <w:lang w:eastAsia="zh-CN"/>
        </w:rPr>
      </w:pPr>
      <w:r>
        <w:rPr>
          <w:lang w:eastAsia="zh-CN"/>
        </w:rPr>
        <w:t>证</w:t>
      </w:r>
      <w:r>
        <w:rPr>
          <w:lang w:eastAsia="zh-CN"/>
        </w:rPr>
        <w:t>监会谴责东航国际金融</w:t>
      </w:r>
      <w:r>
        <w:rPr>
          <w:lang w:eastAsia="zh-CN"/>
        </w:rPr>
        <w:t>(</w:t>
      </w:r>
      <w:r>
        <w:rPr>
          <w:lang w:eastAsia="zh-CN"/>
        </w:rPr>
        <w:t>香港</w:t>
      </w:r>
      <w:r>
        <w:rPr>
          <w:lang w:eastAsia="zh-CN"/>
        </w:rPr>
        <w:t>)</w:t>
      </w:r>
      <w:r>
        <w:rPr>
          <w:lang w:eastAsia="zh-CN"/>
        </w:rPr>
        <w:t>有限公司并处以罚款</w:t>
      </w:r>
      <w:r>
        <w:rPr>
          <w:lang w:eastAsia="zh-CN"/>
        </w:rPr>
        <w:t>320</w:t>
      </w:r>
      <w:r>
        <w:rPr>
          <w:lang w:eastAsia="zh-CN"/>
        </w:rPr>
        <w:t>万港元的纪律行动</w:t>
      </w:r>
    </w:p>
    <w:p w:rsidR="00A64113" w:rsidRDefault="009729D0">
      <w:pPr>
        <w:pStyle w:val="BodyText"/>
        <w:rPr>
          <w:lang w:eastAsia="zh-CN"/>
        </w:rPr>
      </w:pPr>
      <w:r>
        <w:rPr>
          <w:lang w:eastAsia="zh-CN"/>
        </w:rPr>
        <w:t>2022</w:t>
      </w:r>
      <w:r>
        <w:rPr>
          <w:lang w:eastAsia="zh-CN"/>
        </w:rPr>
        <w:t>年</w:t>
      </w:r>
      <w:r>
        <w:rPr>
          <w:lang w:eastAsia="zh-CN"/>
        </w:rPr>
        <w:t>6</w:t>
      </w:r>
      <w:r>
        <w:rPr>
          <w:lang w:eastAsia="zh-CN"/>
        </w:rPr>
        <w:t>月</w:t>
      </w:r>
      <w:r>
        <w:rPr>
          <w:lang w:eastAsia="zh-CN"/>
        </w:rPr>
        <w:t>27</w:t>
      </w:r>
      <w:r>
        <w:rPr>
          <w:lang w:eastAsia="zh-CN"/>
        </w:rPr>
        <w:t>日，证监会公开谴责东航国际金融</w:t>
      </w:r>
      <w:r>
        <w:rPr>
          <w:lang w:eastAsia="zh-CN"/>
        </w:rPr>
        <w:t>(</w:t>
      </w:r>
      <w:r>
        <w:rPr>
          <w:lang w:eastAsia="zh-CN"/>
        </w:rPr>
        <w:t>香港</w:t>
      </w:r>
      <w:r>
        <w:rPr>
          <w:lang w:eastAsia="zh-CN"/>
        </w:rPr>
        <w:t>)</w:t>
      </w:r>
      <w:r>
        <w:rPr>
          <w:lang w:eastAsia="zh-CN"/>
        </w:rPr>
        <w:t>有限公司（</w:t>
      </w:r>
      <w:r>
        <w:rPr>
          <w:b/>
          <w:lang w:eastAsia="zh-CN"/>
        </w:rPr>
        <w:t>东金香港</w:t>
      </w:r>
      <w:r>
        <w:rPr>
          <w:lang w:eastAsia="zh-CN"/>
        </w:rPr>
        <w:t>）并处以</w:t>
      </w:r>
      <w:r>
        <w:rPr>
          <w:lang w:eastAsia="zh-CN"/>
        </w:rPr>
        <w:t>320</w:t>
      </w:r>
      <w:r>
        <w:rPr>
          <w:lang w:eastAsia="zh-CN"/>
        </w:rPr>
        <w:t>万港元罚款，原因是东金香港在</w:t>
      </w:r>
      <w:r>
        <w:rPr>
          <w:lang w:eastAsia="zh-CN"/>
        </w:rPr>
        <w:t>2015</w:t>
      </w:r>
      <w:r>
        <w:rPr>
          <w:lang w:eastAsia="zh-CN"/>
        </w:rPr>
        <w:t>年</w:t>
      </w:r>
      <w:r>
        <w:rPr>
          <w:lang w:eastAsia="zh-CN"/>
        </w:rPr>
        <w:t>2</w:t>
      </w:r>
      <w:r>
        <w:rPr>
          <w:lang w:eastAsia="zh-CN"/>
        </w:rPr>
        <w:t>月至</w:t>
      </w:r>
      <w:r>
        <w:rPr>
          <w:lang w:eastAsia="zh-CN"/>
        </w:rPr>
        <w:t>2017</w:t>
      </w:r>
      <w:r>
        <w:rPr>
          <w:lang w:eastAsia="zh-CN"/>
        </w:rPr>
        <w:t>年</w:t>
      </w:r>
      <w:r>
        <w:rPr>
          <w:lang w:eastAsia="zh-CN"/>
        </w:rPr>
        <w:t>7</w:t>
      </w:r>
      <w:r>
        <w:rPr>
          <w:lang w:eastAsia="zh-CN"/>
        </w:rPr>
        <w:t>月期间担任两只基金的投资经理时没有履行其应尽的职责。东金香港没有对基金的相关投资进行充分的尽职审查及进行监察；亦没有对声称就基金及其相关投资进行的尽职审查和监察保留适当的审计线索。证监会的纪律行动声明载列于</w:t>
      </w:r>
      <w:hyperlink r:id="rId13">
        <w:r>
          <w:rPr>
            <w:lang w:eastAsia="zh-CN"/>
          </w:rPr>
          <w:t>此处</w:t>
        </w:r>
      </w:hyperlink>
      <w:r>
        <w:rPr>
          <w:lang w:eastAsia="zh-CN"/>
        </w:rPr>
        <w:t>。</w:t>
      </w:r>
    </w:p>
    <w:p w:rsidR="00A64113" w:rsidRDefault="009729D0">
      <w:pPr>
        <w:pStyle w:val="BodyText"/>
        <w:rPr>
          <w:lang w:eastAsia="zh-CN"/>
        </w:rPr>
      </w:pPr>
      <w:r>
        <w:rPr>
          <w:lang w:eastAsia="zh-CN"/>
        </w:rPr>
        <w:t>背景及事实</w:t>
      </w:r>
    </w:p>
    <w:p w:rsidR="00A64113" w:rsidRDefault="009729D0">
      <w:pPr>
        <w:pStyle w:val="BodyText"/>
      </w:pPr>
      <w:r>
        <w:t>东金香港获</w:t>
      </w:r>
      <w:r>
        <w:t>Worldwide Opportunities Fund SPC</w:t>
      </w:r>
      <w:r>
        <w:t>（</w:t>
      </w:r>
      <w:r>
        <w:rPr>
          <w:b/>
        </w:rPr>
        <w:t>WOF</w:t>
      </w:r>
      <w:r>
        <w:t>）委任为</w:t>
      </w:r>
      <w:r>
        <w:t>2</w:t>
      </w:r>
      <w:r>
        <w:t>只基金的投资经理。这</w:t>
      </w:r>
      <w:r>
        <w:t>2</w:t>
      </w:r>
      <w:r>
        <w:t>只基金是</w:t>
      </w:r>
      <w:r>
        <w:t>Evergreen Growth Saver SP</w:t>
      </w:r>
      <w:r>
        <w:t>（</w:t>
      </w:r>
      <w:r>
        <w:rPr>
          <w:b/>
        </w:rPr>
        <w:t>EGSSP</w:t>
      </w:r>
      <w:r>
        <w:t>）</w:t>
      </w:r>
      <w:r>
        <w:t>—— 2015</w:t>
      </w:r>
      <w:r>
        <w:t>年</w:t>
      </w:r>
      <w:r>
        <w:t>2</w:t>
      </w:r>
      <w:r>
        <w:t>月至</w:t>
      </w:r>
      <w:r>
        <w:t>2018</w:t>
      </w:r>
      <w:r>
        <w:t>年</w:t>
      </w:r>
      <w:r>
        <w:t>1</w:t>
      </w:r>
      <w:r>
        <w:t>月及</w:t>
      </w:r>
      <w:r>
        <w:t>Hong Kong Investment Fund SP</w:t>
      </w:r>
      <w:r>
        <w:t>（</w:t>
      </w:r>
      <w:r>
        <w:rPr>
          <w:b/>
        </w:rPr>
        <w:t>HKIFSP</w:t>
      </w:r>
      <w:r>
        <w:rPr>
          <w:b/>
        </w:rPr>
        <w:t>）</w:t>
      </w:r>
      <w:r>
        <w:t xml:space="preserve"> </w:t>
      </w:r>
      <w:r>
        <w:t>—— 2016</w:t>
      </w:r>
      <w:r>
        <w:t>年</w:t>
      </w:r>
      <w:r>
        <w:t>3</w:t>
      </w:r>
      <w:r>
        <w:t>月至</w:t>
      </w:r>
      <w:r>
        <w:t>2018</w:t>
      </w:r>
      <w:r>
        <w:t>年</w:t>
      </w:r>
      <w:r>
        <w:t>1</w:t>
      </w:r>
      <w:r>
        <w:t>月。该</w:t>
      </w:r>
      <w:r>
        <w:t>2</w:t>
      </w:r>
      <w:r>
        <w:t>只基金的投资目标是透过将其大部分资产投资于收购在开曼群岛注册成立的标的公司「</w:t>
      </w:r>
      <w:r>
        <w:rPr>
          <w:i/>
        </w:rPr>
        <w:t>Real Estate and Finance Fund</w:t>
      </w:r>
      <w:r>
        <w:t>」的参与股份，为股东提供结构性投资回报。</w:t>
      </w:r>
    </w:p>
    <w:p w:rsidR="00A64113" w:rsidRDefault="009729D0">
      <w:pPr>
        <w:pStyle w:val="BodyText"/>
        <w:rPr>
          <w:lang w:eastAsia="zh-CN"/>
        </w:rPr>
      </w:pPr>
      <w:r>
        <w:t>2016</w:t>
      </w:r>
      <w:r>
        <w:t>年</w:t>
      </w:r>
      <w:r>
        <w:t>3</w:t>
      </w:r>
      <w:r>
        <w:t>月，</w:t>
      </w:r>
      <w:r>
        <w:t>WOF</w:t>
      </w:r>
      <w:r>
        <w:t>的董事通过一项决议以修订投资范围，从而将</w:t>
      </w:r>
      <w:r>
        <w:t xml:space="preserve"> EGSSP</w:t>
      </w:r>
      <w:r>
        <w:t>的标的公司由</w:t>
      </w:r>
      <w:r>
        <w:t>Real Estate and Finance Fund</w:t>
      </w:r>
      <w:r>
        <w:t>（</w:t>
      </w:r>
      <w:r>
        <w:rPr>
          <w:b/>
        </w:rPr>
        <w:t>REFF</w:t>
      </w:r>
      <w:r>
        <w:t>）改为另一家在开曼群岛注册的标的公司「</w:t>
      </w:r>
      <w:r>
        <w:rPr>
          <w:i/>
        </w:rPr>
        <w:t>Evergreen Growth Saver</w:t>
      </w:r>
      <w:r>
        <w:t>」（</w:t>
      </w:r>
      <w:r>
        <w:rPr>
          <w:b/>
        </w:rPr>
        <w:t>EGS</w:t>
      </w:r>
      <w:r>
        <w:t>），及订定标的公司</w:t>
      </w:r>
      <w:r>
        <w:t>EGS</w:t>
      </w:r>
      <w:r>
        <w:t>可投资于（其中包括）衍生工具</w:t>
      </w:r>
      <w:r>
        <w:t>及上市／非上市股票。</w:t>
      </w:r>
      <w:r>
        <w:rPr>
          <w:lang w:eastAsia="zh-CN"/>
        </w:rPr>
        <w:t>HKIFSP</w:t>
      </w:r>
      <w:r>
        <w:rPr>
          <w:lang w:eastAsia="zh-CN"/>
        </w:rPr>
        <w:t>亦进行类似修订，允许</w:t>
      </w:r>
      <w:r>
        <w:rPr>
          <w:lang w:eastAsia="zh-CN"/>
        </w:rPr>
        <w:t>REFF</w:t>
      </w:r>
      <w:r>
        <w:rPr>
          <w:lang w:eastAsia="zh-CN"/>
        </w:rPr>
        <w:t>投资于（其中包括）衍生工具及上市／非上市股票。该等修订统称为「</w:t>
      </w:r>
      <w:r>
        <w:rPr>
          <w:b/>
          <w:lang w:eastAsia="zh-CN"/>
        </w:rPr>
        <w:t>投资范围变更</w:t>
      </w:r>
      <w:r>
        <w:rPr>
          <w:lang w:eastAsia="zh-CN"/>
        </w:rPr>
        <w:t>」。</w:t>
      </w:r>
    </w:p>
    <w:p w:rsidR="00A64113" w:rsidRDefault="009729D0">
      <w:pPr>
        <w:pStyle w:val="BodyText"/>
        <w:rPr>
          <w:lang w:eastAsia="zh-CN"/>
        </w:rPr>
      </w:pPr>
      <w:r>
        <w:rPr>
          <w:lang w:eastAsia="zh-CN"/>
        </w:rPr>
        <w:t>作为香港投资经理的缺失</w:t>
      </w:r>
    </w:p>
    <w:p w:rsidR="00A64113" w:rsidRDefault="009729D0">
      <w:pPr>
        <w:pStyle w:val="BodyText"/>
        <w:rPr>
          <w:lang w:eastAsia="zh-CN"/>
        </w:rPr>
      </w:pPr>
      <w:r>
        <w:rPr>
          <w:lang w:eastAsia="zh-CN"/>
        </w:rPr>
        <w:t>由于</w:t>
      </w:r>
      <w:r>
        <w:rPr>
          <w:lang w:eastAsia="zh-CN"/>
        </w:rPr>
        <w:t>EGSSP</w:t>
      </w:r>
      <w:r>
        <w:rPr>
          <w:lang w:eastAsia="zh-CN"/>
        </w:rPr>
        <w:t>及</w:t>
      </w:r>
      <w:r>
        <w:rPr>
          <w:lang w:eastAsia="zh-CN"/>
        </w:rPr>
        <w:t>HKIFSP</w:t>
      </w:r>
      <w:r>
        <w:rPr>
          <w:lang w:eastAsia="zh-CN"/>
        </w:rPr>
        <w:t>的资产只投资于标的公司，该等基金的价值几乎完全取决于标的公司的表现，并受到标的公司的投资风险的影响。同样地，东金香港本应透过对标的公司进行尽职审查，以了解它们的背景、业务及相关投资和资产，以及持续监察标的公司的表现和风险承担，管理好该等基金的资产和监察其投资表现。</w:t>
      </w:r>
    </w:p>
    <w:p w:rsidR="00A64113" w:rsidRDefault="009729D0">
      <w:pPr>
        <w:pStyle w:val="BodyText"/>
        <w:rPr>
          <w:lang w:eastAsia="zh-CN"/>
        </w:rPr>
      </w:pPr>
      <w:r>
        <w:rPr>
          <w:lang w:eastAsia="zh-CN"/>
        </w:rPr>
        <w:t>然而，东金香港对标的公司进行的尽职审查极为有限，以致对</w:t>
      </w:r>
      <w:r>
        <w:rPr>
          <w:lang w:eastAsia="zh-CN"/>
        </w:rPr>
        <w:t>标的公司持有的投资及资产和有关的持有量，所知有限或甚至毫不知情。东金香港亦认为，其主要角色是确保该等基金的资产乃妥善投资于标的公司，而它并无义务或权利取得信息以确定标的公司的相关投资和资产。</w:t>
      </w:r>
    </w:p>
    <w:p w:rsidR="00A64113" w:rsidRDefault="009729D0">
      <w:pPr>
        <w:pStyle w:val="BodyText"/>
        <w:rPr>
          <w:lang w:eastAsia="zh-CN"/>
        </w:rPr>
      </w:pPr>
      <w:r>
        <w:rPr>
          <w:lang w:eastAsia="zh-CN"/>
        </w:rPr>
        <w:t>虽然东金香港声称，在投资范围变更之后，它曾要求</w:t>
      </w:r>
      <w:r>
        <w:rPr>
          <w:lang w:eastAsia="zh-CN"/>
        </w:rPr>
        <w:t>WOF</w:t>
      </w:r>
      <w:r>
        <w:rPr>
          <w:lang w:eastAsia="zh-CN"/>
        </w:rPr>
        <w:t>提供有关标的公司的相关投资的信息，但是东金香港未能交出任何纪录以支持这个说法，也未能具体说明何时作出过有关查询。虽然东金香港曾获提供部分地产物业的估值报告，但是并无证据证明东金香港曾采取任何步骤，以确定该等物业与标的公司之间的关系，也没有证据证明东金香港曾采取任何步骤</w:t>
      </w:r>
      <w:r>
        <w:rPr>
          <w:lang w:eastAsia="zh-CN"/>
        </w:rPr>
        <w:t>，以确定标的公司的投资组合内的剩余资产、投资和负债。</w:t>
      </w:r>
    </w:p>
    <w:p w:rsidR="00A64113" w:rsidRDefault="009729D0">
      <w:pPr>
        <w:pStyle w:val="BodyText"/>
        <w:rPr>
          <w:lang w:eastAsia="zh-CN"/>
        </w:rPr>
      </w:pPr>
      <w:r>
        <w:rPr>
          <w:lang w:eastAsia="zh-CN"/>
        </w:rPr>
        <w:t>在监察该等基金的表现方面，东金香港仅确认有关基金估值报告草稿中所载的数字与该等基金的认购／赎回及股份转让纪录相符，及重新计算了有关估值，以确保算术正确。东金香港并不知悉标的公司的真实估值。</w:t>
      </w:r>
    </w:p>
    <w:p w:rsidR="00A64113" w:rsidRDefault="009729D0">
      <w:pPr>
        <w:pStyle w:val="BodyText"/>
        <w:rPr>
          <w:lang w:eastAsia="zh-CN"/>
        </w:rPr>
      </w:pPr>
      <w:r>
        <w:rPr>
          <w:lang w:eastAsia="zh-CN"/>
        </w:rPr>
        <w:lastRenderedPageBreak/>
        <w:t>东金香港声称其资产管理部为检讨该等基金的表现定期举行会议，但也一直未能交出任何有关会议的纪录或在有关声称会议上的任何讨论的纪录。每月报告亦仅载述一些有关整体市场的数据，但没有对有关市场会如何影响该等基金提供任何分析意见。</w:t>
      </w:r>
    </w:p>
    <w:p w:rsidR="00A64113" w:rsidRDefault="009729D0">
      <w:pPr>
        <w:pStyle w:val="BodyText"/>
        <w:rPr>
          <w:lang w:eastAsia="zh-CN"/>
        </w:rPr>
      </w:pPr>
      <w:r>
        <w:rPr>
          <w:lang w:eastAsia="zh-CN"/>
        </w:rPr>
        <w:t>2016</w:t>
      </w:r>
      <w:r>
        <w:rPr>
          <w:lang w:eastAsia="zh-CN"/>
        </w:rPr>
        <w:t>年</w:t>
      </w:r>
      <w:r>
        <w:rPr>
          <w:lang w:eastAsia="zh-CN"/>
        </w:rPr>
        <w:t>9</w:t>
      </w:r>
      <w:r>
        <w:rPr>
          <w:lang w:eastAsia="zh-CN"/>
        </w:rPr>
        <w:t>月</w:t>
      </w:r>
      <w:r>
        <w:rPr>
          <w:lang w:eastAsia="zh-CN"/>
        </w:rPr>
        <w:t>30</w:t>
      </w:r>
      <w:r>
        <w:rPr>
          <w:lang w:eastAsia="zh-CN"/>
        </w:rPr>
        <w:t>日至</w:t>
      </w:r>
      <w:r>
        <w:rPr>
          <w:lang w:eastAsia="zh-CN"/>
        </w:rPr>
        <w:t>2016</w:t>
      </w:r>
      <w:r>
        <w:rPr>
          <w:lang w:eastAsia="zh-CN"/>
        </w:rPr>
        <w:t>年</w:t>
      </w:r>
      <w:r>
        <w:rPr>
          <w:lang w:eastAsia="zh-CN"/>
        </w:rPr>
        <w:t>11</w:t>
      </w:r>
      <w:r>
        <w:rPr>
          <w:lang w:eastAsia="zh-CN"/>
        </w:rPr>
        <w:t>月</w:t>
      </w:r>
      <w:r>
        <w:rPr>
          <w:lang w:eastAsia="zh-CN"/>
        </w:rPr>
        <w:t>30</w:t>
      </w:r>
      <w:r>
        <w:rPr>
          <w:lang w:eastAsia="zh-CN"/>
        </w:rPr>
        <w:t>日期</w:t>
      </w:r>
      <w:r>
        <w:rPr>
          <w:lang w:eastAsia="zh-CN"/>
        </w:rPr>
        <w:t>间，东金香港声称其知悉</w:t>
      </w:r>
      <w:r>
        <w:rPr>
          <w:lang w:eastAsia="zh-CN"/>
        </w:rPr>
        <w:t>EGSSP</w:t>
      </w:r>
      <w:r>
        <w:rPr>
          <w:lang w:eastAsia="zh-CN"/>
        </w:rPr>
        <w:t>每股资产净值由</w:t>
      </w:r>
      <w:r>
        <w:rPr>
          <w:lang w:eastAsia="zh-CN"/>
        </w:rPr>
        <w:t>2,251.987</w:t>
      </w:r>
      <w:r>
        <w:rPr>
          <w:lang w:eastAsia="zh-CN"/>
        </w:rPr>
        <w:t>港元跌至</w:t>
      </w:r>
      <w:r>
        <w:rPr>
          <w:lang w:eastAsia="zh-CN"/>
        </w:rPr>
        <w:t>546.872</w:t>
      </w:r>
      <w:r>
        <w:rPr>
          <w:lang w:eastAsia="zh-CN"/>
        </w:rPr>
        <w:t>港元。它随后向</w:t>
      </w:r>
      <w:r>
        <w:rPr>
          <w:lang w:eastAsia="zh-CN"/>
        </w:rPr>
        <w:t>WOF</w:t>
      </w:r>
      <w:r>
        <w:rPr>
          <w:lang w:eastAsia="zh-CN"/>
        </w:rPr>
        <w:t>的董事查询，而他们的解释是，</w:t>
      </w:r>
      <w:r>
        <w:rPr>
          <w:lang w:eastAsia="zh-CN"/>
        </w:rPr>
        <w:t xml:space="preserve">EGSSP </w:t>
      </w:r>
      <w:r>
        <w:rPr>
          <w:lang w:eastAsia="zh-CN"/>
        </w:rPr>
        <w:t>每股资产净值大幅下降是由于标的公司的资产组合价格下跌所致。东金香港没有采取任何进一步行动。然而，鉴于没有提供任何记录，该声称的讨论未获证明。直至</w:t>
      </w:r>
      <w:r>
        <w:rPr>
          <w:lang w:eastAsia="zh-CN"/>
        </w:rPr>
        <w:t>2017</w:t>
      </w:r>
      <w:r>
        <w:rPr>
          <w:lang w:eastAsia="zh-CN"/>
        </w:rPr>
        <w:t>年</w:t>
      </w:r>
      <w:r>
        <w:rPr>
          <w:lang w:eastAsia="zh-CN"/>
        </w:rPr>
        <w:t>8</w:t>
      </w:r>
      <w:r>
        <w:rPr>
          <w:lang w:eastAsia="zh-CN"/>
        </w:rPr>
        <w:t>月，即证监会对东金香港身为该等基金的投资经理的角色进行了有限度审查后，东金香港才开始积极向</w:t>
      </w:r>
      <w:r>
        <w:rPr>
          <w:lang w:eastAsia="zh-CN"/>
        </w:rPr>
        <w:t>WOF</w:t>
      </w:r>
      <w:r>
        <w:rPr>
          <w:lang w:eastAsia="zh-CN"/>
        </w:rPr>
        <w:t>及标的公司的管理层查询标的公司的相关投资及价格波动。</w:t>
      </w:r>
    </w:p>
    <w:p w:rsidR="00A64113" w:rsidRDefault="009729D0">
      <w:pPr>
        <w:pStyle w:val="BodyText"/>
        <w:rPr>
          <w:lang w:eastAsia="zh-CN"/>
        </w:rPr>
      </w:pPr>
      <w:r>
        <w:rPr>
          <w:lang w:eastAsia="zh-CN"/>
        </w:rPr>
        <w:t>证监会对东金香港缺失及违规的观点</w:t>
      </w:r>
    </w:p>
    <w:p w:rsidR="00A64113" w:rsidRDefault="009729D0">
      <w:pPr>
        <w:pStyle w:val="BodyText"/>
        <w:rPr>
          <w:lang w:eastAsia="zh-CN"/>
        </w:rPr>
      </w:pPr>
      <w:r>
        <w:rPr>
          <w:lang w:eastAsia="zh-CN"/>
        </w:rPr>
        <w:t>鉴于东金香港的若干缺失及违</w:t>
      </w:r>
      <w:r>
        <w:rPr>
          <w:lang w:eastAsia="zh-CN"/>
        </w:rPr>
        <w:t>规，证监会认为东金香港未能充分履行其职责，违反了证监会《基金经理操守准则》第</w:t>
      </w:r>
      <w:r>
        <w:rPr>
          <w:lang w:eastAsia="zh-CN"/>
        </w:rPr>
        <w:t>1.2(d)</w:t>
      </w:r>
      <w:r>
        <w:rPr>
          <w:lang w:eastAsia="zh-CN"/>
        </w:rPr>
        <w:t>段（日期为</w:t>
      </w:r>
      <w:r>
        <w:rPr>
          <w:lang w:eastAsia="zh-CN"/>
        </w:rPr>
        <w:t>2014</w:t>
      </w:r>
      <w:r>
        <w:rPr>
          <w:lang w:eastAsia="zh-CN"/>
        </w:rPr>
        <w:t>年</w:t>
      </w:r>
      <w:r>
        <w:rPr>
          <w:lang w:eastAsia="zh-CN"/>
        </w:rPr>
        <w:t>1</w:t>
      </w:r>
      <w:r>
        <w:rPr>
          <w:lang w:eastAsia="zh-CN"/>
        </w:rPr>
        <w:t>月的第二版）以及证监会《适用于证券及期货事务监察委员会持牌人或注册人的管理、监督及内部监控指引》第</w:t>
      </w:r>
      <w:r>
        <w:rPr>
          <w:lang w:eastAsia="zh-CN"/>
        </w:rPr>
        <w:t>VIII</w:t>
      </w:r>
      <w:r>
        <w:rPr>
          <w:lang w:eastAsia="zh-CN"/>
        </w:rPr>
        <w:t>节。东金香港的上述缺失令其称职地进行受规管活动的能力受到怀疑，而且证监会质疑其作为持牌人的适当人选资格。结果，东金香港被公开谴责并处以</w:t>
      </w:r>
      <w:r>
        <w:rPr>
          <w:lang w:eastAsia="zh-CN"/>
        </w:rPr>
        <w:t>320</w:t>
      </w:r>
      <w:r>
        <w:rPr>
          <w:lang w:eastAsia="zh-CN"/>
        </w:rPr>
        <w:t>万港元罚款。</w:t>
      </w:r>
    </w:p>
    <w:p w:rsidR="00A64113" w:rsidRDefault="009729D0">
      <w:pPr>
        <w:pStyle w:val="BodyText"/>
        <w:rPr>
          <w:lang w:eastAsia="zh-CN"/>
        </w:rPr>
      </w:pPr>
      <w:r>
        <w:rPr>
          <w:lang w:eastAsia="zh-CN"/>
        </w:rPr>
        <w:t>香港交易所及证监会于</w:t>
      </w:r>
      <w:r>
        <w:rPr>
          <w:lang w:eastAsia="zh-CN"/>
        </w:rPr>
        <w:t>2022</w:t>
      </w:r>
      <w:r>
        <w:rPr>
          <w:lang w:eastAsia="zh-CN"/>
        </w:rPr>
        <w:t>年</w:t>
      </w:r>
      <w:r>
        <w:rPr>
          <w:lang w:eastAsia="zh-CN"/>
        </w:rPr>
        <w:t>7</w:t>
      </w:r>
      <w:r>
        <w:rPr>
          <w:lang w:eastAsia="zh-CN"/>
        </w:rPr>
        <w:t>月份采取的纪律行动</w:t>
      </w:r>
    </w:p>
    <w:p w:rsidR="00A64113" w:rsidRDefault="009729D0">
      <w:pPr>
        <w:pStyle w:val="BodyText"/>
        <w:rPr>
          <w:lang w:eastAsia="zh-CN"/>
        </w:rPr>
      </w:pPr>
      <w:r>
        <w:rPr>
          <w:lang w:eastAsia="zh-CN"/>
        </w:rPr>
        <w:t>2022</w:t>
      </w:r>
      <w:r>
        <w:rPr>
          <w:lang w:eastAsia="zh-CN"/>
        </w:rPr>
        <w:t>年</w:t>
      </w:r>
      <w:r>
        <w:rPr>
          <w:lang w:eastAsia="zh-CN"/>
        </w:rPr>
        <w:t>7</w:t>
      </w:r>
      <w:r>
        <w:rPr>
          <w:lang w:eastAsia="zh-CN"/>
        </w:rPr>
        <w:t>月，香港交易所公布了</w:t>
      </w:r>
      <w:r>
        <w:rPr>
          <w:lang w:eastAsia="zh-CN"/>
        </w:rPr>
        <w:t>2</w:t>
      </w:r>
      <w:r>
        <w:rPr>
          <w:lang w:eastAsia="zh-CN"/>
        </w:rPr>
        <w:t>项香港交易所纪律行动。第一宗香港交易所纪律行动是针对中创</w:t>
      </w:r>
      <w:r>
        <w:rPr>
          <w:lang w:eastAsia="zh-CN"/>
        </w:rPr>
        <w:t>环球控股有限公司（股份代号：</w:t>
      </w:r>
      <w:r>
        <w:rPr>
          <w:lang w:eastAsia="zh-CN"/>
        </w:rPr>
        <w:t>1678</w:t>
      </w:r>
      <w:r>
        <w:rPr>
          <w:lang w:eastAsia="zh-CN"/>
        </w:rPr>
        <w:t>）</w:t>
      </w:r>
      <w:r>
        <w:rPr>
          <w:lang w:eastAsia="zh-CN"/>
        </w:rPr>
        <w:t>6</w:t>
      </w:r>
      <w:r>
        <w:rPr>
          <w:lang w:eastAsia="zh-CN"/>
        </w:rPr>
        <w:t>名前董事而采取的，原因是其未有回应香港交易所上市科的查询。第二宗香港交易所纪律行动是针对企展控股有限公司（股份代号：</w:t>
      </w:r>
      <w:r>
        <w:rPr>
          <w:lang w:eastAsia="zh-CN"/>
        </w:rPr>
        <w:t>1808</w:t>
      </w:r>
      <w:r>
        <w:rPr>
          <w:lang w:eastAsia="zh-CN"/>
        </w:rPr>
        <w:t>）及其</w:t>
      </w:r>
      <w:r>
        <w:rPr>
          <w:lang w:eastAsia="zh-CN"/>
        </w:rPr>
        <w:t>1</w:t>
      </w:r>
      <w:r>
        <w:rPr>
          <w:lang w:eastAsia="zh-CN"/>
        </w:rPr>
        <w:t>名前执行董事而采取的，原因是其未对前述前执行董事委任一事进行适当尽职审查。</w:t>
      </w:r>
    </w:p>
    <w:p w:rsidR="00A64113" w:rsidRDefault="009729D0">
      <w:pPr>
        <w:pStyle w:val="BodyText"/>
        <w:rPr>
          <w:lang w:eastAsia="zh-CN"/>
        </w:rPr>
      </w:pPr>
      <w:r>
        <w:rPr>
          <w:lang w:eastAsia="zh-CN"/>
        </w:rPr>
        <w:t>证监会在</w:t>
      </w:r>
      <w:r>
        <w:rPr>
          <w:lang w:eastAsia="zh-CN"/>
        </w:rPr>
        <w:t>2022</w:t>
      </w:r>
      <w:r>
        <w:rPr>
          <w:lang w:eastAsia="zh-CN"/>
        </w:rPr>
        <w:t>年</w:t>
      </w:r>
      <w:r>
        <w:rPr>
          <w:lang w:eastAsia="zh-CN"/>
        </w:rPr>
        <w:t>7</w:t>
      </w:r>
      <w:r>
        <w:rPr>
          <w:lang w:eastAsia="zh-CN"/>
        </w:rPr>
        <w:t>月份期间公布了</w:t>
      </w:r>
      <w:r>
        <w:rPr>
          <w:lang w:eastAsia="zh-CN"/>
        </w:rPr>
        <w:t>5</w:t>
      </w:r>
      <w:r>
        <w:rPr>
          <w:lang w:eastAsia="zh-CN"/>
        </w:rPr>
        <w:t>宗纪律行动。第一宗证监会纪律行动是针对林其锋骗取其雇主的季度奖金。第二宗证监会纪律行动是针对加皇投资理财有限公司许多次没有按照《证券及期货（客户款项）规则》的规定分隔客户款项以及亦违反了《证券及期货（客户证券）规则》。第三宗证监</w:t>
      </w:r>
      <w:r>
        <w:rPr>
          <w:lang w:eastAsia="zh-CN"/>
        </w:rPr>
        <w:t>会纪律行动是针对日发期货有限公司因违反香港监管规定而罚款</w:t>
      </w:r>
      <w:r>
        <w:rPr>
          <w:lang w:eastAsia="zh-CN"/>
        </w:rPr>
        <w:t>900</w:t>
      </w:r>
      <w:r>
        <w:rPr>
          <w:lang w:eastAsia="zh-CN"/>
        </w:rPr>
        <w:t>万港元。第四宗证监会纪律行动是针对金石同方资本管理有限公司因违反香港《财政资源规则》。第五宗证监会纪律行动中，证监会协同香港金融管理局（</w:t>
      </w:r>
      <w:r>
        <w:rPr>
          <w:b/>
          <w:lang w:eastAsia="zh-CN"/>
        </w:rPr>
        <w:t>金管局</w:t>
      </w:r>
      <w:r>
        <w:rPr>
          <w:lang w:eastAsia="zh-CN"/>
        </w:rPr>
        <w:t>）禁止陈嘉熹重投业界</w:t>
      </w:r>
      <w:r>
        <w:rPr>
          <w:lang w:eastAsia="zh-CN"/>
        </w:rPr>
        <w:t>6</w:t>
      </w:r>
      <w:r>
        <w:rPr>
          <w:lang w:eastAsia="zh-CN"/>
        </w:rPr>
        <w:t>个月。</w:t>
      </w:r>
    </w:p>
    <w:p w:rsidR="00A64113" w:rsidRDefault="009729D0">
      <w:pPr>
        <w:pStyle w:val="BodyText"/>
        <w:rPr>
          <w:lang w:eastAsia="zh-CN"/>
        </w:rPr>
      </w:pPr>
      <w:r>
        <w:rPr>
          <w:lang w:eastAsia="zh-CN"/>
        </w:rPr>
        <w:t>香港交易所对香港交易所上市的中创环球控股有限公司（股份代号：</w:t>
      </w:r>
      <w:r>
        <w:rPr>
          <w:lang w:eastAsia="zh-CN"/>
        </w:rPr>
        <w:t>1678</w:t>
      </w:r>
      <w:r>
        <w:rPr>
          <w:lang w:eastAsia="zh-CN"/>
        </w:rPr>
        <w:t>）</w:t>
      </w:r>
      <w:r>
        <w:rPr>
          <w:lang w:eastAsia="zh-CN"/>
        </w:rPr>
        <w:t>6</w:t>
      </w:r>
      <w:r>
        <w:rPr>
          <w:lang w:eastAsia="zh-CN"/>
        </w:rPr>
        <w:t>名前董事采取的纪律行动</w:t>
      </w:r>
    </w:p>
    <w:p w:rsidR="00A64113" w:rsidRDefault="009729D0">
      <w:pPr>
        <w:pStyle w:val="BodyText"/>
        <w:rPr>
          <w:lang w:eastAsia="zh-CN"/>
        </w:rPr>
      </w:pPr>
      <w:r>
        <w:rPr>
          <w:lang w:eastAsia="zh-CN"/>
        </w:rPr>
        <w:t>2022</w:t>
      </w:r>
      <w:r>
        <w:rPr>
          <w:lang w:eastAsia="zh-CN"/>
        </w:rPr>
        <w:t>年</w:t>
      </w:r>
      <w:r>
        <w:rPr>
          <w:lang w:eastAsia="zh-CN"/>
        </w:rPr>
        <w:t>7</w:t>
      </w:r>
      <w:r>
        <w:rPr>
          <w:lang w:eastAsia="zh-CN"/>
        </w:rPr>
        <w:t>月</w:t>
      </w:r>
      <w:r>
        <w:rPr>
          <w:lang w:eastAsia="zh-CN"/>
        </w:rPr>
        <w:t>14</w:t>
      </w:r>
      <w:r>
        <w:rPr>
          <w:lang w:eastAsia="zh-CN"/>
        </w:rPr>
        <w:t>日，香港交易所公开谴责并对中创环球控股有限公司的</w:t>
      </w:r>
      <w:r>
        <w:rPr>
          <w:lang w:eastAsia="zh-CN"/>
        </w:rPr>
        <w:t>6</w:t>
      </w:r>
      <w:r>
        <w:rPr>
          <w:lang w:eastAsia="zh-CN"/>
        </w:rPr>
        <w:t>名前董事发出董事不适合性声明。中创环球控股有限公司的该</w:t>
      </w:r>
      <w:r>
        <w:rPr>
          <w:lang w:eastAsia="zh-CN"/>
        </w:rPr>
        <w:t>6</w:t>
      </w:r>
      <w:r>
        <w:rPr>
          <w:lang w:eastAsia="zh-CN"/>
        </w:rPr>
        <w:t>名前董事分别是：</w:t>
      </w:r>
      <w:r>
        <w:rPr>
          <w:lang w:eastAsia="zh-CN"/>
        </w:rPr>
        <w:t>(i)</w:t>
      </w:r>
      <w:r>
        <w:rPr>
          <w:lang w:eastAsia="zh-CN"/>
        </w:rPr>
        <w:t>该公司前执行董事及前主席陈芳林先生（</w:t>
      </w:r>
      <w:r>
        <w:rPr>
          <w:b/>
          <w:lang w:eastAsia="zh-CN"/>
        </w:rPr>
        <w:t>陈先生</w:t>
      </w:r>
      <w:r>
        <w:rPr>
          <w:lang w:eastAsia="zh-CN"/>
        </w:rPr>
        <w:t>）；</w:t>
      </w:r>
      <w:r>
        <w:rPr>
          <w:lang w:eastAsia="zh-CN"/>
        </w:rPr>
        <w:t>(ii)</w:t>
      </w:r>
      <w:r>
        <w:rPr>
          <w:lang w:eastAsia="zh-CN"/>
        </w:rPr>
        <w:t>该公司前执行董事申建忠先生（</w:t>
      </w:r>
      <w:r>
        <w:rPr>
          <w:b/>
          <w:lang w:eastAsia="zh-CN"/>
        </w:rPr>
        <w:t>申先生</w:t>
      </w:r>
      <w:r>
        <w:rPr>
          <w:lang w:eastAsia="zh-CN"/>
        </w:rPr>
        <w:t>）；</w:t>
      </w:r>
      <w:r>
        <w:rPr>
          <w:lang w:eastAsia="zh-CN"/>
        </w:rPr>
        <w:t>(iii)</w:t>
      </w:r>
      <w:r>
        <w:rPr>
          <w:lang w:eastAsia="zh-CN"/>
        </w:rPr>
        <w:t>该公司前执行董事郑鹤斌先生（</w:t>
      </w:r>
      <w:r>
        <w:rPr>
          <w:b/>
          <w:lang w:eastAsia="zh-CN"/>
        </w:rPr>
        <w:t>郑先生</w:t>
      </w:r>
      <w:r>
        <w:rPr>
          <w:lang w:eastAsia="zh-CN"/>
        </w:rPr>
        <w:t>）；</w:t>
      </w:r>
      <w:r>
        <w:rPr>
          <w:lang w:eastAsia="zh-CN"/>
        </w:rPr>
        <w:t>(iv)</w:t>
      </w:r>
      <w:r>
        <w:rPr>
          <w:lang w:eastAsia="zh-CN"/>
        </w:rPr>
        <w:t>该公司前执行董事许细霞女士（</w:t>
      </w:r>
      <w:r>
        <w:rPr>
          <w:b/>
          <w:lang w:eastAsia="zh-CN"/>
        </w:rPr>
        <w:t>许女士</w:t>
      </w:r>
      <w:r>
        <w:rPr>
          <w:lang w:eastAsia="zh-CN"/>
        </w:rPr>
        <w:t>）；</w:t>
      </w:r>
      <w:r>
        <w:rPr>
          <w:lang w:eastAsia="zh-CN"/>
        </w:rPr>
        <w:t>(v)</w:t>
      </w:r>
      <w:r>
        <w:rPr>
          <w:lang w:eastAsia="zh-CN"/>
        </w:rPr>
        <w:t>该公司前独立非执行董事黄松青先生（</w:t>
      </w:r>
      <w:r>
        <w:rPr>
          <w:b/>
          <w:lang w:eastAsia="zh-CN"/>
        </w:rPr>
        <w:t>黄先生</w:t>
      </w:r>
      <w:r>
        <w:rPr>
          <w:lang w:eastAsia="zh-CN"/>
        </w:rPr>
        <w:t>）；及</w:t>
      </w:r>
      <w:r>
        <w:rPr>
          <w:lang w:eastAsia="zh-CN"/>
        </w:rPr>
        <w:t>(vi)</w:t>
      </w:r>
      <w:r>
        <w:rPr>
          <w:lang w:eastAsia="zh-CN"/>
        </w:rPr>
        <w:t>该公司前独立非执行董事戴建平先生（</w:t>
      </w:r>
      <w:r>
        <w:rPr>
          <w:b/>
          <w:lang w:eastAsia="zh-CN"/>
        </w:rPr>
        <w:t>戴先生</w:t>
      </w:r>
      <w:r>
        <w:rPr>
          <w:lang w:eastAsia="zh-CN"/>
        </w:rPr>
        <w:t>）。董事不适合性声明是指列出的香港交易所认为不适合担任香港上市公司或其任何附属公司的董事或高级管理职务的各相关董事一份香港交易所公开声明。香港交易所的纪律行动声明载列于香港交易所网站</w:t>
      </w:r>
      <w:hyperlink r:id="rId14">
        <w:r>
          <w:rPr>
            <w:lang w:eastAsia="zh-CN"/>
          </w:rPr>
          <w:t>此处</w:t>
        </w:r>
      </w:hyperlink>
      <w:r>
        <w:rPr>
          <w:lang w:eastAsia="zh-CN"/>
        </w:rPr>
        <w:t>。</w:t>
      </w:r>
    </w:p>
    <w:p w:rsidR="00A64113" w:rsidRDefault="009729D0">
      <w:pPr>
        <w:pStyle w:val="BodyText"/>
        <w:rPr>
          <w:lang w:eastAsia="zh-CN"/>
        </w:rPr>
      </w:pPr>
      <w:r>
        <w:rPr>
          <w:lang w:eastAsia="zh-CN"/>
        </w:rPr>
        <w:t>未有回应香港交易所的查询</w:t>
      </w:r>
    </w:p>
    <w:p w:rsidR="00A64113" w:rsidRDefault="009729D0">
      <w:pPr>
        <w:pStyle w:val="BodyText"/>
        <w:rPr>
          <w:lang w:eastAsia="zh-CN"/>
        </w:rPr>
      </w:pPr>
      <w:r>
        <w:rPr>
          <w:lang w:eastAsia="zh-CN"/>
        </w:rPr>
        <w:t>中创环球控股有限公司在香港交易所的股份于</w:t>
      </w:r>
      <w:r>
        <w:rPr>
          <w:lang w:eastAsia="zh-CN"/>
        </w:rPr>
        <w:t>2020</w:t>
      </w:r>
      <w:r>
        <w:rPr>
          <w:lang w:eastAsia="zh-CN"/>
        </w:rPr>
        <w:t>年</w:t>
      </w:r>
      <w:r>
        <w:rPr>
          <w:lang w:eastAsia="zh-CN"/>
        </w:rPr>
        <w:t>9</w:t>
      </w:r>
      <w:r>
        <w:rPr>
          <w:lang w:eastAsia="zh-CN"/>
        </w:rPr>
        <w:t>月暂停买卖，以待刊发其年度财务报表及中期业绩。</w:t>
      </w:r>
      <w:r>
        <w:rPr>
          <w:lang w:eastAsia="zh-CN"/>
        </w:rPr>
        <w:t>2020</w:t>
      </w:r>
      <w:r>
        <w:rPr>
          <w:lang w:eastAsia="zh-CN"/>
        </w:rPr>
        <w:t>年</w:t>
      </w:r>
      <w:r>
        <w:rPr>
          <w:lang w:eastAsia="zh-CN"/>
        </w:rPr>
        <w:t>12</w:t>
      </w:r>
      <w:r>
        <w:rPr>
          <w:lang w:eastAsia="zh-CN"/>
        </w:rPr>
        <w:t>月，中创环球控股有限公司宣布其主要附属公司已被香港法院要求清盘，而在中国的该附属公司的若干股份已被出售。</w:t>
      </w:r>
      <w:r>
        <w:rPr>
          <w:lang w:eastAsia="zh-CN"/>
        </w:rPr>
        <w:t>2020</w:t>
      </w:r>
      <w:r>
        <w:rPr>
          <w:lang w:eastAsia="zh-CN"/>
        </w:rPr>
        <w:t>年</w:t>
      </w:r>
      <w:r>
        <w:rPr>
          <w:lang w:eastAsia="zh-CN"/>
        </w:rPr>
        <w:t>8</w:t>
      </w:r>
      <w:r>
        <w:rPr>
          <w:lang w:eastAsia="zh-CN"/>
        </w:rPr>
        <w:t>月至</w:t>
      </w:r>
      <w:r>
        <w:rPr>
          <w:lang w:eastAsia="zh-CN"/>
        </w:rPr>
        <w:t>2021</w:t>
      </w:r>
      <w:r>
        <w:rPr>
          <w:lang w:eastAsia="zh-CN"/>
        </w:rPr>
        <w:t>年</w:t>
      </w:r>
      <w:r>
        <w:rPr>
          <w:lang w:eastAsia="zh-CN"/>
        </w:rPr>
        <w:t>1</w:t>
      </w:r>
      <w:r>
        <w:rPr>
          <w:lang w:eastAsia="zh-CN"/>
        </w:rPr>
        <w:t>月期间，香港交易所曾就有关中创环球控股有限公司的相关情况向中创环球控股有限公司作出查询，但中创环球控股有限公司未有响应任何查询。</w:t>
      </w:r>
    </w:p>
    <w:p w:rsidR="00A64113" w:rsidRDefault="009729D0">
      <w:pPr>
        <w:pStyle w:val="BodyText"/>
        <w:rPr>
          <w:lang w:eastAsia="zh-CN"/>
        </w:rPr>
      </w:pPr>
      <w:r>
        <w:rPr>
          <w:lang w:eastAsia="zh-CN"/>
        </w:rPr>
        <w:lastRenderedPageBreak/>
        <w:t>中创环球控股有限公司其后于</w:t>
      </w:r>
      <w:r>
        <w:rPr>
          <w:lang w:eastAsia="zh-CN"/>
        </w:rPr>
        <w:t>2021</w:t>
      </w:r>
      <w:r>
        <w:rPr>
          <w:lang w:eastAsia="zh-CN"/>
        </w:rPr>
        <w:t>年</w:t>
      </w:r>
      <w:r>
        <w:rPr>
          <w:lang w:eastAsia="zh-CN"/>
        </w:rPr>
        <w:t>5</w:t>
      </w:r>
      <w:r>
        <w:rPr>
          <w:lang w:eastAsia="zh-CN"/>
        </w:rPr>
        <w:t>月宣布，申先生、郑先生、陈先生以及黄先生涉嫌参与有关该附属公司清盘的事件，因此各人的董事职务及于中创环球控股有限公司的所有其他职务均已暂停。上述各董事其后已于该项公告之后被解除中创环球控股有限公司董事职务。</w:t>
      </w:r>
    </w:p>
    <w:p w:rsidR="00A64113" w:rsidRDefault="009729D0">
      <w:pPr>
        <w:pStyle w:val="BodyText"/>
        <w:rPr>
          <w:lang w:eastAsia="zh-CN"/>
        </w:rPr>
      </w:pPr>
      <w:r>
        <w:rPr>
          <w:lang w:eastAsia="zh-CN"/>
        </w:rPr>
        <w:t>香港交易所拟调查所有相关董事有否违反香港交易所《上市规则》，但除了许女士致电确认表示其已收到提醒信函外，未有收到其他任何</w:t>
      </w:r>
      <w:r>
        <w:rPr>
          <w:lang w:eastAsia="zh-CN"/>
        </w:rPr>
        <w:t>响应。</w:t>
      </w:r>
    </w:p>
    <w:p w:rsidR="00A64113" w:rsidRDefault="009729D0">
      <w:pPr>
        <w:pStyle w:val="BodyText"/>
        <w:rPr>
          <w:lang w:eastAsia="zh-CN"/>
        </w:rPr>
      </w:pPr>
      <w:r>
        <w:rPr>
          <w:lang w:eastAsia="zh-CN"/>
        </w:rPr>
        <w:t>根据香港交易所《上市规则》，相关董事各自均须向联交所作出《董事声明及承诺》（</w:t>
      </w:r>
      <w:r>
        <w:rPr>
          <w:b/>
          <w:lang w:eastAsia="zh-CN"/>
        </w:rPr>
        <w:t>《董事承诺》</w:t>
      </w:r>
      <w:r>
        <w:rPr>
          <w:lang w:eastAsia="zh-CN"/>
        </w:rPr>
        <w:t>），表示其须在香港交易所进行的任何调查中给予合作以及提供最新的联络资料。</w:t>
      </w:r>
    </w:p>
    <w:p w:rsidR="00A64113" w:rsidRDefault="009729D0">
      <w:pPr>
        <w:pStyle w:val="BodyText"/>
        <w:rPr>
          <w:lang w:eastAsia="zh-CN"/>
        </w:rPr>
      </w:pPr>
      <w:r>
        <w:rPr>
          <w:lang w:eastAsia="zh-CN"/>
        </w:rPr>
        <w:t>裁定违反香港交易所《上市规则》的违规事项</w:t>
      </w:r>
    </w:p>
    <w:p w:rsidR="00A64113" w:rsidRDefault="009729D0">
      <w:pPr>
        <w:pStyle w:val="BodyText"/>
        <w:rPr>
          <w:lang w:eastAsia="zh-CN"/>
        </w:rPr>
      </w:pPr>
      <w:r>
        <w:rPr>
          <w:lang w:eastAsia="zh-CN"/>
        </w:rPr>
        <w:t>因此，香港交易所厘定该</w:t>
      </w:r>
      <w:r>
        <w:rPr>
          <w:lang w:eastAsia="zh-CN"/>
        </w:rPr>
        <w:t>6</w:t>
      </w:r>
      <w:r>
        <w:rPr>
          <w:lang w:eastAsia="zh-CN"/>
        </w:rPr>
        <w:t>名董事违反了其《董事承诺》且该违规情况严重。于是，该</w:t>
      </w:r>
      <w:r>
        <w:rPr>
          <w:lang w:eastAsia="zh-CN"/>
        </w:rPr>
        <w:t>6</w:t>
      </w:r>
      <w:r>
        <w:rPr>
          <w:lang w:eastAsia="zh-CN"/>
        </w:rPr>
        <w:t>名董事被施加上述制裁。</w:t>
      </w:r>
    </w:p>
    <w:p w:rsidR="00A64113" w:rsidRDefault="009729D0">
      <w:pPr>
        <w:pStyle w:val="BodyText"/>
        <w:rPr>
          <w:lang w:eastAsia="zh-CN"/>
        </w:rPr>
      </w:pPr>
      <w:r>
        <w:rPr>
          <w:lang w:eastAsia="zh-CN"/>
        </w:rPr>
        <w:t>香港交易所对香港交易所上市的企展控股有限公司（股份代号：</w:t>
      </w:r>
      <w:r>
        <w:rPr>
          <w:lang w:eastAsia="zh-CN"/>
        </w:rPr>
        <w:t>1808</w:t>
      </w:r>
      <w:r>
        <w:rPr>
          <w:lang w:eastAsia="zh-CN"/>
        </w:rPr>
        <w:t>）及其</w:t>
      </w:r>
      <w:r>
        <w:rPr>
          <w:lang w:eastAsia="zh-CN"/>
        </w:rPr>
        <w:t>1</w:t>
      </w:r>
      <w:r>
        <w:rPr>
          <w:lang w:eastAsia="zh-CN"/>
        </w:rPr>
        <w:t>名前执行董事的纪律行动</w:t>
      </w:r>
    </w:p>
    <w:p w:rsidR="00A64113" w:rsidRDefault="009729D0">
      <w:pPr>
        <w:pStyle w:val="BodyText"/>
        <w:rPr>
          <w:lang w:eastAsia="zh-CN"/>
        </w:rPr>
      </w:pPr>
      <w:r>
        <w:rPr>
          <w:lang w:eastAsia="zh-CN"/>
        </w:rPr>
        <w:t>2022</w:t>
      </w:r>
      <w:r>
        <w:rPr>
          <w:lang w:eastAsia="zh-CN"/>
        </w:rPr>
        <w:t>年</w:t>
      </w:r>
      <w:r>
        <w:rPr>
          <w:lang w:eastAsia="zh-CN"/>
        </w:rPr>
        <w:t>6</w:t>
      </w:r>
      <w:r>
        <w:rPr>
          <w:lang w:eastAsia="zh-CN"/>
        </w:rPr>
        <w:t>月</w:t>
      </w:r>
      <w:r>
        <w:rPr>
          <w:lang w:eastAsia="zh-CN"/>
        </w:rPr>
        <w:t>18</w:t>
      </w:r>
      <w:r>
        <w:rPr>
          <w:lang w:eastAsia="zh-CN"/>
        </w:rPr>
        <w:t>日，香港交易所向企展控股有限公司前执行董事毛俊杰女士（</w:t>
      </w:r>
      <w:r>
        <w:rPr>
          <w:b/>
          <w:lang w:eastAsia="zh-CN"/>
        </w:rPr>
        <w:t>毛女士</w:t>
      </w:r>
      <w:r>
        <w:rPr>
          <w:lang w:eastAsia="zh-CN"/>
        </w:rPr>
        <w:t>）作出损害投资者权益声明</w:t>
      </w:r>
      <w:r>
        <w:rPr>
          <w:lang w:eastAsia="zh-CN"/>
        </w:rPr>
        <w:t>，并公开谴责毛女士及企展控股有限公司。香港交易所纪律行动声明副本载列于香港交易所网站</w:t>
      </w:r>
      <w:hyperlink r:id="rId15">
        <w:r>
          <w:rPr>
            <w:lang w:eastAsia="zh-CN"/>
          </w:rPr>
          <w:t>此处</w:t>
        </w:r>
      </w:hyperlink>
      <w:r>
        <w:rPr>
          <w:lang w:eastAsia="zh-CN"/>
        </w:rPr>
        <w:t>。</w:t>
      </w:r>
    </w:p>
    <w:p w:rsidR="00A64113" w:rsidRDefault="009729D0">
      <w:pPr>
        <w:pStyle w:val="BodyText"/>
        <w:rPr>
          <w:lang w:eastAsia="zh-CN"/>
        </w:rPr>
      </w:pPr>
      <w:r>
        <w:rPr>
          <w:lang w:eastAsia="zh-CN"/>
        </w:rPr>
        <w:t>香港交易所上市公司董事的未经证实及具误导性的履历资料</w:t>
      </w:r>
    </w:p>
    <w:p w:rsidR="00A64113" w:rsidRDefault="009729D0">
      <w:pPr>
        <w:pStyle w:val="BodyText"/>
        <w:rPr>
          <w:lang w:eastAsia="zh-CN"/>
        </w:rPr>
      </w:pPr>
      <w:r>
        <w:rPr>
          <w:lang w:eastAsia="zh-CN"/>
        </w:rPr>
        <w:t>2020</w:t>
      </w:r>
      <w:r>
        <w:rPr>
          <w:lang w:eastAsia="zh-CN"/>
        </w:rPr>
        <w:t>年</w:t>
      </w:r>
      <w:r>
        <w:rPr>
          <w:lang w:eastAsia="zh-CN"/>
        </w:rPr>
        <w:t>12</w:t>
      </w:r>
      <w:r>
        <w:rPr>
          <w:lang w:eastAsia="zh-CN"/>
        </w:rPr>
        <w:t>月，毛女士获委任为企展控股有限公司执行董事，该项委任于</w:t>
      </w:r>
      <w:r>
        <w:rPr>
          <w:lang w:eastAsia="zh-CN"/>
        </w:rPr>
        <w:t>3</w:t>
      </w:r>
      <w:r>
        <w:rPr>
          <w:lang w:eastAsia="zh-CN"/>
        </w:rPr>
        <w:t>日后（即</w:t>
      </w:r>
      <w:r>
        <w:rPr>
          <w:lang w:eastAsia="zh-CN"/>
        </w:rPr>
        <w:t>2021</w:t>
      </w:r>
      <w:r>
        <w:rPr>
          <w:lang w:eastAsia="zh-CN"/>
        </w:rPr>
        <w:t>年</w:t>
      </w:r>
      <w:r>
        <w:rPr>
          <w:lang w:eastAsia="zh-CN"/>
        </w:rPr>
        <w:t>1</w:t>
      </w:r>
      <w:r>
        <w:rPr>
          <w:lang w:eastAsia="zh-CN"/>
        </w:rPr>
        <w:t>月初公布）。毛女士任期为</w:t>
      </w:r>
      <w:r>
        <w:rPr>
          <w:lang w:eastAsia="zh-CN"/>
        </w:rPr>
        <w:t>3</w:t>
      </w:r>
      <w:r>
        <w:rPr>
          <w:lang w:eastAsia="zh-CN"/>
        </w:rPr>
        <w:t>年，其间有权获得酬金每月</w:t>
      </w:r>
      <w:r>
        <w:rPr>
          <w:lang w:eastAsia="zh-CN"/>
        </w:rPr>
        <w:t>300,000</w:t>
      </w:r>
      <w:r>
        <w:rPr>
          <w:lang w:eastAsia="zh-CN"/>
        </w:rPr>
        <w:t>港元以及年度酌情表现花红。该份公告载有据称是毛女士履历的资料，包括但不限于：</w:t>
      </w:r>
    </w:p>
    <w:p w:rsidR="00A64113" w:rsidRDefault="009729D0">
      <w:pPr>
        <w:pStyle w:val="Compact"/>
        <w:numPr>
          <w:ilvl w:val="0"/>
          <w:numId w:val="5"/>
        </w:numPr>
        <w:rPr>
          <w:lang w:eastAsia="zh-CN"/>
        </w:rPr>
      </w:pPr>
      <w:r>
        <w:rPr>
          <w:lang w:eastAsia="zh-CN"/>
        </w:rPr>
        <w:t>毛小姐曾于多间知名企业及不同的国际金融机构居高级职位</w:t>
      </w:r>
      <w:r>
        <w:rPr>
          <w:lang w:eastAsia="zh-CN"/>
        </w:rPr>
        <w:t>;</w:t>
      </w:r>
    </w:p>
    <w:p w:rsidR="00A64113" w:rsidRDefault="009729D0">
      <w:pPr>
        <w:pStyle w:val="Compact"/>
        <w:numPr>
          <w:ilvl w:val="0"/>
          <w:numId w:val="5"/>
        </w:numPr>
        <w:rPr>
          <w:lang w:eastAsia="zh-CN"/>
        </w:rPr>
      </w:pPr>
      <w:r>
        <w:rPr>
          <w:lang w:eastAsia="zh-CN"/>
        </w:rPr>
        <w:t>毛小姐曾参与及完成多项香港、加拿大及中国之首次公开发售项目；及</w:t>
      </w:r>
    </w:p>
    <w:p w:rsidR="00A64113" w:rsidRDefault="009729D0">
      <w:pPr>
        <w:pStyle w:val="Compact"/>
        <w:numPr>
          <w:ilvl w:val="0"/>
          <w:numId w:val="5"/>
        </w:numPr>
        <w:rPr>
          <w:lang w:eastAsia="zh-CN"/>
        </w:rPr>
      </w:pPr>
      <w:r>
        <w:rPr>
          <w:lang w:eastAsia="zh-CN"/>
        </w:rPr>
        <w:t>毛小姐在股票债券分析、交易及投资组合建构、货币交易、不良资产投资、量化研究及衍生工具交易各方面均具丰富经验。（此表述亦于</w:t>
      </w:r>
      <w:r>
        <w:rPr>
          <w:lang w:eastAsia="zh-CN"/>
        </w:rPr>
        <w:t xml:space="preserve"> 2021</w:t>
      </w:r>
      <w:r>
        <w:rPr>
          <w:lang w:eastAsia="zh-CN"/>
        </w:rPr>
        <w:t>年</w:t>
      </w:r>
      <w:r>
        <w:rPr>
          <w:lang w:eastAsia="zh-CN"/>
        </w:rPr>
        <w:t>5</w:t>
      </w:r>
      <w:r>
        <w:rPr>
          <w:lang w:eastAsia="zh-CN"/>
        </w:rPr>
        <w:t>月</w:t>
      </w:r>
      <w:r>
        <w:rPr>
          <w:lang w:eastAsia="zh-CN"/>
        </w:rPr>
        <w:t>28</w:t>
      </w:r>
      <w:r>
        <w:rPr>
          <w:lang w:eastAsia="zh-CN"/>
        </w:rPr>
        <w:t>日的股东周年大会再次</w:t>
      </w:r>
      <w:r>
        <w:rPr>
          <w:lang w:eastAsia="zh-CN"/>
        </w:rPr>
        <w:t>作出）。</w:t>
      </w:r>
    </w:p>
    <w:p w:rsidR="00A64113" w:rsidRDefault="009729D0">
      <w:pPr>
        <w:pStyle w:val="FirstParagraph"/>
        <w:rPr>
          <w:lang w:eastAsia="zh-CN"/>
        </w:rPr>
      </w:pPr>
      <w:r>
        <w:rPr>
          <w:lang w:eastAsia="zh-CN"/>
        </w:rPr>
        <w:t>香港交易所收到多宗投诉，内容涉及质疑上文据称是毛女士履历的资料的真实性，而香港交易所因此向企展控股有限公司作出查询，之后企展控股有限公司刊发澄清公告，披露毛女士的薪酬调整为每年</w:t>
      </w:r>
      <w:r>
        <w:rPr>
          <w:lang w:eastAsia="zh-CN"/>
        </w:rPr>
        <w:t xml:space="preserve"> 2,000,000 </w:t>
      </w:r>
      <w:r>
        <w:rPr>
          <w:lang w:eastAsia="zh-CN"/>
        </w:rPr>
        <w:t>港元（大约</w:t>
      </w:r>
      <w:r>
        <w:rPr>
          <w:lang w:eastAsia="zh-CN"/>
        </w:rPr>
        <w:t>55.5%</w:t>
      </w:r>
      <w:r>
        <w:rPr>
          <w:lang w:eastAsia="zh-CN"/>
        </w:rPr>
        <w:t>扣减），另加年度酌情表现花红。</w:t>
      </w:r>
    </w:p>
    <w:p w:rsidR="00A64113" w:rsidRDefault="009729D0">
      <w:pPr>
        <w:pStyle w:val="BodyText"/>
        <w:rPr>
          <w:lang w:eastAsia="zh-CN"/>
        </w:rPr>
      </w:pPr>
      <w:r>
        <w:rPr>
          <w:lang w:eastAsia="zh-CN"/>
        </w:rPr>
        <w:t>企展控股有限公司承认无法核实据称是毛女士履历的资料，亦承认未对毛女士的委任及其薪酬作出适当考虑。当时，企展控股有限公司只由公司秘书知会各董事有关委任毛女士一事，董事会、提名委员会及薪酬委员会均没有就毛女士的委任另行召开会议讨论，也无考虑关键期间的其他人</w:t>
      </w:r>
      <w:r>
        <w:rPr>
          <w:lang w:eastAsia="zh-CN"/>
        </w:rPr>
        <w:t>选。</w:t>
      </w:r>
    </w:p>
    <w:p w:rsidR="00A64113" w:rsidRDefault="009729D0">
      <w:pPr>
        <w:pStyle w:val="BodyText"/>
        <w:rPr>
          <w:lang w:eastAsia="zh-CN"/>
        </w:rPr>
      </w:pPr>
      <w:r>
        <w:rPr>
          <w:lang w:eastAsia="zh-CN"/>
        </w:rPr>
        <w:t>毛女士于</w:t>
      </w:r>
      <w:r>
        <w:rPr>
          <w:lang w:eastAsia="zh-CN"/>
        </w:rPr>
        <w:t>2021</w:t>
      </w:r>
      <w:r>
        <w:rPr>
          <w:lang w:eastAsia="zh-CN"/>
        </w:rPr>
        <w:t>年</w:t>
      </w:r>
      <w:r>
        <w:rPr>
          <w:lang w:eastAsia="zh-CN"/>
        </w:rPr>
        <w:t>11</w:t>
      </w:r>
      <w:r>
        <w:rPr>
          <w:lang w:eastAsia="zh-CN"/>
        </w:rPr>
        <w:t>月</w:t>
      </w:r>
      <w:r>
        <w:rPr>
          <w:lang w:eastAsia="zh-CN"/>
        </w:rPr>
        <w:t>8</w:t>
      </w:r>
      <w:r>
        <w:rPr>
          <w:lang w:eastAsia="zh-CN"/>
        </w:rPr>
        <w:t>日辞任企展控股有限公司执行董事。于香港交易所调查期间，毛女士承认「当时某些语句纯粹是按她自己的意思作诠释，与市场一般的理解未必相同」。</w:t>
      </w:r>
    </w:p>
    <w:p w:rsidR="00A64113" w:rsidRDefault="009729D0">
      <w:pPr>
        <w:pStyle w:val="BodyText"/>
        <w:rPr>
          <w:lang w:eastAsia="zh-CN"/>
        </w:rPr>
      </w:pPr>
      <w:r>
        <w:rPr>
          <w:lang w:eastAsia="zh-CN"/>
        </w:rPr>
        <w:t>违反香港交易所《上市规则》有关不准确真实及</w:t>
      </w:r>
      <w:r>
        <w:rPr>
          <w:lang w:eastAsia="zh-CN"/>
        </w:rPr>
        <w:t>/</w:t>
      </w:r>
      <w:r>
        <w:rPr>
          <w:lang w:eastAsia="zh-CN"/>
        </w:rPr>
        <w:t>或具误导性数据的规定</w:t>
      </w:r>
    </w:p>
    <w:p w:rsidR="00A64113" w:rsidRDefault="009729D0">
      <w:pPr>
        <w:pStyle w:val="BodyText"/>
        <w:rPr>
          <w:lang w:eastAsia="zh-CN"/>
        </w:rPr>
      </w:pPr>
      <w:r>
        <w:rPr>
          <w:lang w:eastAsia="zh-CN"/>
        </w:rPr>
        <w:t>香港交易所裁定企展控股有限公司在董事委任公告及股东周年大会通告中所刊发有关毛女士的资料并不准确真实且具误导性，违反了香港交易所《上市规则》第</w:t>
      </w:r>
      <w:r>
        <w:rPr>
          <w:lang w:eastAsia="zh-CN"/>
        </w:rPr>
        <w:t>2.13(2)</w:t>
      </w:r>
      <w:r>
        <w:rPr>
          <w:lang w:eastAsia="zh-CN"/>
        </w:rPr>
        <w:t>条。而且，毛女士</w:t>
      </w:r>
      <w:r>
        <w:rPr>
          <w:lang w:eastAsia="zh-CN"/>
        </w:rPr>
        <w:t>(a)</w:t>
      </w:r>
      <w:r>
        <w:rPr>
          <w:lang w:eastAsia="zh-CN"/>
        </w:rPr>
        <w:t>向企展控股有限公司提供并不准确真实及／或具误导性的数据；及</w:t>
      </w:r>
      <w:r>
        <w:rPr>
          <w:lang w:eastAsia="zh-CN"/>
        </w:rPr>
        <w:t>(b)</w:t>
      </w:r>
      <w:r>
        <w:rPr>
          <w:lang w:eastAsia="zh-CN"/>
        </w:rPr>
        <w:t>未能促使企展控股有限公司就董事委任公告</w:t>
      </w:r>
      <w:r>
        <w:rPr>
          <w:lang w:eastAsia="zh-CN"/>
        </w:rPr>
        <w:t>及股东周年大会通告符合香港交易所《上市规则》第</w:t>
      </w:r>
      <w:r>
        <w:rPr>
          <w:lang w:eastAsia="zh-CN"/>
        </w:rPr>
        <w:t>2.12(2)</w:t>
      </w:r>
      <w:r>
        <w:rPr>
          <w:lang w:eastAsia="zh-CN"/>
        </w:rPr>
        <w:t>条的规定，违反其于香港交易所《上市规则》第</w:t>
      </w:r>
      <w:r>
        <w:rPr>
          <w:lang w:eastAsia="zh-CN"/>
        </w:rPr>
        <w:t xml:space="preserve"> 3.08 </w:t>
      </w:r>
      <w:r>
        <w:rPr>
          <w:lang w:eastAsia="zh-CN"/>
        </w:rPr>
        <w:t>条下的责任及其《董事承诺》。</w:t>
      </w:r>
    </w:p>
    <w:p w:rsidR="00A64113" w:rsidRDefault="009729D0">
      <w:pPr>
        <w:pStyle w:val="BodyText"/>
        <w:rPr>
          <w:lang w:eastAsia="zh-CN"/>
        </w:rPr>
      </w:pPr>
      <w:r>
        <w:rPr>
          <w:lang w:eastAsia="zh-CN"/>
        </w:rPr>
        <w:lastRenderedPageBreak/>
        <w:t>企展控股有限公司及毛女士通过和解方式承认其各自对香港交易所《上市规则》的违规行为，并接受香港交易所向其施加的制裁。企展控股有限公司亦同意刊发公告，内容包括董事会其他成员于相关时间未能(i)</w:t>
      </w:r>
      <w:r>
        <w:rPr>
          <w:lang w:eastAsia="zh-CN"/>
        </w:rPr>
        <w:t>确保对毛女士进行的适当尽职审查；(ii)</w:t>
      </w:r>
      <w:bookmarkStart w:id="0" w:name="_GoBack"/>
      <w:bookmarkEnd w:id="0"/>
      <w:r>
        <w:rPr>
          <w:lang w:eastAsia="zh-CN"/>
        </w:rPr>
        <w:t>确保董事会及提名委员会和薪酬委员会对拟议委任毛女士为董事一事及其薪酬作出考虑；</w:t>
      </w:r>
      <w:r>
        <w:rPr>
          <w:lang w:eastAsia="zh-CN"/>
        </w:rPr>
        <w:t>(iii)</w:t>
      </w:r>
      <w:r>
        <w:rPr>
          <w:lang w:eastAsia="zh-CN"/>
        </w:rPr>
        <w:t>促使企展控股有限公司就董事委任公告及股东周年大会</w:t>
      </w:r>
      <w:r>
        <w:rPr>
          <w:lang w:eastAsia="zh-CN"/>
        </w:rPr>
        <w:t>通告符合香港交易所《上市规则》第</w:t>
      </w:r>
      <w:r>
        <w:rPr>
          <w:lang w:eastAsia="zh-CN"/>
        </w:rPr>
        <w:t>2.13(2)</w:t>
      </w:r>
      <w:r>
        <w:rPr>
          <w:lang w:eastAsia="zh-CN"/>
        </w:rPr>
        <w:t>条的规定；及</w:t>
      </w:r>
      <w:r>
        <w:rPr>
          <w:lang w:eastAsia="zh-CN"/>
        </w:rPr>
        <w:t>(iv)</w:t>
      </w:r>
      <w:r>
        <w:rPr>
          <w:lang w:eastAsia="zh-CN"/>
        </w:rPr>
        <w:t>在厘定毛女士作为董事的薪酬时保障企展控股有限公司的利益。</w:t>
      </w:r>
    </w:p>
    <w:p w:rsidR="00A64113" w:rsidRDefault="009729D0">
      <w:pPr>
        <w:pStyle w:val="BodyText"/>
        <w:rPr>
          <w:lang w:eastAsia="zh-CN"/>
        </w:rPr>
      </w:pPr>
      <w:r>
        <w:rPr>
          <w:lang w:eastAsia="zh-CN"/>
        </w:rPr>
        <w:t>证监会因一项串谋欺诈的控罪罪名禁止林其锋重投业界</w:t>
      </w:r>
      <w:r>
        <w:rPr>
          <w:lang w:eastAsia="zh-CN"/>
        </w:rPr>
        <w:t>3</w:t>
      </w:r>
      <w:r>
        <w:rPr>
          <w:lang w:eastAsia="zh-CN"/>
        </w:rPr>
        <w:t>年</w:t>
      </w:r>
    </w:p>
    <w:p w:rsidR="00A64113" w:rsidRDefault="009729D0">
      <w:pPr>
        <w:pStyle w:val="BodyText"/>
        <w:rPr>
          <w:lang w:eastAsia="zh-CN"/>
        </w:rPr>
      </w:pPr>
      <w:r>
        <w:rPr>
          <w:lang w:eastAsia="zh-CN"/>
        </w:rPr>
        <w:t>2022</w:t>
      </w:r>
      <w:r>
        <w:rPr>
          <w:lang w:eastAsia="zh-CN"/>
        </w:rPr>
        <w:t>年</w:t>
      </w:r>
      <w:r>
        <w:rPr>
          <w:lang w:eastAsia="zh-CN"/>
        </w:rPr>
        <w:t>7</w:t>
      </w:r>
      <w:r>
        <w:rPr>
          <w:lang w:eastAsia="zh-CN"/>
        </w:rPr>
        <w:t>月</w:t>
      </w:r>
      <w:r>
        <w:rPr>
          <w:lang w:eastAsia="zh-CN"/>
        </w:rPr>
        <w:t>18</w:t>
      </w:r>
      <w:r>
        <w:rPr>
          <w:lang w:eastAsia="zh-CN"/>
        </w:rPr>
        <w:t>日，证监会在林其锋（男）及其母被判刑事罪名成立后，禁止林重投业界</w:t>
      </w:r>
      <w:r>
        <w:rPr>
          <w:lang w:eastAsia="zh-CN"/>
        </w:rPr>
        <w:t>3</w:t>
      </w:r>
      <w:r>
        <w:rPr>
          <w:lang w:eastAsia="zh-CN"/>
        </w:rPr>
        <w:t>年。香港东区裁判法院裁定，他们二人串谋骗取其雇主的季度奖金罪名成立。</w:t>
      </w:r>
    </w:p>
    <w:p w:rsidR="00A64113" w:rsidRDefault="009729D0">
      <w:pPr>
        <w:pStyle w:val="BodyText"/>
        <w:rPr>
          <w:lang w:eastAsia="zh-CN"/>
        </w:rPr>
      </w:pPr>
      <w:r>
        <w:rPr>
          <w:lang w:eastAsia="zh-CN"/>
        </w:rPr>
        <w:t>林当时于渣打银行（香港）有限公司（</w:t>
      </w:r>
      <w:r>
        <w:rPr>
          <w:b/>
          <w:lang w:eastAsia="zh-CN"/>
        </w:rPr>
        <w:t>渣打银行</w:t>
      </w:r>
      <w:r>
        <w:rPr>
          <w:lang w:eastAsia="zh-CN"/>
        </w:rPr>
        <w:t>）出任客户拓展部主任，曾有五名客户在其母促使下透过他开立支薪账户。为了提升林在渣打银行的工作表现，林母随后从她的个人银行账户将多笔介乎</w:t>
      </w:r>
      <w:r>
        <w:rPr>
          <w:lang w:eastAsia="zh-CN"/>
        </w:rPr>
        <w:t>80</w:t>
      </w:r>
      <w:r>
        <w:rPr>
          <w:lang w:eastAsia="zh-CN"/>
        </w:rPr>
        <w:t>,000</w:t>
      </w:r>
      <w:r>
        <w:rPr>
          <w:lang w:eastAsia="zh-CN"/>
        </w:rPr>
        <w:t>港元至</w:t>
      </w:r>
      <w:r>
        <w:rPr>
          <w:lang w:eastAsia="zh-CN"/>
        </w:rPr>
        <w:t>200,000</w:t>
      </w:r>
      <w:r>
        <w:rPr>
          <w:lang w:eastAsia="zh-CN"/>
        </w:rPr>
        <w:t>港元不等的款项转至该</w:t>
      </w:r>
      <w:r>
        <w:rPr>
          <w:lang w:eastAsia="zh-CN"/>
        </w:rPr>
        <w:t>5</w:t>
      </w:r>
      <w:r>
        <w:rPr>
          <w:lang w:eastAsia="zh-CN"/>
        </w:rPr>
        <w:t>个支薪账户。</w:t>
      </w:r>
    </w:p>
    <w:p w:rsidR="00A64113" w:rsidRDefault="009729D0">
      <w:pPr>
        <w:pStyle w:val="BodyText"/>
        <w:rPr>
          <w:lang w:eastAsia="zh-CN"/>
        </w:rPr>
      </w:pPr>
      <w:r>
        <w:rPr>
          <w:lang w:eastAsia="zh-CN"/>
        </w:rPr>
        <w:t>其后，林在该</w:t>
      </w:r>
      <w:r>
        <w:rPr>
          <w:lang w:eastAsia="zh-CN"/>
        </w:rPr>
        <w:t>5</w:t>
      </w:r>
      <w:r>
        <w:rPr>
          <w:lang w:eastAsia="zh-CN"/>
        </w:rPr>
        <w:t>名客户不知情及未经他们授权的情况下，把该等款项转回其母的个人银行账户。由于林的该等不诚实行为，渣打银行向林发放</w:t>
      </w:r>
      <w:r>
        <w:rPr>
          <w:lang w:eastAsia="zh-CN"/>
        </w:rPr>
        <w:t>4,520</w:t>
      </w:r>
      <w:r>
        <w:rPr>
          <w:lang w:eastAsia="zh-CN"/>
        </w:rPr>
        <w:t>港元的额外季度奖金，而该比奖金来源于其该项业绩表现提升。</w:t>
      </w:r>
    </w:p>
    <w:p w:rsidR="00A64113" w:rsidRDefault="009729D0">
      <w:pPr>
        <w:pStyle w:val="BodyText"/>
        <w:rPr>
          <w:lang w:eastAsia="zh-CN"/>
        </w:rPr>
      </w:pPr>
      <w:r>
        <w:rPr>
          <w:lang w:eastAsia="zh-CN"/>
        </w:rPr>
        <w:t>林及其母之后于</w:t>
      </w:r>
      <w:r>
        <w:rPr>
          <w:lang w:eastAsia="zh-CN"/>
        </w:rPr>
        <w:t>2021</w:t>
      </w:r>
      <w:r>
        <w:rPr>
          <w:lang w:eastAsia="zh-CN"/>
        </w:rPr>
        <w:t>年</w:t>
      </w:r>
      <w:r>
        <w:rPr>
          <w:lang w:eastAsia="zh-CN"/>
        </w:rPr>
        <w:t>3</w:t>
      </w:r>
      <w:r>
        <w:rPr>
          <w:lang w:eastAsia="zh-CN"/>
        </w:rPr>
        <w:t>月</w:t>
      </w:r>
      <w:r>
        <w:rPr>
          <w:lang w:eastAsia="zh-CN"/>
        </w:rPr>
        <w:t>29</w:t>
      </w:r>
      <w:r>
        <w:rPr>
          <w:lang w:eastAsia="zh-CN"/>
        </w:rPr>
        <w:t>日被裁定一项串谋欺诈的共同控罪罪名成立。</w:t>
      </w:r>
      <w:r>
        <w:rPr>
          <w:lang w:eastAsia="zh-CN"/>
        </w:rPr>
        <w:t>2021</w:t>
      </w:r>
      <w:r>
        <w:rPr>
          <w:lang w:eastAsia="zh-CN"/>
        </w:rPr>
        <w:t>年</w:t>
      </w:r>
      <w:r>
        <w:rPr>
          <w:lang w:eastAsia="zh-CN"/>
        </w:rPr>
        <w:t>4</w:t>
      </w:r>
      <w:r>
        <w:rPr>
          <w:lang w:eastAsia="zh-CN"/>
        </w:rPr>
        <w:t>月</w:t>
      </w:r>
      <w:r>
        <w:rPr>
          <w:lang w:eastAsia="zh-CN"/>
        </w:rPr>
        <w:t>21</w:t>
      </w:r>
      <w:r>
        <w:rPr>
          <w:lang w:eastAsia="zh-CN"/>
        </w:rPr>
        <w:t>日，林被判处</w:t>
      </w:r>
      <w:r>
        <w:rPr>
          <w:lang w:eastAsia="zh-CN"/>
        </w:rPr>
        <w:t>160</w:t>
      </w:r>
      <w:r>
        <w:rPr>
          <w:lang w:eastAsia="zh-CN"/>
        </w:rPr>
        <w:t>小时社会服务令。</w:t>
      </w:r>
    </w:p>
    <w:p w:rsidR="00A64113" w:rsidRDefault="009729D0">
      <w:pPr>
        <w:pStyle w:val="BodyText"/>
        <w:rPr>
          <w:lang w:eastAsia="zh-CN"/>
        </w:rPr>
      </w:pPr>
      <w:r>
        <w:rPr>
          <w:lang w:eastAsia="zh-CN"/>
        </w:rPr>
        <w:t>由于林被判刑事罪名成立，证监会认为他并非获发牌或注册进行受规管活动的适当人选。因此，林被禁止林重投业界</w:t>
      </w:r>
      <w:r>
        <w:rPr>
          <w:lang w:eastAsia="zh-CN"/>
        </w:rPr>
        <w:t>3</w:t>
      </w:r>
      <w:r>
        <w:rPr>
          <w:lang w:eastAsia="zh-CN"/>
        </w:rPr>
        <w:t>年，由</w:t>
      </w:r>
      <w:r>
        <w:rPr>
          <w:lang w:eastAsia="zh-CN"/>
        </w:rPr>
        <w:t>2022</w:t>
      </w:r>
      <w:r>
        <w:rPr>
          <w:lang w:eastAsia="zh-CN"/>
        </w:rPr>
        <w:t>年</w:t>
      </w:r>
      <w:r>
        <w:rPr>
          <w:lang w:eastAsia="zh-CN"/>
        </w:rPr>
        <w:t>7</w:t>
      </w:r>
      <w:r>
        <w:rPr>
          <w:lang w:eastAsia="zh-CN"/>
        </w:rPr>
        <w:t>月</w:t>
      </w:r>
      <w:r>
        <w:rPr>
          <w:lang w:eastAsia="zh-CN"/>
        </w:rPr>
        <w:t>12</w:t>
      </w:r>
      <w:r>
        <w:rPr>
          <w:lang w:eastAsia="zh-CN"/>
        </w:rPr>
        <w:t>日</w:t>
      </w:r>
      <w:r>
        <w:rPr>
          <w:lang w:eastAsia="zh-CN"/>
        </w:rPr>
        <w:t>起至</w:t>
      </w:r>
      <w:r>
        <w:rPr>
          <w:lang w:eastAsia="zh-CN"/>
        </w:rPr>
        <w:t>2025</w:t>
      </w:r>
      <w:r>
        <w:rPr>
          <w:lang w:eastAsia="zh-CN"/>
        </w:rPr>
        <w:t>年</w:t>
      </w:r>
      <w:r>
        <w:rPr>
          <w:lang w:eastAsia="zh-CN"/>
        </w:rPr>
        <w:t>7</w:t>
      </w:r>
      <w:r>
        <w:rPr>
          <w:lang w:eastAsia="zh-CN"/>
        </w:rPr>
        <w:t>月</w:t>
      </w:r>
      <w:r>
        <w:rPr>
          <w:lang w:eastAsia="zh-CN"/>
        </w:rPr>
        <w:t>11</w:t>
      </w:r>
      <w:r>
        <w:rPr>
          <w:lang w:eastAsia="zh-CN"/>
        </w:rPr>
        <w:t>日止。</w:t>
      </w:r>
    </w:p>
    <w:p w:rsidR="00A64113" w:rsidRDefault="009729D0">
      <w:pPr>
        <w:pStyle w:val="BodyText"/>
        <w:rPr>
          <w:lang w:eastAsia="zh-CN"/>
        </w:rPr>
      </w:pPr>
      <w:r>
        <w:rPr>
          <w:lang w:eastAsia="zh-CN"/>
        </w:rPr>
        <w:t>加皇投资理财有限公司因不当处理客户资产遭证监会谴责及罚款</w:t>
      </w:r>
      <w:r>
        <w:rPr>
          <w:lang w:eastAsia="zh-CN"/>
        </w:rPr>
        <w:t>770</w:t>
      </w:r>
      <w:r>
        <w:rPr>
          <w:lang w:eastAsia="zh-CN"/>
        </w:rPr>
        <w:t>万港元</w:t>
      </w:r>
    </w:p>
    <w:p w:rsidR="00A64113" w:rsidRDefault="009729D0">
      <w:pPr>
        <w:pStyle w:val="BodyText"/>
        <w:rPr>
          <w:lang w:eastAsia="zh-CN"/>
        </w:rPr>
      </w:pPr>
      <w:r>
        <w:rPr>
          <w:lang w:eastAsia="zh-CN"/>
        </w:rPr>
        <w:t>2022</w:t>
      </w:r>
      <w:r>
        <w:rPr>
          <w:lang w:eastAsia="zh-CN"/>
        </w:rPr>
        <w:t>年</w:t>
      </w:r>
      <w:r>
        <w:rPr>
          <w:lang w:eastAsia="zh-CN"/>
        </w:rPr>
        <w:t>7</w:t>
      </w:r>
      <w:r>
        <w:rPr>
          <w:lang w:eastAsia="zh-CN"/>
        </w:rPr>
        <w:t>月</w:t>
      </w:r>
      <w:r>
        <w:rPr>
          <w:lang w:eastAsia="zh-CN"/>
        </w:rPr>
        <w:t>20</w:t>
      </w:r>
      <w:r>
        <w:rPr>
          <w:lang w:eastAsia="zh-CN"/>
        </w:rPr>
        <w:t>日，证监会谴责加皇投资理财有限公司（</w:t>
      </w:r>
      <w:r>
        <w:rPr>
          <w:b/>
          <w:lang w:eastAsia="zh-CN"/>
        </w:rPr>
        <w:t>加皇</w:t>
      </w:r>
      <w:r>
        <w:rPr>
          <w:lang w:eastAsia="zh-CN"/>
        </w:rPr>
        <w:t>）并对其处以罚款</w:t>
      </w:r>
      <w:r>
        <w:rPr>
          <w:lang w:eastAsia="zh-CN"/>
        </w:rPr>
        <w:t>770</w:t>
      </w:r>
      <w:r>
        <w:rPr>
          <w:lang w:eastAsia="zh-CN"/>
        </w:rPr>
        <w:t>万港元，理由是加皇没有分隔客户款项以及在并无客户授权的情况下将客户证券转移。证监会纪律行动声明载列于证监会网站</w:t>
      </w:r>
      <w:hyperlink r:id="rId16">
        <w:r>
          <w:rPr>
            <w:lang w:eastAsia="zh-CN"/>
          </w:rPr>
          <w:t>此处</w:t>
        </w:r>
      </w:hyperlink>
      <w:r>
        <w:rPr>
          <w:lang w:eastAsia="zh-CN"/>
        </w:rPr>
        <w:t>。</w:t>
      </w:r>
    </w:p>
    <w:p w:rsidR="00A64113" w:rsidRDefault="009729D0">
      <w:pPr>
        <w:pStyle w:val="BodyText"/>
        <w:rPr>
          <w:lang w:eastAsia="zh-CN"/>
        </w:rPr>
      </w:pPr>
      <w:r>
        <w:rPr>
          <w:lang w:eastAsia="zh-CN"/>
        </w:rPr>
        <w:t>加皇与分隔客户款项以及以在并无客户授权的情况下转移客户证券相关的众多缺失</w:t>
      </w:r>
    </w:p>
    <w:p w:rsidR="00A64113" w:rsidRDefault="009729D0">
      <w:pPr>
        <w:pStyle w:val="BodyText"/>
        <w:rPr>
          <w:lang w:eastAsia="zh-CN"/>
        </w:rPr>
      </w:pPr>
      <w:r>
        <w:rPr>
          <w:lang w:eastAsia="zh-CN"/>
        </w:rPr>
        <w:t>在</w:t>
      </w:r>
      <w:r>
        <w:rPr>
          <w:lang w:eastAsia="zh-CN"/>
        </w:rPr>
        <w:t>2019</w:t>
      </w:r>
      <w:r>
        <w:rPr>
          <w:lang w:eastAsia="zh-CN"/>
        </w:rPr>
        <w:t>年</w:t>
      </w:r>
      <w:r>
        <w:rPr>
          <w:lang w:eastAsia="zh-CN"/>
        </w:rPr>
        <w:t>1</w:t>
      </w:r>
      <w:r>
        <w:rPr>
          <w:lang w:eastAsia="zh-CN"/>
        </w:rPr>
        <w:t>月至</w:t>
      </w:r>
      <w:r>
        <w:rPr>
          <w:lang w:eastAsia="zh-CN"/>
        </w:rPr>
        <w:t>2020</w:t>
      </w:r>
      <w:r>
        <w:rPr>
          <w:lang w:eastAsia="zh-CN"/>
        </w:rPr>
        <w:t>年</w:t>
      </w:r>
      <w:r>
        <w:rPr>
          <w:lang w:eastAsia="zh-CN"/>
        </w:rPr>
        <w:t>8</w:t>
      </w:r>
      <w:r>
        <w:rPr>
          <w:lang w:eastAsia="zh-CN"/>
        </w:rPr>
        <w:t>月期间，加皇主动汇报多宗事件，当中涉及它没有分隔客户款项，并在没有向客户取得常设授权下将客户证券转移，因此违反了《证券及期货（客户款项）规则》（</w:t>
      </w:r>
      <w:r>
        <w:rPr>
          <w:b/>
          <w:lang w:eastAsia="zh-CN"/>
        </w:rPr>
        <w:t>《客户款项规则》</w:t>
      </w:r>
      <w:r>
        <w:rPr>
          <w:lang w:eastAsia="zh-CN"/>
        </w:rPr>
        <w:t>）及《证券及期货（客户证券）规则》（</w:t>
      </w:r>
      <w:r>
        <w:rPr>
          <w:b/>
          <w:lang w:eastAsia="zh-CN"/>
        </w:rPr>
        <w:t>《客户证券规则》</w:t>
      </w:r>
      <w:r>
        <w:rPr>
          <w:lang w:eastAsia="zh-CN"/>
        </w:rPr>
        <w:t>）。证监会遂就该等事件展开调查。</w:t>
      </w:r>
    </w:p>
    <w:p w:rsidR="00A64113" w:rsidRDefault="009729D0">
      <w:pPr>
        <w:pStyle w:val="BodyText"/>
      </w:pPr>
      <w:r>
        <w:rPr>
          <w:lang w:eastAsia="zh-CN"/>
        </w:rPr>
        <w:t>证监会的调查发现于</w:t>
      </w:r>
      <w:r>
        <w:rPr>
          <w:lang w:eastAsia="zh-CN"/>
        </w:rPr>
        <w:t>2018</w:t>
      </w:r>
      <w:r>
        <w:rPr>
          <w:lang w:eastAsia="zh-CN"/>
        </w:rPr>
        <w:t>年</w:t>
      </w:r>
      <w:r>
        <w:rPr>
          <w:lang w:eastAsia="zh-CN"/>
        </w:rPr>
        <w:t>1</w:t>
      </w:r>
      <w:r>
        <w:rPr>
          <w:lang w:eastAsia="zh-CN"/>
        </w:rPr>
        <w:t>月至</w:t>
      </w:r>
      <w:r>
        <w:rPr>
          <w:lang w:eastAsia="zh-CN"/>
        </w:rPr>
        <w:t>2020</w:t>
      </w:r>
      <w:r>
        <w:rPr>
          <w:lang w:eastAsia="zh-CN"/>
        </w:rPr>
        <w:t>年</w:t>
      </w:r>
      <w:r>
        <w:rPr>
          <w:lang w:eastAsia="zh-CN"/>
        </w:rPr>
        <w:t>8</w:t>
      </w:r>
      <w:r>
        <w:rPr>
          <w:lang w:eastAsia="zh-CN"/>
        </w:rPr>
        <w:t>月期间，加皇先后</w:t>
      </w:r>
      <w:r>
        <w:rPr>
          <w:lang w:eastAsia="zh-CN"/>
        </w:rPr>
        <w:t>86</w:t>
      </w:r>
      <w:r>
        <w:rPr>
          <w:lang w:eastAsia="zh-CN"/>
        </w:rPr>
        <w:t>次没有分隔客户款项，涉及的个别交易金额介乎</w:t>
      </w:r>
      <w:r>
        <w:rPr>
          <w:lang w:eastAsia="zh-CN"/>
        </w:rPr>
        <w:t>146</w:t>
      </w:r>
      <w:r>
        <w:rPr>
          <w:lang w:eastAsia="zh-CN"/>
        </w:rPr>
        <w:t>港元至</w:t>
      </w:r>
      <w:r>
        <w:rPr>
          <w:lang w:eastAsia="zh-CN"/>
        </w:rPr>
        <w:t>5,200</w:t>
      </w:r>
      <w:r>
        <w:rPr>
          <w:lang w:eastAsia="zh-CN"/>
        </w:rPr>
        <w:t>万港元不等。</w:t>
      </w:r>
      <w:r>
        <w:t>没有分隔客户</w:t>
      </w:r>
      <w:r>
        <w:t>款项这些缺失详情载列如下：</w:t>
      </w:r>
    </w:p>
    <w:p w:rsidR="00A64113" w:rsidRDefault="009729D0">
      <w:pPr>
        <w:pStyle w:val="Compact"/>
        <w:numPr>
          <w:ilvl w:val="0"/>
          <w:numId w:val="6"/>
        </w:numPr>
        <w:rPr>
          <w:lang w:eastAsia="zh-CN"/>
        </w:rPr>
      </w:pPr>
      <w:r>
        <w:rPr>
          <w:lang w:eastAsia="zh-CN"/>
        </w:rPr>
        <w:t>68</w:t>
      </w:r>
      <w:r>
        <w:rPr>
          <w:lang w:eastAsia="zh-CN"/>
        </w:rPr>
        <w:t>宗即日将资金从客户的独立账户转移到公司账户的事件，为了方便结算贷款还款、支付集团内部款项及支薪。之后会在当天下午</w:t>
      </w:r>
      <w:r>
        <w:rPr>
          <w:lang w:eastAsia="zh-CN"/>
        </w:rPr>
        <w:t>4</w:t>
      </w:r>
      <w:r>
        <w:rPr>
          <w:lang w:eastAsia="zh-CN"/>
        </w:rPr>
        <w:t>时进行每日调整，以确保将适当金额的客户款项分隔开来。该作业手法违反了《客户款项规则》第</w:t>
      </w:r>
      <w:r>
        <w:rPr>
          <w:lang w:eastAsia="zh-CN"/>
        </w:rPr>
        <w:t>5(1)</w:t>
      </w:r>
      <w:r>
        <w:rPr>
          <w:lang w:eastAsia="zh-CN"/>
        </w:rPr>
        <w:t>条。加皇了解到其职员至少从</w:t>
      </w:r>
      <w:r>
        <w:rPr>
          <w:lang w:eastAsia="zh-CN"/>
        </w:rPr>
        <w:t xml:space="preserve"> 2000</w:t>
      </w:r>
      <w:r>
        <w:rPr>
          <w:lang w:eastAsia="zh-CN"/>
        </w:rPr>
        <w:t>年起便一直沿用该作业手法；</w:t>
      </w:r>
    </w:p>
    <w:p w:rsidR="00A64113" w:rsidRDefault="009729D0">
      <w:pPr>
        <w:pStyle w:val="Compact"/>
        <w:numPr>
          <w:ilvl w:val="0"/>
          <w:numId w:val="6"/>
        </w:numPr>
        <w:rPr>
          <w:lang w:eastAsia="zh-CN"/>
        </w:rPr>
      </w:pPr>
      <w:r>
        <w:rPr>
          <w:lang w:eastAsia="zh-CN"/>
        </w:rPr>
        <w:t>11</w:t>
      </w:r>
      <w:r>
        <w:rPr>
          <w:lang w:eastAsia="zh-CN"/>
        </w:rPr>
        <w:t>宗计算错误的事件，没有充分地分隔客户款项，原因是电子表格模板中的加总公式被不慎删除，违反了《客户款项规则》第</w:t>
      </w:r>
      <w:r>
        <w:rPr>
          <w:lang w:eastAsia="zh-CN"/>
        </w:rPr>
        <w:t>4(4)</w:t>
      </w:r>
      <w:r>
        <w:rPr>
          <w:lang w:eastAsia="zh-CN"/>
        </w:rPr>
        <w:t>条；</w:t>
      </w:r>
    </w:p>
    <w:p w:rsidR="00A64113" w:rsidRDefault="009729D0">
      <w:pPr>
        <w:pStyle w:val="Compact"/>
        <w:numPr>
          <w:ilvl w:val="0"/>
          <w:numId w:val="6"/>
        </w:numPr>
      </w:pPr>
      <w:r>
        <w:rPr>
          <w:lang w:eastAsia="zh-CN"/>
        </w:rPr>
        <w:t>加皇先后</w:t>
      </w:r>
      <w:r>
        <w:rPr>
          <w:lang w:eastAsia="zh-CN"/>
        </w:rPr>
        <w:t>5</w:t>
      </w:r>
      <w:r>
        <w:rPr>
          <w:lang w:eastAsia="zh-CN"/>
        </w:rPr>
        <w:t>次没有在从加皇的公司账户收取股息后</w:t>
      </w:r>
      <w:r>
        <w:rPr>
          <w:lang w:eastAsia="zh-CN"/>
        </w:rPr>
        <w:t>1</w:t>
      </w:r>
      <w:r>
        <w:rPr>
          <w:lang w:eastAsia="zh-CN"/>
        </w:rPr>
        <w:t>个营业日内，将所收取的股息存入其客户</w:t>
      </w:r>
      <w:r>
        <w:rPr>
          <w:lang w:eastAsia="zh-CN"/>
        </w:rPr>
        <w:t>的独立账户，因而违反了《客户款项规则》第</w:t>
      </w:r>
      <w:r>
        <w:rPr>
          <w:lang w:eastAsia="zh-CN"/>
        </w:rPr>
        <w:t xml:space="preserve"> 4(4)</w:t>
      </w:r>
      <w:r>
        <w:rPr>
          <w:lang w:eastAsia="zh-CN"/>
        </w:rPr>
        <w:t>条。</w:t>
      </w:r>
      <w:r>
        <w:t>这是由于系统缺失及人为错误而引致的；</w:t>
      </w:r>
    </w:p>
    <w:p w:rsidR="00A64113" w:rsidRDefault="009729D0">
      <w:pPr>
        <w:pStyle w:val="Compact"/>
        <w:numPr>
          <w:ilvl w:val="0"/>
          <w:numId w:val="6"/>
        </w:numPr>
        <w:rPr>
          <w:lang w:eastAsia="zh-CN"/>
        </w:rPr>
      </w:pPr>
      <w:r>
        <w:rPr>
          <w:lang w:eastAsia="zh-CN"/>
        </w:rPr>
        <w:t>发生过一宗事件，该事件中一名制表员</w:t>
      </w:r>
      <w:hyperlink w:anchor="footnote-598-3">
        <w:r>
          <w:rPr>
            <w:vertAlign w:val="superscript"/>
            <w:lang w:eastAsia="zh-CN"/>
          </w:rPr>
          <w:t>3</w:t>
        </w:r>
      </w:hyperlink>
      <w:r>
        <w:rPr>
          <w:lang w:eastAsia="zh-CN"/>
        </w:rPr>
        <w:t>向核对员表示，其在将用来计算需予分隔的客户款项额的电子表格呈交予核对员检查后，发现自己没有将一笔存入的客户款项加到该等电子表格</w:t>
      </w:r>
      <w:r>
        <w:rPr>
          <w:lang w:eastAsia="zh-CN"/>
        </w:rPr>
        <w:lastRenderedPageBreak/>
        <w:t>内。然而，之后该核对员只更新了其中一份相关电子表格而没有更新另一份。而该</w:t>
      </w:r>
      <w:r>
        <w:rPr>
          <w:lang w:eastAsia="zh-CN"/>
        </w:rPr>
        <w:t>2</w:t>
      </w:r>
      <w:r>
        <w:rPr>
          <w:lang w:eastAsia="zh-CN"/>
        </w:rPr>
        <w:t>份电子表格需一并使用，方能计算每日客户资金的分隔金额。这事件的结果是导致客户的独立账户有</w:t>
      </w:r>
      <w:r>
        <w:rPr>
          <w:lang w:eastAsia="zh-CN"/>
        </w:rPr>
        <w:t>4,850</w:t>
      </w:r>
      <w:r>
        <w:rPr>
          <w:lang w:eastAsia="zh-CN"/>
        </w:rPr>
        <w:t>万港元没有被</w:t>
      </w:r>
      <w:r>
        <w:rPr>
          <w:lang w:eastAsia="zh-CN"/>
        </w:rPr>
        <w:t>分隔，因而违反了《客户款项规则》第</w:t>
      </w:r>
      <w:r>
        <w:rPr>
          <w:lang w:eastAsia="zh-CN"/>
        </w:rPr>
        <w:t xml:space="preserve"> 4(4)</w:t>
      </w:r>
      <w:r>
        <w:rPr>
          <w:lang w:eastAsia="zh-CN"/>
        </w:rPr>
        <w:t>条；及</w:t>
      </w:r>
    </w:p>
    <w:p w:rsidR="00A64113" w:rsidRDefault="009729D0">
      <w:pPr>
        <w:pStyle w:val="Compact"/>
        <w:numPr>
          <w:ilvl w:val="0"/>
          <w:numId w:val="6"/>
        </w:numPr>
        <w:rPr>
          <w:lang w:eastAsia="zh-CN"/>
        </w:rPr>
      </w:pPr>
      <w:r>
        <w:rPr>
          <w:lang w:eastAsia="zh-CN"/>
        </w:rPr>
        <w:t>2018</w:t>
      </w:r>
      <w:r>
        <w:rPr>
          <w:lang w:eastAsia="zh-CN"/>
        </w:rPr>
        <w:t>年</w:t>
      </w:r>
      <w:r>
        <w:rPr>
          <w:lang w:eastAsia="zh-CN"/>
        </w:rPr>
        <w:t>1</w:t>
      </w:r>
      <w:r>
        <w:rPr>
          <w:lang w:eastAsia="zh-CN"/>
        </w:rPr>
        <w:t>月，发生了一宗事件，该事件中一名加皇职员犯了人为错误，将在某个错误日期的人民币余额用来厘定需予分隔的客户款项款额，结果导致了有大概人民币</w:t>
      </w:r>
      <w:r>
        <w:rPr>
          <w:lang w:eastAsia="zh-CN"/>
        </w:rPr>
        <w:t>18,000</w:t>
      </w:r>
      <w:r>
        <w:rPr>
          <w:lang w:eastAsia="zh-CN"/>
        </w:rPr>
        <w:t>元没被分隔开来，因而违反了《客户款项规则》第</w:t>
      </w:r>
      <w:r>
        <w:rPr>
          <w:lang w:eastAsia="zh-CN"/>
        </w:rPr>
        <w:t xml:space="preserve"> 4(4)</w:t>
      </w:r>
      <w:r>
        <w:rPr>
          <w:lang w:eastAsia="zh-CN"/>
        </w:rPr>
        <w:t>条。该错误是因制表员而造成的，且没有被核对员检查出来。</w:t>
      </w:r>
    </w:p>
    <w:p w:rsidR="00A64113" w:rsidRDefault="009729D0">
      <w:pPr>
        <w:pStyle w:val="FirstParagraph"/>
        <w:rPr>
          <w:lang w:eastAsia="zh-CN"/>
        </w:rPr>
      </w:pPr>
      <w:r>
        <w:rPr>
          <w:lang w:eastAsia="zh-CN"/>
        </w:rPr>
        <w:t>还存在在没有有效常设授权下将证券抵押品存放至认可结算所的缺失。</w:t>
      </w:r>
    </w:p>
    <w:p w:rsidR="00A64113" w:rsidRDefault="009729D0">
      <w:pPr>
        <w:pStyle w:val="BodyText"/>
        <w:rPr>
          <w:lang w:eastAsia="zh-CN"/>
        </w:rPr>
      </w:pPr>
      <w:r>
        <w:rPr>
          <w:lang w:eastAsia="zh-CN"/>
        </w:rPr>
        <w:t>2020</w:t>
      </w:r>
      <w:r>
        <w:rPr>
          <w:lang w:eastAsia="zh-CN"/>
        </w:rPr>
        <w:t>年</w:t>
      </w:r>
      <w:r>
        <w:rPr>
          <w:lang w:eastAsia="zh-CN"/>
        </w:rPr>
        <w:t>3</w:t>
      </w:r>
      <w:r>
        <w:rPr>
          <w:lang w:eastAsia="zh-CN"/>
        </w:rPr>
        <w:t>月，加皇的合规组就营运组在所有上市期权交易客户的常设授权书方面所遵循的程序，向营运组作出查询。加皇根据该等常设授权</w:t>
      </w:r>
      <w:r>
        <w:rPr>
          <w:lang w:eastAsia="zh-CN"/>
        </w:rPr>
        <w:t>书，获授权将客户保证金账户内的客户证券存放至香港期货结算有限公司作为抵押品，以履行对客户的未平仓期权淡仓的保证金规定。次日，营运组向合规组表示，自</w:t>
      </w:r>
      <w:r>
        <w:rPr>
          <w:lang w:eastAsia="zh-CN"/>
        </w:rPr>
        <w:t>2011</w:t>
      </w:r>
      <w:r>
        <w:rPr>
          <w:lang w:eastAsia="zh-CN"/>
        </w:rPr>
        <w:t>年起，它便再没有延续年度常设授权书。</w:t>
      </w:r>
    </w:p>
    <w:p w:rsidR="00A64113" w:rsidRDefault="009729D0">
      <w:pPr>
        <w:pStyle w:val="BodyText"/>
        <w:rPr>
          <w:lang w:eastAsia="zh-CN"/>
        </w:rPr>
      </w:pPr>
      <w:r>
        <w:rPr>
          <w:lang w:eastAsia="zh-CN"/>
        </w:rPr>
        <w:t>加皇检视了在</w:t>
      </w:r>
      <w:r>
        <w:rPr>
          <w:lang w:eastAsia="zh-CN"/>
        </w:rPr>
        <w:t>2012</w:t>
      </w:r>
      <w:r>
        <w:rPr>
          <w:lang w:eastAsia="zh-CN"/>
        </w:rPr>
        <w:t>年</w:t>
      </w:r>
      <w:r>
        <w:rPr>
          <w:lang w:eastAsia="zh-CN"/>
        </w:rPr>
        <w:t>12</w:t>
      </w:r>
      <w:r>
        <w:rPr>
          <w:lang w:eastAsia="zh-CN"/>
        </w:rPr>
        <w:t>月至</w:t>
      </w:r>
      <w:r>
        <w:rPr>
          <w:lang w:eastAsia="zh-CN"/>
        </w:rPr>
        <w:t>2020</w:t>
      </w:r>
      <w:r>
        <w:rPr>
          <w:lang w:eastAsia="zh-CN"/>
        </w:rPr>
        <w:t>年</w:t>
      </w:r>
      <w:r>
        <w:rPr>
          <w:lang w:eastAsia="zh-CN"/>
        </w:rPr>
        <w:t>3</w:t>
      </w:r>
      <w:r>
        <w:rPr>
          <w:lang w:eastAsia="zh-CN"/>
        </w:rPr>
        <w:t>月期间的</w:t>
      </w:r>
      <w:r>
        <w:rPr>
          <w:lang w:eastAsia="zh-CN"/>
        </w:rPr>
        <w:t>2,074</w:t>
      </w:r>
      <w:r>
        <w:rPr>
          <w:lang w:eastAsia="zh-CN"/>
        </w:rPr>
        <w:t>项期权合约交易，当中涉及</w:t>
      </w:r>
      <w:r>
        <w:rPr>
          <w:lang w:eastAsia="zh-CN"/>
        </w:rPr>
        <w:t>124</w:t>
      </w:r>
      <w:r>
        <w:rPr>
          <w:lang w:eastAsia="zh-CN"/>
        </w:rPr>
        <w:t>个账户。加皇亦发现在该</w:t>
      </w:r>
      <w:r>
        <w:rPr>
          <w:lang w:eastAsia="zh-CN"/>
        </w:rPr>
        <w:t>124</w:t>
      </w:r>
      <w:r>
        <w:rPr>
          <w:lang w:eastAsia="zh-CN"/>
        </w:rPr>
        <w:t>个账户中，有</w:t>
      </w:r>
      <w:r>
        <w:rPr>
          <w:lang w:eastAsia="zh-CN"/>
        </w:rPr>
        <w:t>65</w:t>
      </w:r>
      <w:r>
        <w:rPr>
          <w:lang w:eastAsia="zh-CN"/>
        </w:rPr>
        <w:t>个属非专业投资者的账户，而他们的证券被转移至香港期货结算有限公司作为抵押品。</w:t>
      </w:r>
    </w:p>
    <w:p w:rsidR="00A64113" w:rsidRDefault="009729D0">
      <w:pPr>
        <w:pStyle w:val="BodyText"/>
        <w:rPr>
          <w:lang w:eastAsia="zh-CN"/>
        </w:rPr>
      </w:pPr>
      <w:r>
        <w:rPr>
          <w:lang w:eastAsia="zh-CN"/>
        </w:rPr>
        <w:t>加皇未有延续常设授权书违反了《客户证券规则》第</w:t>
      </w:r>
      <w:r>
        <w:rPr>
          <w:lang w:eastAsia="zh-CN"/>
        </w:rPr>
        <w:t>4(3)</w:t>
      </w:r>
      <w:r>
        <w:rPr>
          <w:lang w:eastAsia="zh-CN"/>
        </w:rPr>
        <w:t>、</w:t>
      </w:r>
      <w:r>
        <w:rPr>
          <w:lang w:eastAsia="zh-CN"/>
        </w:rPr>
        <w:t>7</w:t>
      </w:r>
      <w:r>
        <w:rPr>
          <w:lang w:eastAsia="zh-CN"/>
        </w:rPr>
        <w:t>及</w:t>
      </w:r>
      <w:r>
        <w:rPr>
          <w:lang w:eastAsia="zh-CN"/>
        </w:rPr>
        <w:t>10</w:t>
      </w:r>
      <w:r>
        <w:rPr>
          <w:lang w:eastAsia="zh-CN"/>
        </w:rPr>
        <w:t>条，且这是因为加皇当时的营运主管及当时的合规</w:t>
      </w:r>
      <w:r>
        <w:rPr>
          <w:lang w:eastAsia="zh-CN"/>
        </w:rPr>
        <w:t>经理错误诠释《客户证券规则》所致。</w:t>
      </w:r>
    </w:p>
    <w:p w:rsidR="00A64113" w:rsidRDefault="009729D0">
      <w:pPr>
        <w:pStyle w:val="BodyText"/>
        <w:rPr>
          <w:lang w:eastAsia="zh-CN"/>
        </w:rPr>
      </w:pPr>
      <w:r>
        <w:rPr>
          <w:lang w:eastAsia="zh-CN"/>
        </w:rPr>
        <w:t>证监会对加皇违反香港《客户证券规则》的观点</w:t>
      </w:r>
    </w:p>
    <w:p w:rsidR="00A64113" w:rsidRDefault="009729D0">
      <w:pPr>
        <w:pStyle w:val="BodyText"/>
        <w:rPr>
          <w:lang w:eastAsia="zh-CN"/>
        </w:rPr>
      </w:pPr>
      <w:r>
        <w:rPr>
          <w:lang w:eastAsia="zh-CN"/>
        </w:rPr>
        <w:t>加皇没有分隔客户款项及在没有有效常设授权书的情况下将客户证券转移至结算公司作为抵押品的行为违反了《客户证券规则》第</w:t>
      </w:r>
      <w:r>
        <w:rPr>
          <w:lang w:eastAsia="zh-CN"/>
        </w:rPr>
        <w:t>4(3)</w:t>
      </w:r>
      <w:r>
        <w:rPr>
          <w:lang w:eastAsia="zh-CN"/>
        </w:rPr>
        <w:t>、</w:t>
      </w:r>
      <w:r>
        <w:rPr>
          <w:lang w:eastAsia="zh-CN"/>
        </w:rPr>
        <w:t>4(4)</w:t>
      </w:r>
      <w:r>
        <w:rPr>
          <w:lang w:eastAsia="zh-CN"/>
        </w:rPr>
        <w:t>、</w:t>
      </w:r>
      <w:r>
        <w:rPr>
          <w:lang w:eastAsia="zh-CN"/>
        </w:rPr>
        <w:t>5(1)</w:t>
      </w:r>
      <w:r>
        <w:rPr>
          <w:lang w:eastAsia="zh-CN"/>
        </w:rPr>
        <w:t>、</w:t>
      </w:r>
      <w:r>
        <w:rPr>
          <w:lang w:eastAsia="zh-CN"/>
        </w:rPr>
        <w:t>7</w:t>
      </w:r>
      <w:r>
        <w:rPr>
          <w:lang w:eastAsia="zh-CN"/>
        </w:rPr>
        <w:t>及</w:t>
      </w:r>
      <w:r>
        <w:rPr>
          <w:lang w:eastAsia="zh-CN"/>
        </w:rPr>
        <w:t>10</w:t>
      </w:r>
      <w:r>
        <w:rPr>
          <w:lang w:eastAsia="zh-CN"/>
        </w:rPr>
        <w:t>条。加皇还违反了《证券及期货事务监察委员会持牌人或注册人操守准则》（</w:t>
      </w:r>
      <w:r>
        <w:rPr>
          <w:b/>
          <w:lang w:eastAsia="zh-CN"/>
        </w:rPr>
        <w:t>证监会《操守准则</w:t>
      </w:r>
      <w:r>
        <w:rPr>
          <w:lang w:eastAsia="zh-CN"/>
        </w:rPr>
        <w:t>》）第</w:t>
      </w:r>
      <w:r>
        <w:rPr>
          <w:lang w:eastAsia="zh-CN"/>
        </w:rPr>
        <w:t>2</w:t>
      </w:r>
      <w:r>
        <w:rPr>
          <w:lang w:eastAsia="zh-CN"/>
        </w:rPr>
        <w:t>项一般原则、第</w:t>
      </w:r>
      <w:r>
        <w:rPr>
          <w:lang w:eastAsia="zh-CN"/>
        </w:rPr>
        <w:t>3</w:t>
      </w:r>
      <w:r>
        <w:rPr>
          <w:lang w:eastAsia="zh-CN"/>
        </w:rPr>
        <w:t>项一般原则、第</w:t>
      </w:r>
      <w:r>
        <w:rPr>
          <w:lang w:eastAsia="zh-CN"/>
        </w:rPr>
        <w:t xml:space="preserve"> 7 </w:t>
      </w:r>
      <w:r>
        <w:rPr>
          <w:lang w:eastAsia="zh-CN"/>
        </w:rPr>
        <w:t>项一般原则及第</w:t>
      </w:r>
      <w:r>
        <w:rPr>
          <w:lang w:eastAsia="zh-CN"/>
        </w:rPr>
        <w:t>8</w:t>
      </w:r>
      <w:r>
        <w:rPr>
          <w:lang w:eastAsia="zh-CN"/>
        </w:rPr>
        <w:t>项一般原则；及第</w:t>
      </w:r>
      <w:r>
        <w:rPr>
          <w:lang w:eastAsia="zh-CN"/>
        </w:rPr>
        <w:t>4.1</w:t>
      </w:r>
      <w:r>
        <w:rPr>
          <w:lang w:eastAsia="zh-CN"/>
        </w:rPr>
        <w:t>段、第</w:t>
      </w:r>
      <w:r>
        <w:rPr>
          <w:lang w:eastAsia="zh-CN"/>
        </w:rPr>
        <w:t>11.1</w:t>
      </w:r>
      <w:r>
        <w:rPr>
          <w:lang w:eastAsia="zh-CN"/>
        </w:rPr>
        <w:t>段及第</w:t>
      </w:r>
      <w:r>
        <w:rPr>
          <w:lang w:eastAsia="zh-CN"/>
        </w:rPr>
        <w:t>12.1</w:t>
      </w:r>
      <w:r>
        <w:rPr>
          <w:lang w:eastAsia="zh-CN"/>
        </w:rPr>
        <w:t>段。因此，鉴于加皇对《客户证券规则》及证监会《操守准则》的若干违规行为，证监会对加皇进</w:t>
      </w:r>
      <w:r>
        <w:rPr>
          <w:lang w:eastAsia="zh-CN"/>
        </w:rPr>
        <w:t>行谴责并处以</w:t>
      </w:r>
      <w:r>
        <w:rPr>
          <w:lang w:eastAsia="zh-CN"/>
        </w:rPr>
        <w:t>770</w:t>
      </w:r>
      <w:r>
        <w:rPr>
          <w:lang w:eastAsia="zh-CN"/>
        </w:rPr>
        <w:t>万港元的罚款。</w:t>
      </w:r>
    </w:p>
    <w:p w:rsidR="00A64113" w:rsidRDefault="009729D0">
      <w:pPr>
        <w:pStyle w:val="BodyText"/>
        <w:rPr>
          <w:lang w:eastAsia="zh-CN"/>
        </w:rPr>
      </w:pPr>
      <w:r>
        <w:rPr>
          <w:lang w:eastAsia="zh-CN"/>
        </w:rPr>
        <w:t>日发期货有限公司遭证监会谴责和罚款</w:t>
      </w:r>
      <w:r>
        <w:rPr>
          <w:lang w:eastAsia="zh-CN"/>
        </w:rPr>
        <w:t>900</w:t>
      </w:r>
      <w:r>
        <w:rPr>
          <w:lang w:eastAsia="zh-CN"/>
        </w:rPr>
        <w:t>万港元</w:t>
      </w:r>
    </w:p>
    <w:p w:rsidR="00A64113" w:rsidRDefault="009729D0">
      <w:pPr>
        <w:pStyle w:val="BodyText"/>
        <w:rPr>
          <w:lang w:eastAsia="zh-CN"/>
        </w:rPr>
      </w:pPr>
      <w:r>
        <w:rPr>
          <w:lang w:eastAsia="zh-CN"/>
        </w:rPr>
        <w:t>2022</w:t>
      </w:r>
      <w:r>
        <w:rPr>
          <w:lang w:eastAsia="zh-CN"/>
        </w:rPr>
        <w:t>年</w:t>
      </w:r>
      <w:r>
        <w:rPr>
          <w:lang w:eastAsia="zh-CN"/>
        </w:rPr>
        <w:t>7</w:t>
      </w:r>
      <w:r>
        <w:rPr>
          <w:lang w:eastAsia="zh-CN"/>
        </w:rPr>
        <w:t>月</w:t>
      </w:r>
      <w:r>
        <w:rPr>
          <w:lang w:eastAsia="zh-CN"/>
        </w:rPr>
        <w:t>25</w:t>
      </w:r>
      <w:r>
        <w:rPr>
          <w:lang w:eastAsia="zh-CN"/>
        </w:rPr>
        <w:t>日，证监会谴责日发期货有限公司（</w:t>
      </w:r>
      <w:r>
        <w:rPr>
          <w:b/>
          <w:lang w:eastAsia="zh-CN"/>
        </w:rPr>
        <w:t>日发</w:t>
      </w:r>
      <w:r>
        <w:rPr>
          <w:lang w:eastAsia="zh-CN"/>
        </w:rPr>
        <w:t>）并处以罚款</w:t>
      </w:r>
      <w:r>
        <w:rPr>
          <w:lang w:eastAsia="zh-CN"/>
        </w:rPr>
        <w:t>900</w:t>
      </w:r>
      <w:r>
        <w:rPr>
          <w:lang w:eastAsia="zh-CN"/>
        </w:rPr>
        <w:t>万元，原因是该公司没有进行充分的尽职审查，没有对客户的资金调动进行充分的监察以及没有对客户的互联网交易帐户实施更为安全的登入方法。证监会纪律行动声明载列于证监会网站</w:t>
      </w:r>
      <w:hyperlink r:id="rId17">
        <w:r>
          <w:rPr>
            <w:lang w:eastAsia="zh-CN"/>
          </w:rPr>
          <w:t>此处</w:t>
        </w:r>
      </w:hyperlink>
      <w:r>
        <w:rPr>
          <w:lang w:eastAsia="zh-CN"/>
        </w:rPr>
        <w:t>。</w:t>
      </w:r>
    </w:p>
    <w:p w:rsidR="00A64113" w:rsidRDefault="009729D0">
      <w:pPr>
        <w:pStyle w:val="BodyText"/>
        <w:rPr>
          <w:lang w:eastAsia="zh-CN"/>
        </w:rPr>
      </w:pPr>
      <w:r>
        <w:rPr>
          <w:lang w:eastAsia="zh-CN"/>
        </w:rPr>
        <w:t>透过经纪自设系统经有关子账户进行未获授权买卖</w:t>
      </w:r>
    </w:p>
    <w:p w:rsidR="00A64113" w:rsidRDefault="009729D0">
      <w:pPr>
        <w:pStyle w:val="BodyText"/>
        <w:rPr>
          <w:lang w:eastAsia="zh-CN"/>
        </w:rPr>
      </w:pPr>
      <w:r>
        <w:rPr>
          <w:lang w:eastAsia="zh-CN"/>
        </w:rPr>
        <w:t>证监会已接获有关多家持牌法团的众多投诉，指它们容许客户透过一款名为信管家的软件，向它们的经纪自设系统发出交易指示，这就使得这些客户招揽中国内地的投资者藉由信管家发出交易指示经有关子账户进行买卖。</w:t>
      </w:r>
    </w:p>
    <w:p w:rsidR="00A64113" w:rsidRDefault="009729D0">
      <w:pPr>
        <w:pStyle w:val="BodyText"/>
        <w:rPr>
          <w:lang w:eastAsia="zh-CN"/>
        </w:rPr>
      </w:pPr>
      <w:r>
        <w:rPr>
          <w:lang w:eastAsia="zh-CN"/>
        </w:rPr>
        <w:t>1</w:t>
      </w:r>
      <w:r>
        <w:rPr>
          <w:lang w:eastAsia="zh-CN"/>
        </w:rPr>
        <w:t>名投诉人指称，信管家让该等持牌法团的客户得以在他们于该等持牌法团所开立的账户之下开设子账户，而这些客户曾招揽中国内地的投资者在无须于香港的该等持牌法团另行开设证券账户的情况下，藉由信管家经有关子账户进行买卖。日发是上述投诉所针对的该等持牌法团之一。在</w:t>
      </w:r>
      <w:r>
        <w:rPr>
          <w:lang w:eastAsia="zh-CN"/>
        </w:rPr>
        <w:t>2016</w:t>
      </w:r>
      <w:r>
        <w:rPr>
          <w:lang w:eastAsia="zh-CN"/>
        </w:rPr>
        <w:t>年</w:t>
      </w:r>
      <w:r>
        <w:rPr>
          <w:lang w:eastAsia="zh-CN"/>
        </w:rPr>
        <w:t xml:space="preserve">5 </w:t>
      </w:r>
      <w:r>
        <w:rPr>
          <w:lang w:eastAsia="zh-CN"/>
        </w:rPr>
        <w:t>月至</w:t>
      </w:r>
      <w:r>
        <w:rPr>
          <w:lang w:eastAsia="zh-CN"/>
        </w:rPr>
        <w:t>2018</w:t>
      </w:r>
      <w:r>
        <w:rPr>
          <w:lang w:eastAsia="zh-CN"/>
        </w:rPr>
        <w:t>年</w:t>
      </w:r>
      <w:r>
        <w:rPr>
          <w:lang w:eastAsia="zh-CN"/>
        </w:rPr>
        <w:t>10</w:t>
      </w:r>
      <w:r>
        <w:rPr>
          <w:lang w:eastAsia="zh-CN"/>
        </w:rPr>
        <w:t>月期间，日发曾允许</w:t>
      </w:r>
      <w:r>
        <w:rPr>
          <w:lang w:eastAsia="zh-CN"/>
        </w:rPr>
        <w:t xml:space="preserve"> 310 </w:t>
      </w:r>
      <w:r>
        <w:rPr>
          <w:lang w:eastAsia="zh-CN"/>
        </w:rPr>
        <w:t>名客户利用客户自设系统（包括信管家）发出交易指示。</w:t>
      </w:r>
      <w:hyperlink w:anchor="footnote-598-4">
        <w:r>
          <w:rPr>
            <w:vertAlign w:val="superscript"/>
            <w:lang w:eastAsia="zh-CN"/>
          </w:rPr>
          <w:t>4</w:t>
        </w:r>
      </w:hyperlink>
    </w:p>
    <w:p w:rsidR="00A64113" w:rsidRDefault="009729D0">
      <w:pPr>
        <w:pStyle w:val="BodyText"/>
        <w:rPr>
          <w:lang w:eastAsia="zh-CN"/>
        </w:rPr>
      </w:pPr>
      <w:r>
        <w:rPr>
          <w:lang w:eastAsia="zh-CN"/>
        </w:rPr>
        <w:t>没有进行充分的尽职审查</w:t>
      </w:r>
    </w:p>
    <w:p w:rsidR="00A64113" w:rsidRDefault="009729D0">
      <w:pPr>
        <w:pStyle w:val="BodyText"/>
        <w:rPr>
          <w:lang w:eastAsia="zh-CN"/>
        </w:rPr>
      </w:pPr>
      <w:r>
        <w:rPr>
          <w:lang w:eastAsia="zh-CN"/>
        </w:rPr>
        <w:t>日发在容许客户自设系统连接至其经纪自设系统前，会</w:t>
      </w:r>
      <w:r>
        <w:rPr>
          <w:lang w:eastAsia="zh-CN"/>
        </w:rPr>
        <w:t>先要求客户：</w:t>
      </w:r>
    </w:p>
    <w:p w:rsidR="00A64113" w:rsidRDefault="009729D0">
      <w:pPr>
        <w:pStyle w:val="Compact"/>
        <w:numPr>
          <w:ilvl w:val="0"/>
          <w:numId w:val="7"/>
        </w:numPr>
        <w:rPr>
          <w:lang w:eastAsia="zh-CN"/>
        </w:rPr>
      </w:pPr>
      <w:r>
        <w:rPr>
          <w:lang w:eastAsia="zh-CN"/>
        </w:rPr>
        <w:lastRenderedPageBreak/>
        <w:t>向有关经纪自设系统的供货商申请证书；及</w:t>
      </w:r>
    </w:p>
    <w:p w:rsidR="00A64113" w:rsidRDefault="009729D0">
      <w:pPr>
        <w:pStyle w:val="Compact"/>
        <w:numPr>
          <w:ilvl w:val="0"/>
          <w:numId w:val="7"/>
        </w:numPr>
        <w:rPr>
          <w:lang w:eastAsia="zh-CN"/>
        </w:rPr>
      </w:pPr>
      <w:r>
        <w:rPr>
          <w:lang w:eastAsia="zh-CN"/>
        </w:rPr>
        <w:t>向日发请求作出最终批准，让他们使用该客户自设系统。</w:t>
      </w:r>
    </w:p>
    <w:p w:rsidR="00A64113" w:rsidRDefault="009729D0">
      <w:pPr>
        <w:pStyle w:val="FirstParagraph"/>
        <w:rPr>
          <w:lang w:eastAsia="zh-CN"/>
        </w:rPr>
      </w:pPr>
      <w:r>
        <w:rPr>
          <w:lang w:eastAsia="zh-CN"/>
        </w:rPr>
        <w:t>但是，日发并无对其客户使用的客户自设系统进行任何尽职审查或测试，而只是就客户自设系统与其经纪自设系统之间的连接进行穿行测试。虽然日发已声称其依赖该经纪自设系统供货商对该客户自设系统进行尽职审查，但经纪自设系统供货商却表示日发从未指示它（或者实际上已经）对客户自设系统进行任何尽职审查或测试，以查检有关系统的设计及功能。</w:t>
      </w:r>
    </w:p>
    <w:p w:rsidR="00A64113" w:rsidRDefault="009729D0">
      <w:pPr>
        <w:pStyle w:val="BodyText"/>
        <w:rPr>
          <w:lang w:eastAsia="zh-CN"/>
        </w:rPr>
      </w:pPr>
      <w:r>
        <w:rPr>
          <w:lang w:eastAsia="zh-CN"/>
        </w:rPr>
        <w:t>证监会指出，日发没有对其客户使用客户自设系统进行妥善尽职审查工作，或可导致其自身承受无</w:t>
      </w:r>
      <w:r>
        <w:rPr>
          <w:lang w:eastAsia="zh-CN"/>
        </w:rPr>
        <w:t>牌活动中的重大风险。</w:t>
      </w:r>
    </w:p>
    <w:p w:rsidR="00A64113" w:rsidRDefault="009729D0">
      <w:pPr>
        <w:pStyle w:val="BodyText"/>
        <w:rPr>
          <w:lang w:eastAsia="zh-CN"/>
        </w:rPr>
      </w:pPr>
      <w:r>
        <w:rPr>
          <w:lang w:eastAsia="zh-CN"/>
        </w:rPr>
        <w:t>没有对客户存款的资金调动进行充分的监察</w:t>
      </w:r>
    </w:p>
    <w:p w:rsidR="00A64113" w:rsidRDefault="009729D0">
      <w:pPr>
        <w:pStyle w:val="BodyText"/>
        <w:rPr>
          <w:lang w:eastAsia="zh-CN"/>
        </w:rPr>
      </w:pPr>
      <w:r>
        <w:rPr>
          <w:lang w:eastAsia="zh-CN"/>
        </w:rPr>
        <w:t>证监会的调查发现，有</w:t>
      </w:r>
      <w:r>
        <w:rPr>
          <w:lang w:eastAsia="zh-CN"/>
        </w:rPr>
        <w:t>5</w:t>
      </w:r>
      <w:r>
        <w:rPr>
          <w:lang w:eastAsia="zh-CN"/>
        </w:rPr>
        <w:t>名客户已将款项存入的其账户内，而该等款额与他们申报的收入及资产净值不相称。日发除了进行定期及特别复核客户资料以及对其客户的资金调动进行季度覆核之外，亦于数月后访问了</w:t>
      </w:r>
      <w:r>
        <w:rPr>
          <w:lang w:eastAsia="zh-CN"/>
        </w:rPr>
        <w:t>4</w:t>
      </w:r>
      <w:r>
        <w:rPr>
          <w:lang w:eastAsia="zh-CN"/>
        </w:rPr>
        <w:t>名客户查询存款的理由。该等客户解释道，该等资金调动是因为他们的投资、业务及所得租金令收入增加所致。日发接纳了该等客户的答复而没有进一步作出任何查问，亦无要求他们提供任何证明文件。</w:t>
      </w:r>
    </w:p>
    <w:p w:rsidR="00A64113" w:rsidRDefault="009729D0">
      <w:pPr>
        <w:pStyle w:val="BodyText"/>
        <w:rPr>
          <w:lang w:eastAsia="zh-CN"/>
        </w:rPr>
      </w:pPr>
      <w:r>
        <w:rPr>
          <w:lang w:eastAsia="zh-CN"/>
        </w:rPr>
        <w:t>所以，日发未能证明进行了足够的「认识你的客户」检查，适当地查问不相称的存款，进行了及时而有效的电话通话，以及没有设置明确的政策及程序。</w:t>
      </w:r>
    </w:p>
    <w:p w:rsidR="00A64113" w:rsidRDefault="009729D0">
      <w:pPr>
        <w:pStyle w:val="BodyText"/>
        <w:rPr>
          <w:lang w:eastAsia="zh-CN"/>
        </w:rPr>
      </w:pPr>
      <w:r>
        <w:rPr>
          <w:lang w:eastAsia="zh-CN"/>
        </w:rPr>
        <w:t>证监会有关日发违反证监会《操守准则》、《打击洗钱条例》及《网络保安指引》的调查结果</w:t>
      </w:r>
    </w:p>
    <w:p w:rsidR="00A64113" w:rsidRDefault="009729D0">
      <w:pPr>
        <w:pStyle w:val="BodyText"/>
        <w:rPr>
          <w:lang w:eastAsia="zh-CN"/>
        </w:rPr>
      </w:pPr>
      <w:r>
        <w:rPr>
          <w:lang w:eastAsia="zh-CN"/>
        </w:rPr>
        <w:t>日发的该等行为导致其违反了证监会《操守准则》第</w:t>
      </w:r>
      <w:r>
        <w:rPr>
          <w:lang w:eastAsia="zh-CN"/>
        </w:rPr>
        <w:t>2</w:t>
      </w:r>
      <w:r>
        <w:rPr>
          <w:lang w:eastAsia="zh-CN"/>
        </w:rPr>
        <w:t>项一般原则及第</w:t>
      </w:r>
      <w:r>
        <w:rPr>
          <w:lang w:eastAsia="zh-CN"/>
        </w:rPr>
        <w:t>3</w:t>
      </w:r>
      <w:r>
        <w:rPr>
          <w:lang w:eastAsia="zh-CN"/>
        </w:rPr>
        <w:t>项一般原则；第</w:t>
      </w:r>
      <w:r>
        <w:rPr>
          <w:lang w:eastAsia="zh-CN"/>
        </w:rPr>
        <w:t>4.3</w:t>
      </w:r>
      <w:r>
        <w:rPr>
          <w:lang w:eastAsia="zh-CN"/>
        </w:rPr>
        <w:t>段及第</w:t>
      </w:r>
      <w:r>
        <w:rPr>
          <w:lang w:eastAsia="zh-CN"/>
        </w:rPr>
        <w:t>5.1</w:t>
      </w:r>
      <w:r>
        <w:rPr>
          <w:lang w:eastAsia="zh-CN"/>
        </w:rPr>
        <w:t>段；《打击洗钱及恐怖分子资金筹集条例》（</w:t>
      </w:r>
      <w:r>
        <w:rPr>
          <w:lang w:eastAsia="zh-CN"/>
        </w:rPr>
        <w:t xml:space="preserve"> </w:t>
      </w:r>
      <w:r>
        <w:rPr>
          <w:b/>
          <w:lang w:eastAsia="zh-CN"/>
        </w:rPr>
        <w:t>《打击洗钱条例》</w:t>
      </w:r>
      <w:r>
        <w:rPr>
          <w:lang w:eastAsia="zh-CN"/>
        </w:rPr>
        <w:t>）附表</w:t>
      </w:r>
      <w:r>
        <w:rPr>
          <w:lang w:eastAsia="zh-CN"/>
        </w:rPr>
        <w:t>2</w:t>
      </w:r>
      <w:r>
        <w:rPr>
          <w:lang w:eastAsia="zh-CN"/>
        </w:rPr>
        <w:t>第</w:t>
      </w:r>
      <w:r>
        <w:rPr>
          <w:lang w:eastAsia="zh-CN"/>
        </w:rPr>
        <w:t>5(1)(a)</w:t>
      </w:r>
      <w:r>
        <w:rPr>
          <w:lang w:eastAsia="zh-CN"/>
        </w:rPr>
        <w:t>条、第</w:t>
      </w:r>
      <w:r>
        <w:rPr>
          <w:lang w:eastAsia="zh-CN"/>
        </w:rPr>
        <w:t>5(1)(b)</w:t>
      </w:r>
      <w:r>
        <w:rPr>
          <w:lang w:eastAsia="zh-CN"/>
        </w:rPr>
        <w:t>条及第</w:t>
      </w:r>
      <w:r>
        <w:rPr>
          <w:lang w:eastAsia="zh-CN"/>
        </w:rPr>
        <w:t>5(1)(c)</w:t>
      </w:r>
      <w:r>
        <w:rPr>
          <w:lang w:eastAsia="zh-CN"/>
        </w:rPr>
        <w:t>条；以及《降低及纾减与互联网交易相关的黑客入侵风险指引》（</w:t>
      </w:r>
      <w:r>
        <w:rPr>
          <w:b/>
          <w:lang w:eastAsia="zh-CN"/>
        </w:rPr>
        <w:t>《网络保安指引》</w:t>
      </w:r>
      <w:r>
        <w:rPr>
          <w:lang w:eastAsia="zh-CN"/>
        </w:rPr>
        <w:t>）第</w:t>
      </w:r>
      <w:r>
        <w:rPr>
          <w:lang w:eastAsia="zh-CN"/>
        </w:rPr>
        <w:t>1.1</w:t>
      </w:r>
      <w:r>
        <w:rPr>
          <w:lang w:eastAsia="zh-CN"/>
        </w:rPr>
        <w:t>段。因此，证监会认为日发犯有失当行为，依据《证券及期货条例》第</w:t>
      </w:r>
      <w:r>
        <w:rPr>
          <w:lang w:eastAsia="zh-CN"/>
        </w:rPr>
        <w:t>194</w:t>
      </w:r>
      <w:r>
        <w:rPr>
          <w:lang w:eastAsia="zh-CN"/>
        </w:rPr>
        <w:t>条对其处以罚款</w:t>
      </w:r>
      <w:r>
        <w:rPr>
          <w:lang w:eastAsia="zh-CN"/>
        </w:rPr>
        <w:t>900</w:t>
      </w:r>
      <w:r>
        <w:rPr>
          <w:lang w:eastAsia="zh-CN"/>
        </w:rPr>
        <w:t>万港元。</w:t>
      </w:r>
    </w:p>
    <w:p w:rsidR="00A64113" w:rsidRDefault="009729D0">
      <w:pPr>
        <w:pStyle w:val="BodyText"/>
        <w:rPr>
          <w:lang w:eastAsia="zh-CN"/>
        </w:rPr>
      </w:pPr>
      <w:r>
        <w:rPr>
          <w:lang w:eastAsia="zh-CN"/>
        </w:rPr>
        <w:t>金石同方资本管理有限公司因没有遵守香港财政资源规定而遭证监会谴责及罚款</w:t>
      </w:r>
    </w:p>
    <w:p w:rsidR="00A64113" w:rsidRDefault="009729D0">
      <w:pPr>
        <w:pStyle w:val="BodyText"/>
        <w:rPr>
          <w:lang w:eastAsia="zh-CN"/>
        </w:rPr>
      </w:pPr>
      <w:r>
        <w:rPr>
          <w:lang w:eastAsia="zh-CN"/>
        </w:rPr>
        <w:t>2022</w:t>
      </w:r>
      <w:r>
        <w:rPr>
          <w:lang w:eastAsia="zh-CN"/>
        </w:rPr>
        <w:t>年</w:t>
      </w:r>
      <w:r>
        <w:rPr>
          <w:lang w:eastAsia="zh-CN"/>
        </w:rPr>
        <w:t>7</w:t>
      </w:r>
      <w:r>
        <w:rPr>
          <w:lang w:eastAsia="zh-CN"/>
        </w:rPr>
        <w:t>月</w:t>
      </w:r>
      <w:r>
        <w:rPr>
          <w:lang w:eastAsia="zh-CN"/>
        </w:rPr>
        <w:t>28</w:t>
      </w:r>
      <w:r>
        <w:rPr>
          <w:lang w:eastAsia="zh-CN"/>
        </w:rPr>
        <w:t>日，证监会谴责金石同方资本管理有限公司（</w:t>
      </w:r>
      <w:r>
        <w:rPr>
          <w:b/>
          <w:lang w:eastAsia="zh-CN"/>
        </w:rPr>
        <w:t>金石同方</w:t>
      </w:r>
      <w:r>
        <w:rPr>
          <w:lang w:eastAsia="zh-CN"/>
        </w:rPr>
        <w:t>）并处以罚款</w:t>
      </w:r>
      <w:r>
        <w:rPr>
          <w:lang w:eastAsia="zh-CN"/>
        </w:rPr>
        <w:t>400,000</w:t>
      </w:r>
      <w:r>
        <w:rPr>
          <w:lang w:eastAsia="zh-CN"/>
        </w:rPr>
        <w:t>港元，理由是该公司在</w:t>
      </w:r>
      <w:r>
        <w:rPr>
          <w:lang w:eastAsia="zh-CN"/>
        </w:rPr>
        <w:t>2018</w:t>
      </w:r>
      <w:r>
        <w:rPr>
          <w:lang w:eastAsia="zh-CN"/>
        </w:rPr>
        <w:t>年</w:t>
      </w:r>
      <w:r>
        <w:rPr>
          <w:lang w:eastAsia="zh-CN"/>
        </w:rPr>
        <w:t>12</w:t>
      </w:r>
      <w:r>
        <w:rPr>
          <w:lang w:eastAsia="zh-CN"/>
        </w:rPr>
        <w:t>月</w:t>
      </w:r>
      <w:r>
        <w:rPr>
          <w:lang w:eastAsia="zh-CN"/>
        </w:rPr>
        <w:t>13</w:t>
      </w:r>
      <w:r>
        <w:rPr>
          <w:lang w:eastAsia="zh-CN"/>
        </w:rPr>
        <w:t>日至</w:t>
      </w:r>
      <w:r>
        <w:rPr>
          <w:lang w:eastAsia="zh-CN"/>
        </w:rPr>
        <w:t>18</w:t>
      </w:r>
      <w:r>
        <w:rPr>
          <w:lang w:eastAsia="zh-CN"/>
        </w:rPr>
        <w:t>日期间没有维持其约</w:t>
      </w:r>
      <w:r>
        <w:rPr>
          <w:lang w:eastAsia="zh-CN"/>
        </w:rPr>
        <w:t>280</w:t>
      </w:r>
      <w:r>
        <w:rPr>
          <w:lang w:eastAsia="zh-CN"/>
        </w:rPr>
        <w:t>万港元的规定速动资金，及当其察觉已无能力遵守相关财政资源规定时，没有通知证监会。证监会纪律行动声明载列于证监会网站</w:t>
      </w:r>
      <w:hyperlink r:id="rId18">
        <w:r>
          <w:rPr>
            <w:lang w:eastAsia="zh-CN"/>
          </w:rPr>
          <w:t>此处</w:t>
        </w:r>
      </w:hyperlink>
      <w:r>
        <w:rPr>
          <w:lang w:eastAsia="zh-CN"/>
        </w:rPr>
        <w:t>。</w:t>
      </w:r>
    </w:p>
    <w:p w:rsidR="00A64113" w:rsidRDefault="009729D0">
      <w:pPr>
        <w:pStyle w:val="BodyText"/>
        <w:rPr>
          <w:lang w:eastAsia="zh-CN"/>
        </w:rPr>
      </w:pPr>
      <w:r>
        <w:rPr>
          <w:lang w:eastAsia="zh-CN"/>
        </w:rPr>
        <w:t>没有维持其规定速动资金</w:t>
      </w:r>
    </w:p>
    <w:p w:rsidR="00A64113" w:rsidRDefault="009729D0">
      <w:pPr>
        <w:pStyle w:val="BodyText"/>
        <w:rPr>
          <w:lang w:eastAsia="zh-CN"/>
        </w:rPr>
      </w:pPr>
      <w:r>
        <w:rPr>
          <w:lang w:eastAsia="zh-CN"/>
        </w:rPr>
        <w:t>2018</w:t>
      </w:r>
      <w:r>
        <w:rPr>
          <w:lang w:eastAsia="zh-CN"/>
        </w:rPr>
        <w:t>年</w:t>
      </w:r>
      <w:r>
        <w:rPr>
          <w:lang w:eastAsia="zh-CN"/>
        </w:rPr>
        <w:t>12</w:t>
      </w:r>
      <w:r>
        <w:rPr>
          <w:lang w:eastAsia="zh-CN"/>
        </w:rPr>
        <w:t>月</w:t>
      </w:r>
      <w:r>
        <w:rPr>
          <w:lang w:eastAsia="zh-CN"/>
        </w:rPr>
        <w:t>13</w:t>
      </w:r>
      <w:r>
        <w:rPr>
          <w:lang w:eastAsia="zh-CN"/>
        </w:rPr>
        <w:t>日，金石同方于复星旅游文化集团在香港交易所主板进行首次公开招股时，认购后者的股份。金石同方的认购资金来自一笔贷款，而该次认购导致速动资金短欠。在该次认购完成后，金石同方就该等股份及该项贷款订立一份转让协议，并改签该协议的签立日期，企图以回溯方式防止出现速动资金短欠。</w:t>
      </w:r>
    </w:p>
    <w:p w:rsidR="00A64113" w:rsidRDefault="009729D0">
      <w:pPr>
        <w:pStyle w:val="BodyText"/>
        <w:rPr>
          <w:lang w:eastAsia="zh-CN"/>
        </w:rPr>
      </w:pPr>
      <w:r>
        <w:rPr>
          <w:lang w:eastAsia="zh-CN"/>
        </w:rPr>
        <w:t>《证券及期货（财政资源）规</w:t>
      </w:r>
      <w:r>
        <w:rPr>
          <w:lang w:eastAsia="zh-CN"/>
        </w:rPr>
        <w:t>则》（</w:t>
      </w:r>
      <w:r>
        <w:rPr>
          <w:b/>
          <w:lang w:eastAsia="zh-CN"/>
        </w:rPr>
        <w:t>《财政资源规则》</w:t>
      </w:r>
      <w:r>
        <w:rPr>
          <w:lang w:eastAsia="zh-CN"/>
        </w:rPr>
        <w:t>）第</w:t>
      </w:r>
      <w:r>
        <w:rPr>
          <w:lang w:eastAsia="zh-CN"/>
        </w:rPr>
        <w:t>4</w:t>
      </w:r>
      <w:r>
        <w:rPr>
          <w:lang w:eastAsia="zh-CN"/>
        </w:rPr>
        <w:t>条订明，持牌法团须时刻维持《财政资源规则》第</w:t>
      </w:r>
      <w:r>
        <w:rPr>
          <w:lang w:eastAsia="zh-CN"/>
        </w:rPr>
        <w:t>4</w:t>
      </w:r>
      <w:r>
        <w:rPr>
          <w:lang w:eastAsia="zh-CN"/>
        </w:rPr>
        <w:t>条规定它维持的数额的财政资源。金石同方作为获发牌进行</w:t>
      </w:r>
      <w:r>
        <w:rPr>
          <w:lang w:eastAsia="zh-CN"/>
        </w:rPr>
        <w:t>2</w:t>
      </w:r>
      <w:r>
        <w:rPr>
          <w:lang w:eastAsia="zh-CN"/>
        </w:rPr>
        <w:t>类受规管活动的持牌法团须时刻维持不低于</w:t>
      </w:r>
      <w:r>
        <w:rPr>
          <w:lang w:eastAsia="zh-CN"/>
        </w:rPr>
        <w:t>500</w:t>
      </w:r>
      <w:r>
        <w:rPr>
          <w:lang w:eastAsia="zh-CN"/>
        </w:rPr>
        <w:t>万港元的缴足款股本。</w:t>
      </w:r>
      <w:hyperlink w:anchor="footnote-598-5">
        <w:r>
          <w:rPr>
            <w:vertAlign w:val="superscript"/>
            <w:lang w:eastAsia="zh-CN"/>
          </w:rPr>
          <w:t>5</w:t>
        </w:r>
      </w:hyperlink>
    </w:p>
    <w:p w:rsidR="00A64113" w:rsidRDefault="009729D0">
      <w:pPr>
        <w:pStyle w:val="BodyText"/>
        <w:rPr>
          <w:lang w:eastAsia="zh-CN"/>
        </w:rPr>
      </w:pPr>
      <w:r>
        <w:rPr>
          <w:lang w:eastAsia="zh-CN"/>
        </w:rPr>
        <w:t>《财政资源规则》第</w:t>
      </w:r>
      <w:r>
        <w:rPr>
          <w:lang w:eastAsia="zh-CN"/>
        </w:rPr>
        <w:t>6</w:t>
      </w:r>
      <w:r>
        <w:rPr>
          <w:lang w:eastAsia="zh-CN"/>
        </w:rPr>
        <w:t>条订明，持牌法团须时刻维持不少于该法团的规定速动资金的速动资金（即就金石同方而言，其规定速动资金为约</w:t>
      </w:r>
      <w:r>
        <w:rPr>
          <w:lang w:eastAsia="zh-CN"/>
        </w:rPr>
        <w:t>280</w:t>
      </w:r>
      <w:r>
        <w:rPr>
          <w:lang w:eastAsia="zh-CN"/>
        </w:rPr>
        <w:t>万港元）。</w:t>
      </w:r>
    </w:p>
    <w:p w:rsidR="00A64113" w:rsidRDefault="009729D0">
      <w:pPr>
        <w:pStyle w:val="BodyText"/>
        <w:rPr>
          <w:lang w:eastAsia="zh-CN"/>
        </w:rPr>
      </w:pPr>
      <w:r>
        <w:rPr>
          <w:lang w:eastAsia="zh-CN"/>
        </w:rPr>
        <w:t>《财政资源规则》第</w:t>
      </w:r>
      <w:r>
        <w:rPr>
          <w:lang w:eastAsia="zh-CN"/>
        </w:rPr>
        <w:t>27(1)(a)</w:t>
      </w:r>
      <w:r>
        <w:rPr>
          <w:lang w:eastAsia="zh-CN"/>
        </w:rPr>
        <w:t>条（持牌法团的自营交易持仓）订明，持牌法团须将它实益拥有的上市股份的市</w:t>
      </w:r>
      <w:r>
        <w:rPr>
          <w:lang w:eastAsia="zh-CN"/>
        </w:rPr>
        <w:t>值减去该等证券的扣减数额后所得的数额，列入该法团的速动资产内。在金石同方</w:t>
      </w:r>
      <w:r>
        <w:rPr>
          <w:lang w:eastAsia="zh-CN"/>
        </w:rPr>
        <w:lastRenderedPageBreak/>
        <w:t>个案中，当计算金石同方的速动资产时，根据《财政资源规则》附表</w:t>
      </w:r>
      <w:r>
        <w:rPr>
          <w:lang w:eastAsia="zh-CN"/>
        </w:rPr>
        <w:t>2</w:t>
      </w:r>
      <w:r>
        <w:rPr>
          <w:lang w:eastAsia="zh-CN"/>
        </w:rPr>
        <w:t>表</w:t>
      </w:r>
      <w:r>
        <w:rPr>
          <w:lang w:eastAsia="zh-CN"/>
        </w:rPr>
        <w:t>1</w:t>
      </w:r>
      <w:r>
        <w:rPr>
          <w:lang w:eastAsia="zh-CN"/>
        </w:rPr>
        <w:t>第</w:t>
      </w:r>
      <w:r>
        <w:rPr>
          <w:lang w:eastAsia="zh-CN"/>
        </w:rPr>
        <w:t>(1)(c)</w:t>
      </w:r>
      <w:r>
        <w:rPr>
          <w:lang w:eastAsia="zh-CN"/>
        </w:rPr>
        <w:t>项，适用于该等股份的扣减百分率为</w:t>
      </w:r>
      <w:r>
        <w:rPr>
          <w:lang w:eastAsia="zh-CN"/>
        </w:rPr>
        <w:t xml:space="preserve"> 30%</w:t>
      </w:r>
      <w:r>
        <w:rPr>
          <w:lang w:eastAsia="zh-CN"/>
        </w:rPr>
        <w:t>。</w:t>
      </w:r>
    </w:p>
    <w:p w:rsidR="00A64113" w:rsidRDefault="009729D0">
      <w:pPr>
        <w:pStyle w:val="BodyText"/>
        <w:rPr>
          <w:lang w:eastAsia="zh-CN"/>
        </w:rPr>
      </w:pPr>
      <w:r>
        <w:rPr>
          <w:lang w:eastAsia="zh-CN"/>
        </w:rPr>
        <w:t>《财政资源规则》第</w:t>
      </w:r>
      <w:r>
        <w:rPr>
          <w:lang w:eastAsia="zh-CN"/>
        </w:rPr>
        <w:t>44(1)(a)</w:t>
      </w:r>
      <w:r>
        <w:rPr>
          <w:lang w:eastAsia="zh-CN"/>
        </w:rPr>
        <w:t>及</w:t>
      </w:r>
      <w:r>
        <w:rPr>
          <w:lang w:eastAsia="zh-CN"/>
        </w:rPr>
        <w:t>(g)</w:t>
      </w:r>
      <w:r>
        <w:rPr>
          <w:lang w:eastAsia="zh-CN"/>
        </w:rPr>
        <w:t>条（集中自营交易持仓）订明，持牌法团如为它本身持有上市股份，而该等证券中名称相同的证券的净市值相等于或多于该法团的规定速动资金的</w:t>
      </w:r>
      <w:r>
        <w:rPr>
          <w:lang w:eastAsia="zh-CN"/>
        </w:rPr>
        <w:t>25%</w:t>
      </w:r>
      <w:r>
        <w:rPr>
          <w:lang w:eastAsia="zh-CN"/>
        </w:rPr>
        <w:t>，则如该净市值相等于或多于该法团的规定速动资金的</w:t>
      </w:r>
      <w:r>
        <w:rPr>
          <w:lang w:eastAsia="zh-CN"/>
        </w:rPr>
        <w:t>51%</w:t>
      </w:r>
      <w:r>
        <w:rPr>
          <w:lang w:eastAsia="zh-CN"/>
        </w:rPr>
        <w:t>，该法团须将该净市值的</w:t>
      </w:r>
      <w:r>
        <w:rPr>
          <w:lang w:eastAsia="zh-CN"/>
        </w:rPr>
        <w:t>10%</w:t>
      </w:r>
      <w:r>
        <w:rPr>
          <w:lang w:eastAsia="zh-CN"/>
        </w:rPr>
        <w:t>，列入其认可负债内。在金石同方个案中，金石同方须将</w:t>
      </w:r>
      <w:r>
        <w:rPr>
          <w:lang w:eastAsia="zh-CN"/>
        </w:rPr>
        <w:t>504</w:t>
      </w:r>
      <w:r>
        <w:rPr>
          <w:lang w:eastAsia="zh-CN"/>
        </w:rPr>
        <w:t>万</w:t>
      </w:r>
      <w:r>
        <w:rPr>
          <w:lang w:eastAsia="zh-CN"/>
        </w:rPr>
        <w:t>港元（即该等股份的净市值的</w:t>
      </w:r>
      <w:r>
        <w:rPr>
          <w:lang w:eastAsia="zh-CN"/>
        </w:rPr>
        <w:t>10%</w:t>
      </w:r>
      <w:r>
        <w:rPr>
          <w:lang w:eastAsia="zh-CN"/>
        </w:rPr>
        <w:t>）列入其认可负债内。</w:t>
      </w:r>
    </w:p>
    <w:p w:rsidR="00A64113" w:rsidRDefault="009729D0">
      <w:pPr>
        <w:pStyle w:val="BodyText"/>
        <w:rPr>
          <w:lang w:eastAsia="zh-CN"/>
        </w:rPr>
      </w:pPr>
      <w:r>
        <w:rPr>
          <w:lang w:eastAsia="zh-CN"/>
        </w:rPr>
        <w:t>金石同方因疏忽而没有预计《财政资源规则》下的总额。证监会计算金石同方的速动资金状况，结果显示在</w:t>
      </w:r>
      <w:r>
        <w:rPr>
          <w:lang w:eastAsia="zh-CN"/>
        </w:rPr>
        <w:t>2018</w:t>
      </w:r>
      <w:r>
        <w:rPr>
          <w:lang w:eastAsia="zh-CN"/>
        </w:rPr>
        <w:t>年</w:t>
      </w:r>
      <w:r>
        <w:rPr>
          <w:lang w:eastAsia="zh-CN"/>
        </w:rPr>
        <w:t>12</w:t>
      </w:r>
      <w:r>
        <w:rPr>
          <w:lang w:eastAsia="zh-CN"/>
        </w:rPr>
        <w:t>月</w:t>
      </w:r>
      <w:r>
        <w:rPr>
          <w:lang w:eastAsia="zh-CN"/>
        </w:rPr>
        <w:t>13</w:t>
      </w:r>
      <w:r>
        <w:rPr>
          <w:lang w:eastAsia="zh-CN"/>
        </w:rPr>
        <w:t>日至</w:t>
      </w:r>
      <w:r>
        <w:rPr>
          <w:lang w:eastAsia="zh-CN"/>
        </w:rPr>
        <w:t>18</w:t>
      </w:r>
      <w:r>
        <w:rPr>
          <w:lang w:eastAsia="zh-CN"/>
        </w:rPr>
        <w:t>日期间，金石同方的速动资金短欠金额接近</w:t>
      </w:r>
      <w:r>
        <w:rPr>
          <w:lang w:eastAsia="zh-CN"/>
        </w:rPr>
        <w:t xml:space="preserve"> 2,000</w:t>
      </w:r>
      <w:r>
        <w:rPr>
          <w:lang w:eastAsia="zh-CN"/>
        </w:rPr>
        <w:t>万港元。</w:t>
      </w:r>
    </w:p>
    <w:p w:rsidR="00A64113" w:rsidRDefault="009729D0">
      <w:pPr>
        <w:pStyle w:val="BodyText"/>
        <w:rPr>
          <w:lang w:eastAsia="zh-CN"/>
        </w:rPr>
      </w:pPr>
      <w:r>
        <w:rPr>
          <w:lang w:eastAsia="zh-CN"/>
        </w:rPr>
        <w:t>没有遵守通知规定并向证监会作出失实陈述</w:t>
      </w:r>
    </w:p>
    <w:p w:rsidR="00A64113" w:rsidRDefault="009729D0">
      <w:pPr>
        <w:pStyle w:val="BodyText"/>
        <w:rPr>
          <w:lang w:eastAsia="zh-CN"/>
        </w:rPr>
      </w:pPr>
      <w:r>
        <w:rPr>
          <w:lang w:eastAsia="zh-CN"/>
        </w:rPr>
        <w:t>金石同方于</w:t>
      </w:r>
      <w:r>
        <w:rPr>
          <w:lang w:eastAsia="zh-CN"/>
        </w:rPr>
        <w:t>2018</w:t>
      </w:r>
      <w:r>
        <w:rPr>
          <w:lang w:eastAsia="zh-CN"/>
        </w:rPr>
        <w:t>年</w:t>
      </w:r>
      <w:r>
        <w:rPr>
          <w:lang w:eastAsia="zh-CN"/>
        </w:rPr>
        <w:t>12</w:t>
      </w:r>
      <w:r>
        <w:rPr>
          <w:lang w:eastAsia="zh-CN"/>
        </w:rPr>
        <w:t>月</w:t>
      </w:r>
      <w:r>
        <w:rPr>
          <w:lang w:eastAsia="zh-CN"/>
        </w:rPr>
        <w:t>17</w:t>
      </w:r>
      <w:r>
        <w:rPr>
          <w:lang w:eastAsia="zh-CN"/>
        </w:rPr>
        <w:t>日察觉其速动资金跌至低于其规定速动资金的</w:t>
      </w:r>
      <w:r>
        <w:rPr>
          <w:lang w:eastAsia="zh-CN"/>
        </w:rPr>
        <w:t xml:space="preserve"> 120%</w:t>
      </w:r>
      <w:r>
        <w:rPr>
          <w:lang w:eastAsia="zh-CN"/>
        </w:rPr>
        <w:t>（</w:t>
      </w:r>
      <w:r>
        <w:rPr>
          <w:lang w:eastAsia="zh-CN"/>
        </w:rPr>
        <w:t>336</w:t>
      </w:r>
      <w:r>
        <w:rPr>
          <w:lang w:eastAsia="zh-CN"/>
        </w:rPr>
        <w:t>万港元）后，没有在合理地切实可行的范围内尽快通知证监会。证监会于</w:t>
      </w:r>
      <w:r>
        <w:rPr>
          <w:lang w:eastAsia="zh-CN"/>
        </w:rPr>
        <w:t>4</w:t>
      </w:r>
      <w:r>
        <w:rPr>
          <w:lang w:eastAsia="zh-CN"/>
        </w:rPr>
        <w:t>个月之后的</w:t>
      </w:r>
      <w:r>
        <w:rPr>
          <w:lang w:eastAsia="zh-CN"/>
        </w:rPr>
        <w:t>2019</w:t>
      </w:r>
      <w:r>
        <w:rPr>
          <w:lang w:eastAsia="zh-CN"/>
        </w:rPr>
        <w:t>年</w:t>
      </w:r>
      <w:r>
        <w:rPr>
          <w:lang w:eastAsia="zh-CN"/>
        </w:rPr>
        <w:t>4</w:t>
      </w:r>
      <w:r>
        <w:rPr>
          <w:lang w:eastAsia="zh-CN"/>
        </w:rPr>
        <w:t>月</w:t>
      </w:r>
      <w:r>
        <w:rPr>
          <w:lang w:eastAsia="zh-CN"/>
        </w:rPr>
        <w:t>26</w:t>
      </w:r>
      <w:r>
        <w:rPr>
          <w:lang w:eastAsia="zh-CN"/>
        </w:rPr>
        <w:t>日方获金石同方的核数师通知。而且，当证监会查问金石同方</w:t>
      </w:r>
      <w:r>
        <w:rPr>
          <w:lang w:eastAsia="zh-CN"/>
        </w:rPr>
        <w:t>在</w:t>
      </w:r>
      <w:r>
        <w:rPr>
          <w:lang w:eastAsia="zh-CN"/>
        </w:rPr>
        <w:t>2018</w:t>
      </w:r>
      <w:r>
        <w:rPr>
          <w:lang w:eastAsia="zh-CN"/>
        </w:rPr>
        <w:t>年</w:t>
      </w:r>
      <w:r>
        <w:rPr>
          <w:lang w:eastAsia="zh-CN"/>
        </w:rPr>
        <w:t>12</w:t>
      </w:r>
      <w:r>
        <w:rPr>
          <w:lang w:eastAsia="zh-CN"/>
        </w:rPr>
        <w:t>月</w:t>
      </w:r>
      <w:r>
        <w:rPr>
          <w:lang w:eastAsia="zh-CN"/>
        </w:rPr>
        <w:t>13</w:t>
      </w:r>
      <w:r>
        <w:rPr>
          <w:lang w:eastAsia="zh-CN"/>
        </w:rPr>
        <w:t>日至</w:t>
      </w:r>
      <w:r>
        <w:rPr>
          <w:lang w:eastAsia="zh-CN"/>
        </w:rPr>
        <w:t>18</w:t>
      </w:r>
      <w:r>
        <w:rPr>
          <w:lang w:eastAsia="zh-CN"/>
        </w:rPr>
        <w:t>日期间的速动资金计算详情时，金石同方作出失实陈述，指其实际上在该期间内维持了充足的速动资金。金石同方其后厘清指该贷款的转让协议的签立日期被改签，但是未能提供解释以支持改签该转让协议的签立日期属合理做法。</w:t>
      </w:r>
    </w:p>
    <w:p w:rsidR="00A64113" w:rsidRDefault="009729D0">
      <w:pPr>
        <w:pStyle w:val="BodyText"/>
        <w:rPr>
          <w:lang w:eastAsia="zh-CN"/>
        </w:rPr>
      </w:pPr>
      <w:r>
        <w:rPr>
          <w:lang w:eastAsia="zh-CN"/>
        </w:rPr>
        <w:t>证监会认为金石同方没有遵守香港财政资源规定</w:t>
      </w:r>
    </w:p>
    <w:p w:rsidR="00A64113" w:rsidRDefault="009729D0">
      <w:pPr>
        <w:pStyle w:val="BodyText"/>
        <w:rPr>
          <w:lang w:eastAsia="zh-CN"/>
        </w:rPr>
      </w:pPr>
      <w:r>
        <w:rPr>
          <w:lang w:eastAsia="zh-CN"/>
        </w:rPr>
        <w:t>因此，证监会认为金石同方违反了《财政资源规则》第</w:t>
      </w:r>
      <w:r>
        <w:rPr>
          <w:lang w:eastAsia="zh-CN"/>
        </w:rPr>
        <w:t xml:space="preserve"> 55(1)(a)</w:t>
      </w:r>
      <w:r>
        <w:rPr>
          <w:lang w:eastAsia="zh-CN"/>
        </w:rPr>
        <w:t>条及《证券及期货条例》第</w:t>
      </w:r>
      <w:r>
        <w:rPr>
          <w:lang w:eastAsia="zh-CN"/>
        </w:rPr>
        <w:t>146(1)</w:t>
      </w:r>
      <w:r>
        <w:rPr>
          <w:lang w:eastAsia="zh-CN"/>
        </w:rPr>
        <w:t>条的规定。金石同方没有遵守《财政资源规则》的相关规定一事，表示其亦没有遵守证监会《操守准则》第</w:t>
      </w:r>
      <w:r>
        <w:rPr>
          <w:lang w:eastAsia="zh-CN"/>
        </w:rPr>
        <w:t>7</w:t>
      </w:r>
      <w:r>
        <w:rPr>
          <w:lang w:eastAsia="zh-CN"/>
        </w:rPr>
        <w:t>项一般原则及第</w:t>
      </w:r>
      <w:r>
        <w:rPr>
          <w:lang w:eastAsia="zh-CN"/>
        </w:rPr>
        <w:t>12.1</w:t>
      </w:r>
      <w:r>
        <w:rPr>
          <w:lang w:eastAsia="zh-CN"/>
        </w:rPr>
        <w:t>段的规定。结果</w:t>
      </w:r>
      <w:r>
        <w:rPr>
          <w:lang w:eastAsia="zh-CN"/>
        </w:rPr>
        <w:t>，证监会依据《证券及期货条例》第</w:t>
      </w:r>
      <w:r>
        <w:rPr>
          <w:lang w:eastAsia="zh-CN"/>
        </w:rPr>
        <w:t>194</w:t>
      </w:r>
      <w:r>
        <w:rPr>
          <w:lang w:eastAsia="zh-CN"/>
        </w:rPr>
        <w:t>条，公开谴责金石同方并对其处以罚款</w:t>
      </w:r>
      <w:r>
        <w:rPr>
          <w:lang w:eastAsia="zh-CN"/>
        </w:rPr>
        <w:t>400,000</w:t>
      </w:r>
      <w:r>
        <w:rPr>
          <w:lang w:eastAsia="zh-CN"/>
        </w:rPr>
        <w:t>港元。</w:t>
      </w:r>
    </w:p>
    <w:p w:rsidR="00A64113" w:rsidRDefault="009729D0">
      <w:pPr>
        <w:pStyle w:val="BodyText"/>
        <w:rPr>
          <w:lang w:eastAsia="zh-CN"/>
        </w:rPr>
      </w:pPr>
      <w:r>
        <w:rPr>
          <w:lang w:eastAsia="zh-CN"/>
        </w:rPr>
        <w:t>陈嘉熹被禁止重投业界</w:t>
      </w:r>
      <w:r>
        <w:rPr>
          <w:lang w:eastAsia="zh-CN"/>
        </w:rPr>
        <w:t>6</w:t>
      </w:r>
      <w:r>
        <w:rPr>
          <w:lang w:eastAsia="zh-CN"/>
        </w:rPr>
        <w:t>个月</w:t>
      </w:r>
    </w:p>
    <w:p w:rsidR="00A64113" w:rsidRDefault="009729D0">
      <w:pPr>
        <w:pStyle w:val="BodyText"/>
        <w:rPr>
          <w:lang w:eastAsia="zh-CN"/>
        </w:rPr>
      </w:pPr>
      <w:r>
        <w:rPr>
          <w:lang w:eastAsia="zh-CN"/>
        </w:rPr>
        <w:t>2022</w:t>
      </w:r>
      <w:r>
        <w:rPr>
          <w:lang w:eastAsia="zh-CN"/>
        </w:rPr>
        <w:t>年</w:t>
      </w:r>
      <w:r>
        <w:rPr>
          <w:lang w:eastAsia="zh-CN"/>
        </w:rPr>
        <w:t>7</w:t>
      </w:r>
      <w:r>
        <w:rPr>
          <w:lang w:eastAsia="zh-CN"/>
        </w:rPr>
        <w:t>月</w:t>
      </w:r>
      <w:r>
        <w:rPr>
          <w:lang w:eastAsia="zh-CN"/>
        </w:rPr>
        <w:t>28</w:t>
      </w:r>
      <w:r>
        <w:rPr>
          <w:lang w:eastAsia="zh-CN"/>
        </w:rPr>
        <w:t>日，证监会禁止渣打银行（香港）有限公司（</w:t>
      </w:r>
      <w:r>
        <w:rPr>
          <w:b/>
          <w:lang w:eastAsia="zh-CN"/>
        </w:rPr>
        <w:t>渣打银行</w:t>
      </w:r>
      <w:r>
        <w:rPr>
          <w:lang w:eastAsia="zh-CN"/>
        </w:rPr>
        <w:t>）前雇员陈嘉熹（男）重投业界</w:t>
      </w:r>
      <w:r>
        <w:rPr>
          <w:lang w:eastAsia="zh-CN"/>
        </w:rPr>
        <w:t>6</w:t>
      </w:r>
      <w:r>
        <w:rPr>
          <w:lang w:eastAsia="zh-CN"/>
        </w:rPr>
        <w:t>个月，由</w:t>
      </w:r>
      <w:r>
        <w:rPr>
          <w:lang w:eastAsia="zh-CN"/>
        </w:rPr>
        <w:t>2022</w:t>
      </w:r>
      <w:r>
        <w:rPr>
          <w:lang w:eastAsia="zh-CN"/>
        </w:rPr>
        <w:t>年</w:t>
      </w:r>
      <w:r>
        <w:rPr>
          <w:lang w:eastAsia="zh-CN"/>
        </w:rPr>
        <w:t>7</w:t>
      </w:r>
      <w:r>
        <w:rPr>
          <w:lang w:eastAsia="zh-CN"/>
        </w:rPr>
        <w:t>月</w:t>
      </w:r>
      <w:r>
        <w:rPr>
          <w:lang w:eastAsia="zh-CN"/>
        </w:rPr>
        <w:t>28</w:t>
      </w:r>
      <w:r>
        <w:rPr>
          <w:lang w:eastAsia="zh-CN"/>
        </w:rPr>
        <w:t>日起至</w:t>
      </w:r>
      <w:r>
        <w:rPr>
          <w:lang w:eastAsia="zh-CN"/>
        </w:rPr>
        <w:t>2023</w:t>
      </w:r>
      <w:r>
        <w:rPr>
          <w:lang w:eastAsia="zh-CN"/>
        </w:rPr>
        <w:t>年</w:t>
      </w:r>
      <w:r>
        <w:rPr>
          <w:lang w:eastAsia="zh-CN"/>
        </w:rPr>
        <w:t>1</w:t>
      </w:r>
      <w:r>
        <w:rPr>
          <w:lang w:eastAsia="zh-CN"/>
        </w:rPr>
        <w:t>月</w:t>
      </w:r>
      <w:r>
        <w:rPr>
          <w:lang w:eastAsia="zh-CN"/>
        </w:rPr>
        <w:t>27</w:t>
      </w:r>
      <w:r>
        <w:rPr>
          <w:lang w:eastAsia="zh-CN"/>
        </w:rPr>
        <w:t>日止。金管局发现陈曾将一名客户的签名剪贴在一份表格上，藉以欺骗渣打银行及保险公司，令它们误信该表格已获客户签署。证监会纪律行动声明载列于证监会网站</w:t>
      </w:r>
      <w:hyperlink r:id="rId19">
        <w:r>
          <w:rPr>
            <w:lang w:eastAsia="zh-CN"/>
          </w:rPr>
          <w:t>此处</w:t>
        </w:r>
      </w:hyperlink>
      <w:r>
        <w:rPr>
          <w:lang w:eastAsia="zh-CN"/>
        </w:rPr>
        <w:t>。</w:t>
      </w:r>
    </w:p>
    <w:p w:rsidR="00A64113" w:rsidRDefault="009729D0">
      <w:pPr>
        <w:pStyle w:val="BodyText"/>
        <w:rPr>
          <w:lang w:eastAsia="zh-CN"/>
        </w:rPr>
      </w:pPr>
      <w:r>
        <w:rPr>
          <w:lang w:eastAsia="zh-CN"/>
        </w:rPr>
        <w:t>剪贴客户签名</w:t>
      </w:r>
    </w:p>
    <w:p w:rsidR="00A64113" w:rsidRDefault="009729D0">
      <w:pPr>
        <w:pStyle w:val="BodyText"/>
        <w:rPr>
          <w:lang w:eastAsia="zh-CN"/>
        </w:rPr>
      </w:pPr>
      <w:r>
        <w:rPr>
          <w:lang w:eastAsia="zh-CN"/>
        </w:rPr>
        <w:t>当时，陈受聘于渣打银行的零售销售部任职保险策划专家（财富策划经理）。该居于海外的客户希望为她的保单设立直接付款授权。陈于是寄了一份「更改缴费方式及直接付款授权书</w:t>
      </w:r>
      <w:r>
        <w:rPr>
          <w:lang w:eastAsia="zh-CN"/>
        </w:rPr>
        <w:t xml:space="preserve"> ── </w:t>
      </w:r>
      <w:r>
        <w:rPr>
          <w:lang w:eastAsia="zh-CN"/>
        </w:rPr>
        <w:t>银行户口」表格（</w:t>
      </w:r>
      <w:r>
        <w:rPr>
          <w:b/>
          <w:lang w:eastAsia="zh-CN"/>
        </w:rPr>
        <w:t>直接付款授权表格</w:t>
      </w:r>
      <w:r>
        <w:rPr>
          <w:lang w:eastAsia="zh-CN"/>
        </w:rPr>
        <w:t>）给该客户以签署有关授权。</w:t>
      </w:r>
    </w:p>
    <w:p w:rsidR="00A64113" w:rsidRDefault="009729D0">
      <w:pPr>
        <w:pStyle w:val="BodyText"/>
        <w:rPr>
          <w:lang w:eastAsia="zh-CN"/>
        </w:rPr>
      </w:pPr>
      <w:r>
        <w:rPr>
          <w:lang w:eastAsia="zh-CN"/>
        </w:rPr>
        <w:t>起初，该文件第</w:t>
      </w:r>
      <w:r>
        <w:rPr>
          <w:lang w:eastAsia="zh-CN"/>
        </w:rPr>
        <w:t>2</w:t>
      </w:r>
      <w:r>
        <w:rPr>
          <w:lang w:eastAsia="zh-CN"/>
        </w:rPr>
        <w:t>及第</w:t>
      </w:r>
      <w:r>
        <w:rPr>
          <w:lang w:eastAsia="zh-CN"/>
        </w:rPr>
        <w:t>4</w:t>
      </w:r>
      <w:r>
        <w:rPr>
          <w:lang w:eastAsia="zh-CN"/>
        </w:rPr>
        <w:t>页上本应签署，但该名客户只签署了第</w:t>
      </w:r>
      <w:r>
        <w:rPr>
          <w:lang w:eastAsia="zh-CN"/>
        </w:rPr>
        <w:t xml:space="preserve"> 4 </w:t>
      </w:r>
      <w:r>
        <w:rPr>
          <w:lang w:eastAsia="zh-CN"/>
        </w:rPr>
        <w:t>页。为了替该客户设立直接付款授权，陈将原本在表格第</w:t>
      </w:r>
      <w:r>
        <w:rPr>
          <w:lang w:eastAsia="zh-CN"/>
        </w:rPr>
        <w:t>4</w:t>
      </w:r>
      <w:r>
        <w:rPr>
          <w:lang w:eastAsia="zh-CN"/>
        </w:rPr>
        <w:t>页上的客户签名剪下来，并将</w:t>
      </w:r>
      <w:r>
        <w:rPr>
          <w:lang w:eastAsia="zh-CN"/>
        </w:rPr>
        <w:t>其贴在一张空白的直接付款授权表格第</w:t>
      </w:r>
      <w:r>
        <w:rPr>
          <w:lang w:eastAsia="zh-CN"/>
        </w:rPr>
        <w:t>2</w:t>
      </w:r>
      <w:r>
        <w:rPr>
          <w:lang w:eastAsia="zh-CN"/>
        </w:rPr>
        <w:t>页上，并将其复印。然后他再以人手填上各项详细资料及将剪切的签名换到该直接付款授权表格</w:t>
      </w:r>
      <w:r>
        <w:rPr>
          <w:lang w:eastAsia="zh-CN"/>
        </w:rPr>
        <w:t xml:space="preserve"> 4</w:t>
      </w:r>
      <w:r>
        <w:rPr>
          <w:lang w:eastAsia="zh-CN"/>
        </w:rPr>
        <w:t>页上，并将其复印和填上日期。之后，他将原本的直接付款授权表格的第</w:t>
      </w:r>
      <w:r>
        <w:rPr>
          <w:lang w:eastAsia="zh-CN"/>
        </w:rPr>
        <w:t>1</w:t>
      </w:r>
      <w:r>
        <w:rPr>
          <w:lang w:eastAsia="zh-CN"/>
        </w:rPr>
        <w:t>及第</w:t>
      </w:r>
      <w:r>
        <w:rPr>
          <w:lang w:eastAsia="zh-CN"/>
        </w:rPr>
        <w:t>3</w:t>
      </w:r>
      <w:r>
        <w:rPr>
          <w:lang w:eastAsia="zh-CN"/>
        </w:rPr>
        <w:t>页，与合成的第</w:t>
      </w:r>
      <w:r>
        <w:rPr>
          <w:lang w:eastAsia="zh-CN"/>
        </w:rPr>
        <w:t>2</w:t>
      </w:r>
      <w:r>
        <w:rPr>
          <w:lang w:eastAsia="zh-CN"/>
        </w:rPr>
        <w:t>页及合成的第</w:t>
      </w:r>
      <w:r>
        <w:rPr>
          <w:lang w:eastAsia="zh-CN"/>
        </w:rPr>
        <w:t>4</w:t>
      </w:r>
      <w:r>
        <w:rPr>
          <w:lang w:eastAsia="zh-CN"/>
        </w:rPr>
        <w:t>页合并，从而使其看似是一套完整并经客户签署的直接付款授权表格。陈向金管局确认，该客户既不知悉他将客户自己的签名剪贴在合成表格上，亦没有授权他这样做。</w:t>
      </w:r>
    </w:p>
    <w:p w:rsidR="00A64113" w:rsidRDefault="009729D0">
      <w:pPr>
        <w:pStyle w:val="BodyText"/>
        <w:rPr>
          <w:lang w:eastAsia="zh-CN"/>
        </w:rPr>
      </w:pPr>
      <w:r>
        <w:rPr>
          <w:lang w:eastAsia="zh-CN"/>
        </w:rPr>
        <w:t>渣打银行一名职员发现该合成表格第</w:t>
      </w:r>
      <w:r>
        <w:rPr>
          <w:lang w:eastAsia="zh-CN"/>
        </w:rPr>
        <w:t>2</w:t>
      </w:r>
      <w:r>
        <w:rPr>
          <w:lang w:eastAsia="zh-CN"/>
        </w:rPr>
        <w:t>页被放置于陈工作的分行的复印机内无人理会，从而揭发有关事件。</w:t>
      </w:r>
    </w:p>
    <w:p w:rsidR="00A64113" w:rsidRDefault="009729D0">
      <w:pPr>
        <w:pStyle w:val="BodyText"/>
        <w:rPr>
          <w:lang w:eastAsia="zh-CN"/>
        </w:rPr>
      </w:pPr>
      <w:r>
        <w:rPr>
          <w:lang w:eastAsia="zh-CN"/>
        </w:rPr>
        <w:t>证监会对陈的行为的看法</w:t>
      </w:r>
    </w:p>
    <w:p w:rsidR="00A64113" w:rsidRDefault="009729D0">
      <w:pPr>
        <w:pStyle w:val="BodyText"/>
        <w:rPr>
          <w:lang w:eastAsia="zh-CN"/>
        </w:rPr>
      </w:pPr>
      <w:r>
        <w:rPr>
          <w:lang w:eastAsia="zh-CN"/>
        </w:rPr>
        <w:lastRenderedPageBreak/>
        <w:t>鉴于陈于</w:t>
      </w:r>
      <w:r>
        <w:rPr>
          <w:lang w:eastAsia="zh-CN"/>
        </w:rPr>
        <w:t>2021</w:t>
      </w:r>
      <w:r>
        <w:rPr>
          <w:lang w:eastAsia="zh-CN"/>
        </w:rPr>
        <w:t>年</w:t>
      </w:r>
      <w:r>
        <w:rPr>
          <w:lang w:eastAsia="zh-CN"/>
        </w:rPr>
        <w:t>5</w:t>
      </w:r>
      <w:r>
        <w:rPr>
          <w:lang w:eastAsia="zh-CN"/>
        </w:rPr>
        <w:t>月已不再是获金管局注册的有关人士，故金管局将本案转介予证监会。证监会得出结论，即陈违反了《证券及期货条例》第</w:t>
      </w:r>
      <w:r>
        <w:rPr>
          <w:lang w:eastAsia="zh-CN"/>
        </w:rPr>
        <w:t>129</w:t>
      </w:r>
      <w:r>
        <w:rPr>
          <w:lang w:eastAsia="zh-CN"/>
        </w:rPr>
        <w:t>条，且陈并非作为诚实地进行有关的受规管活动的注册人士的适当人选。</w:t>
      </w:r>
    </w:p>
    <w:p w:rsidR="00A64113" w:rsidRDefault="009729D0">
      <w:pPr>
        <w:pStyle w:val="BodyText"/>
        <w:rPr>
          <w:lang w:eastAsia="zh-CN"/>
        </w:rPr>
      </w:pPr>
      <w:hyperlink w:anchor="footnote-598-1-backlink">
        <w:r>
          <w:rPr>
            <w:lang w:eastAsia="zh-CN"/>
          </w:rPr>
          <w:t>1</w:t>
        </w:r>
      </w:hyperlink>
      <w:r>
        <w:rPr>
          <w:lang w:eastAsia="zh-CN"/>
        </w:rPr>
        <w:t xml:space="preserve"> </w:t>
      </w:r>
      <w:r>
        <w:rPr>
          <w:lang w:eastAsia="zh-CN"/>
        </w:rPr>
        <w:t>2015</w:t>
      </w:r>
      <w:r>
        <w:rPr>
          <w:lang w:eastAsia="zh-CN"/>
        </w:rPr>
        <w:t>年年报（延迟</w:t>
      </w:r>
      <w:r>
        <w:rPr>
          <w:lang w:eastAsia="zh-CN"/>
        </w:rPr>
        <w:t>33</w:t>
      </w:r>
      <w:r>
        <w:rPr>
          <w:lang w:eastAsia="zh-CN"/>
        </w:rPr>
        <w:t>个月），</w:t>
      </w:r>
      <w:r>
        <w:rPr>
          <w:lang w:eastAsia="zh-CN"/>
        </w:rPr>
        <w:t>2016</w:t>
      </w:r>
      <w:r>
        <w:rPr>
          <w:lang w:eastAsia="zh-CN"/>
        </w:rPr>
        <w:t>年中期业绩（延迟</w:t>
      </w:r>
      <w:r>
        <w:rPr>
          <w:lang w:eastAsia="zh-CN"/>
        </w:rPr>
        <w:t>34</w:t>
      </w:r>
      <w:r>
        <w:rPr>
          <w:lang w:eastAsia="zh-CN"/>
        </w:rPr>
        <w:t>个月以上），</w:t>
      </w:r>
      <w:r>
        <w:rPr>
          <w:lang w:eastAsia="zh-CN"/>
        </w:rPr>
        <w:t>2016</w:t>
      </w:r>
      <w:r>
        <w:rPr>
          <w:lang w:eastAsia="zh-CN"/>
        </w:rPr>
        <w:t>中期报告（延迟</w:t>
      </w:r>
      <w:r>
        <w:rPr>
          <w:lang w:eastAsia="zh-CN"/>
        </w:rPr>
        <w:t>33</w:t>
      </w:r>
      <w:r>
        <w:rPr>
          <w:lang w:eastAsia="zh-CN"/>
        </w:rPr>
        <w:t>个月以上），</w:t>
      </w:r>
      <w:r>
        <w:rPr>
          <w:lang w:eastAsia="zh-CN"/>
        </w:rPr>
        <w:t>2016</w:t>
      </w:r>
      <w:r>
        <w:rPr>
          <w:lang w:eastAsia="zh-CN"/>
        </w:rPr>
        <w:t>年全年业绩（延迟</w:t>
      </w:r>
      <w:r>
        <w:rPr>
          <w:lang w:eastAsia="zh-CN"/>
        </w:rPr>
        <w:t>27</w:t>
      </w:r>
      <w:r>
        <w:rPr>
          <w:lang w:eastAsia="zh-CN"/>
        </w:rPr>
        <w:t>个月以上），</w:t>
      </w:r>
      <w:r>
        <w:rPr>
          <w:lang w:eastAsia="zh-CN"/>
        </w:rPr>
        <w:t>2016</w:t>
      </w:r>
      <w:r>
        <w:rPr>
          <w:lang w:eastAsia="zh-CN"/>
        </w:rPr>
        <w:t>年报（延迟</w:t>
      </w:r>
      <w:r>
        <w:rPr>
          <w:lang w:eastAsia="zh-CN"/>
        </w:rPr>
        <w:t>26</w:t>
      </w:r>
      <w:r>
        <w:rPr>
          <w:lang w:eastAsia="zh-CN"/>
        </w:rPr>
        <w:t>个月以上），</w:t>
      </w:r>
      <w:r>
        <w:rPr>
          <w:lang w:eastAsia="zh-CN"/>
        </w:rPr>
        <w:t>2017</w:t>
      </w:r>
      <w:r>
        <w:rPr>
          <w:lang w:eastAsia="zh-CN"/>
        </w:rPr>
        <w:t>年中期业绩（延迟</w:t>
      </w:r>
      <w:r>
        <w:rPr>
          <w:lang w:eastAsia="zh-CN"/>
        </w:rPr>
        <w:t>22</w:t>
      </w:r>
      <w:r>
        <w:rPr>
          <w:lang w:eastAsia="zh-CN"/>
        </w:rPr>
        <w:t>个月以上），</w:t>
      </w:r>
      <w:r>
        <w:rPr>
          <w:lang w:eastAsia="zh-CN"/>
        </w:rPr>
        <w:t>2017</w:t>
      </w:r>
      <w:r>
        <w:rPr>
          <w:lang w:eastAsia="zh-CN"/>
        </w:rPr>
        <w:t>中期报告（延迟</w:t>
      </w:r>
      <w:r>
        <w:rPr>
          <w:lang w:eastAsia="zh-CN"/>
        </w:rPr>
        <w:t>21</w:t>
      </w:r>
      <w:r>
        <w:rPr>
          <w:lang w:eastAsia="zh-CN"/>
        </w:rPr>
        <w:t>个月以上），</w:t>
      </w:r>
      <w:r>
        <w:rPr>
          <w:lang w:eastAsia="zh-CN"/>
        </w:rPr>
        <w:t>2017</w:t>
      </w:r>
      <w:r>
        <w:rPr>
          <w:lang w:eastAsia="zh-CN"/>
        </w:rPr>
        <w:t>年全年业绩（延迟</w:t>
      </w:r>
      <w:r>
        <w:rPr>
          <w:lang w:eastAsia="zh-CN"/>
        </w:rPr>
        <w:t>15</w:t>
      </w:r>
      <w:r>
        <w:rPr>
          <w:lang w:eastAsia="zh-CN"/>
        </w:rPr>
        <w:t>个月以上），</w:t>
      </w:r>
      <w:r>
        <w:rPr>
          <w:lang w:eastAsia="zh-CN"/>
        </w:rPr>
        <w:t>2017</w:t>
      </w:r>
      <w:r>
        <w:rPr>
          <w:lang w:eastAsia="zh-CN"/>
        </w:rPr>
        <w:t>年年报（延迟</w:t>
      </w:r>
      <w:r>
        <w:rPr>
          <w:lang w:eastAsia="zh-CN"/>
        </w:rPr>
        <w:t>14</w:t>
      </w:r>
      <w:r>
        <w:rPr>
          <w:lang w:eastAsia="zh-CN"/>
        </w:rPr>
        <w:t>个月以上），</w:t>
      </w:r>
      <w:r>
        <w:rPr>
          <w:lang w:eastAsia="zh-CN"/>
        </w:rPr>
        <w:t>2018</w:t>
      </w:r>
      <w:r>
        <w:rPr>
          <w:lang w:eastAsia="zh-CN"/>
        </w:rPr>
        <w:t>年中期业绩（延迟</w:t>
      </w:r>
      <w:r>
        <w:rPr>
          <w:lang w:eastAsia="zh-CN"/>
        </w:rPr>
        <w:t>10</w:t>
      </w:r>
      <w:r>
        <w:rPr>
          <w:lang w:eastAsia="zh-CN"/>
        </w:rPr>
        <w:t>个月以上），</w:t>
      </w:r>
      <w:r>
        <w:rPr>
          <w:lang w:eastAsia="zh-CN"/>
        </w:rPr>
        <w:t>2018</w:t>
      </w:r>
      <w:r>
        <w:rPr>
          <w:lang w:eastAsia="zh-CN"/>
        </w:rPr>
        <w:t>中期报告（延迟</w:t>
      </w:r>
      <w:r>
        <w:rPr>
          <w:lang w:eastAsia="zh-CN"/>
        </w:rPr>
        <w:t>9</w:t>
      </w:r>
      <w:r>
        <w:rPr>
          <w:lang w:eastAsia="zh-CN"/>
        </w:rPr>
        <w:t>个月以上），</w:t>
      </w:r>
      <w:r>
        <w:rPr>
          <w:lang w:eastAsia="zh-CN"/>
        </w:rPr>
        <w:t xml:space="preserve">2018 </w:t>
      </w:r>
      <w:r>
        <w:rPr>
          <w:lang w:eastAsia="zh-CN"/>
        </w:rPr>
        <w:t>年全年业绩（延迟</w:t>
      </w:r>
      <w:r>
        <w:rPr>
          <w:lang w:eastAsia="zh-CN"/>
        </w:rPr>
        <w:t>3</w:t>
      </w:r>
      <w:r>
        <w:rPr>
          <w:lang w:eastAsia="zh-CN"/>
        </w:rPr>
        <w:t>个月以上），</w:t>
      </w:r>
      <w:r>
        <w:rPr>
          <w:lang w:eastAsia="zh-CN"/>
        </w:rPr>
        <w:t>2018</w:t>
      </w:r>
      <w:r>
        <w:rPr>
          <w:lang w:eastAsia="zh-CN"/>
        </w:rPr>
        <w:t>年报（延迟</w:t>
      </w:r>
      <w:r>
        <w:rPr>
          <w:lang w:eastAsia="zh-CN"/>
        </w:rPr>
        <w:t>2</w:t>
      </w:r>
      <w:r>
        <w:rPr>
          <w:lang w:eastAsia="zh-CN"/>
        </w:rPr>
        <w:t>个月以上）。</w:t>
      </w:r>
    </w:p>
    <w:p w:rsidR="00A64113" w:rsidRDefault="009729D0">
      <w:pPr>
        <w:pStyle w:val="BodyText"/>
        <w:rPr>
          <w:lang w:eastAsia="zh-CN"/>
        </w:rPr>
      </w:pPr>
      <w:hyperlink w:anchor="footnote-598-2-backlink">
        <w:r>
          <w:rPr>
            <w:lang w:eastAsia="zh-CN"/>
          </w:rPr>
          <w:t>2</w:t>
        </w:r>
      </w:hyperlink>
      <w:r>
        <w:rPr>
          <w:lang w:eastAsia="zh-CN"/>
        </w:rPr>
        <w:t xml:space="preserve"> </w:t>
      </w:r>
      <w:r>
        <w:rPr>
          <w:lang w:eastAsia="zh-CN"/>
        </w:rPr>
        <w:t>《证券及期货条例》第</w:t>
      </w:r>
      <w:r>
        <w:rPr>
          <w:lang w:eastAsia="zh-CN"/>
        </w:rPr>
        <w:t>109(1)</w:t>
      </w:r>
      <w:r>
        <w:rPr>
          <w:lang w:eastAsia="zh-CN"/>
        </w:rPr>
        <w:t>条规定：凡</w:t>
      </w:r>
      <w:r>
        <w:rPr>
          <w:lang w:eastAsia="zh-CN"/>
        </w:rPr>
        <w:t xml:space="preserve"> (i)</w:t>
      </w:r>
      <w:r>
        <w:rPr>
          <w:lang w:eastAsia="zh-CN"/>
        </w:rPr>
        <w:t>某人在任何广告中显示自己准备进行第</w:t>
      </w:r>
      <w:r>
        <w:rPr>
          <w:lang w:eastAsia="zh-CN"/>
        </w:rPr>
        <w:t>4</w:t>
      </w:r>
      <w:r>
        <w:rPr>
          <w:lang w:eastAsia="zh-CN"/>
        </w:rPr>
        <w:t>、</w:t>
      </w:r>
      <w:r>
        <w:rPr>
          <w:lang w:eastAsia="zh-CN"/>
        </w:rPr>
        <w:t>5</w:t>
      </w:r>
      <w:r>
        <w:rPr>
          <w:lang w:eastAsia="zh-CN"/>
        </w:rPr>
        <w:t>、</w:t>
      </w:r>
      <w:r>
        <w:rPr>
          <w:lang w:eastAsia="zh-CN"/>
        </w:rPr>
        <w:t>6</w:t>
      </w:r>
      <w:r>
        <w:rPr>
          <w:lang w:eastAsia="zh-CN"/>
        </w:rPr>
        <w:t>或</w:t>
      </w:r>
      <w:r>
        <w:rPr>
          <w:lang w:eastAsia="zh-CN"/>
        </w:rPr>
        <w:t>9</w:t>
      </w:r>
      <w:r>
        <w:rPr>
          <w:lang w:eastAsia="zh-CN"/>
        </w:rPr>
        <w:t>类受规管活动；而</w:t>
      </w:r>
      <w:r>
        <w:rPr>
          <w:lang w:eastAsia="zh-CN"/>
        </w:rPr>
        <w:t>(ii)</w:t>
      </w:r>
      <w:r>
        <w:rPr>
          <w:lang w:eastAsia="zh-CN"/>
        </w:rPr>
        <w:t>该人没有按本条例规定就该等活动获发牌或获注册，则明知有第</w:t>
      </w:r>
      <w:r>
        <w:rPr>
          <w:lang w:eastAsia="zh-CN"/>
        </w:rPr>
        <w:t>(i)</w:t>
      </w:r>
      <w:r>
        <w:rPr>
          <w:lang w:eastAsia="zh-CN"/>
        </w:rPr>
        <w:t>及</w:t>
      </w:r>
      <w:r>
        <w:rPr>
          <w:lang w:eastAsia="zh-CN"/>
        </w:rPr>
        <w:t>(ii)</w:t>
      </w:r>
      <w:r>
        <w:rPr>
          <w:lang w:eastAsia="zh-CN"/>
        </w:rPr>
        <w:t>节所述情况而发出该广告或为发出而管有该广告的人，即属犯罪；或</w:t>
      </w:r>
      <w:r>
        <w:rPr>
          <w:lang w:eastAsia="zh-CN"/>
        </w:rPr>
        <w:t>(b)</w:t>
      </w:r>
      <w:r>
        <w:rPr>
          <w:lang w:eastAsia="zh-CN"/>
        </w:rPr>
        <w:t>任何人发出其本身知道载有上述广告的文件，或为发出而管有其本身知道载有上述广告的文件，即属犯罪。第</w:t>
      </w:r>
      <w:r>
        <w:rPr>
          <w:lang w:eastAsia="zh-CN"/>
        </w:rPr>
        <w:t>114(1)(b)</w:t>
      </w:r>
      <w:r>
        <w:rPr>
          <w:lang w:eastAsia="zh-CN"/>
        </w:rPr>
        <w:t>条处理。</w:t>
      </w:r>
    </w:p>
    <w:p w:rsidR="00A64113" w:rsidRDefault="009729D0">
      <w:pPr>
        <w:pStyle w:val="BodyText"/>
        <w:rPr>
          <w:lang w:eastAsia="zh-CN"/>
        </w:rPr>
      </w:pPr>
      <w:hyperlink w:anchor="footnote-598-3-backlink">
        <w:r>
          <w:rPr>
            <w:lang w:eastAsia="zh-CN"/>
          </w:rPr>
          <w:t>3</w:t>
        </w:r>
      </w:hyperlink>
      <w:r>
        <w:rPr>
          <w:lang w:eastAsia="zh-CN"/>
        </w:rPr>
        <w:t xml:space="preserve"> “</w:t>
      </w:r>
      <w:r>
        <w:rPr>
          <w:lang w:eastAsia="zh-CN"/>
        </w:rPr>
        <w:t>制表员</w:t>
      </w:r>
      <w:r>
        <w:rPr>
          <w:lang w:eastAsia="zh-CN"/>
        </w:rPr>
        <w:t>”</w:t>
      </w:r>
      <w:r>
        <w:rPr>
          <w:lang w:eastAsia="zh-CN"/>
        </w:rPr>
        <w:t>及</w:t>
      </w:r>
      <w:r>
        <w:rPr>
          <w:lang w:eastAsia="zh-CN"/>
        </w:rPr>
        <w:t>“</w:t>
      </w:r>
      <w:r>
        <w:rPr>
          <w:lang w:eastAsia="zh-CN"/>
        </w:rPr>
        <w:t>核对员</w:t>
      </w:r>
      <w:r>
        <w:rPr>
          <w:lang w:eastAsia="zh-CN"/>
        </w:rPr>
        <w:t>”</w:t>
      </w:r>
      <w:r>
        <w:rPr>
          <w:lang w:eastAsia="zh-CN"/>
        </w:rPr>
        <w:t>是加皇的营运组职员，负责编制和核对客户资金电子表格，以计算需予分隔的客户款项额。</w:t>
      </w:r>
    </w:p>
    <w:p w:rsidR="00A64113" w:rsidRDefault="009729D0">
      <w:pPr>
        <w:pStyle w:val="BodyText"/>
        <w:rPr>
          <w:lang w:eastAsia="zh-CN"/>
        </w:rPr>
      </w:pPr>
      <w:hyperlink w:anchor="footnote-598-4-backlink">
        <w:r>
          <w:rPr>
            <w:lang w:eastAsia="zh-CN"/>
          </w:rPr>
          <w:t>4</w:t>
        </w:r>
      </w:hyperlink>
      <w:r>
        <w:rPr>
          <w:lang w:eastAsia="zh-CN"/>
        </w:rPr>
        <w:t xml:space="preserve"> </w:t>
      </w:r>
      <w:r>
        <w:rPr>
          <w:lang w:eastAsia="zh-CN"/>
        </w:rPr>
        <w:t>客户自设系统透过应用程序编程接口连接至日发的经纪自设系统。应用程序编程接口提供一系列功能，让不同应用程序读取数据并与外部软件组件或操作系统互动。</w:t>
      </w:r>
    </w:p>
    <w:p w:rsidR="00A64113" w:rsidRDefault="009729D0">
      <w:pPr>
        <w:pStyle w:val="BodyText"/>
        <w:rPr>
          <w:lang w:eastAsia="zh-CN"/>
        </w:rPr>
      </w:pPr>
      <w:hyperlink w:anchor="footnote-598-5-backlink">
        <w:r>
          <w:rPr>
            <w:lang w:eastAsia="zh-CN"/>
          </w:rPr>
          <w:t>5</w:t>
        </w:r>
      </w:hyperlink>
      <w:r>
        <w:rPr>
          <w:lang w:eastAsia="zh-CN"/>
        </w:rPr>
        <w:t xml:space="preserve"> </w:t>
      </w:r>
      <w:r>
        <w:rPr>
          <w:lang w:eastAsia="zh-CN"/>
        </w:rPr>
        <w:t>《财政资源规则》第</w:t>
      </w:r>
      <w:r>
        <w:rPr>
          <w:lang w:eastAsia="zh-CN"/>
        </w:rPr>
        <w:t>5(f)</w:t>
      </w:r>
      <w:r>
        <w:rPr>
          <w:lang w:eastAsia="zh-CN"/>
        </w:rPr>
        <w:t>条。</w:t>
      </w:r>
    </w:p>
    <w:p w:rsidR="00A64113" w:rsidRDefault="009729D0">
      <w:pPr>
        <w:pStyle w:val="DisclaimerBold"/>
        <w:rPr>
          <w:lang w:eastAsia="zh-CN"/>
        </w:rPr>
      </w:pPr>
      <w:r>
        <w:rPr>
          <w:lang w:eastAsia="zh-CN"/>
        </w:rPr>
        <w:t>此法讯仅为提供相关资料信息之用，其内容并</w:t>
      </w:r>
    </w:p>
    <w:p w:rsidR="00A64113" w:rsidRDefault="009729D0">
      <w:pPr>
        <w:pStyle w:val="Disclaimer"/>
        <w:rPr>
          <w:lang w:eastAsia="zh-CN"/>
        </w:rPr>
      </w:pPr>
      <w:r>
        <w:rPr>
          <w:lang w:eastAsia="zh-CN"/>
        </w:rPr>
        <w:t>不构成法律建议及个案的法律分析。</w:t>
      </w:r>
    </w:p>
    <w:p w:rsidR="00A64113" w:rsidRDefault="009729D0">
      <w:pPr>
        <w:pStyle w:val="Disclaimer"/>
        <w:rPr>
          <w:lang w:eastAsia="zh-CN"/>
        </w:rPr>
      </w:pPr>
      <w:r>
        <w:rPr>
          <w:lang w:eastAsia="zh-CN"/>
        </w:rPr>
        <w:t>此法讯的发送并不是为了在易周律师行与用户或浏览者之间建立一种律师与客户之关系。</w:t>
      </w:r>
    </w:p>
    <w:p w:rsidR="00A64113" w:rsidRDefault="009729D0">
      <w:pPr>
        <w:pStyle w:val="Disclaimer"/>
        <w:rPr>
          <w:lang w:eastAsia="zh-CN"/>
        </w:rPr>
      </w:pPr>
      <w:r>
        <w:rPr>
          <w:lang w:eastAsia="zh-CN"/>
        </w:rPr>
        <w:t>易周律师行并不对可从互联网获得的任何第三方内容负责。</w:t>
      </w:r>
    </w:p>
    <w:p w:rsidR="00A64113" w:rsidRDefault="009729D0">
      <w:pPr>
        <w:pStyle w:val="Disclaimer"/>
        <w:rPr>
          <w:lang w:eastAsia="zh-CN"/>
        </w:rPr>
      </w:pPr>
      <w:r>
        <w:rPr>
          <w:lang w:eastAsia="zh-CN"/>
        </w:rPr>
        <w:t>如你不希望再收到易周法讯，请发送电邮至</w:t>
      </w:r>
      <w:r>
        <w:rPr>
          <w:lang w:eastAsia="zh-CN"/>
        </w:rPr>
        <w:t xml:space="preserve">  </w:t>
      </w:r>
      <w:hyperlink r:id="rId20">
        <w:r>
          <w:rPr>
            <w:lang w:eastAsia="zh-CN"/>
          </w:rPr>
          <w:t>unsubscribe@charltonslaw.com</w:t>
        </w:r>
      </w:hyperlink>
    </w:p>
    <w:p w:rsidR="00A64113" w:rsidRDefault="009729D0">
      <w:pPr>
        <w:pStyle w:val="BlackStrips"/>
      </w:pPr>
      <w:r>
        <w:t>Charltons</w:t>
      </w:r>
      <w:r>
        <w:t xml:space="preserve"> - </w:t>
      </w:r>
      <w:r>
        <w:t>香港法律</w:t>
      </w:r>
      <w:r>
        <w:t xml:space="preserve"> - 2023</w:t>
      </w:r>
      <w:r>
        <w:t>年</w:t>
      </w:r>
      <w:r>
        <w:t>4</w:t>
      </w:r>
      <w:r>
        <w:t>月</w:t>
      </w:r>
      <w:r>
        <w:t>12</w:t>
      </w:r>
      <w:r>
        <w:t>日</w:t>
      </w:r>
    </w:p>
    <w:sectPr w:rsidR="00A64113">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729D0">
      <w:pPr>
        <w:spacing w:after="0"/>
      </w:pPr>
      <w:r>
        <w:separator/>
      </w:r>
    </w:p>
  </w:endnote>
  <w:endnote w:type="continuationSeparator" w:id="0">
    <w:p w:rsidR="00000000" w:rsidRDefault="009729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113" w:rsidRDefault="009729D0">
      <w:r>
        <w:separator/>
      </w:r>
    </w:p>
  </w:footnote>
  <w:footnote w:type="continuationSeparator" w:id="0">
    <w:p w:rsidR="00A64113" w:rsidRDefault="009729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75FCDFB0"/>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1" w15:restartNumberingAfterBreak="0">
    <w:nsid w:val="170CD2DE"/>
    <w:multiLevelType w:val="multilevel"/>
    <w:tmpl w:val="B41285E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F41EBA8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71315DCA"/>
    <w:multiLevelType w:val="multilevel"/>
    <w:tmpl w:val="24CADFC6"/>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
    <w:abstractNumId w:val="1"/>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90D07"/>
    <w:rsid w:val="00784D58"/>
    <w:rsid w:val="008D6863"/>
    <w:rsid w:val="009729D0"/>
    <w:rsid w:val="00A6411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BDB2F"/>
  <w15:docId w15:val="{D2116CBB-1AFF-494F-AE3D-AC54560BE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ex.com.hk/-/media/HKEX-Market/Listing/Rules-and-Guidance/Disciplinary-and-Enforcement/Disciplinary-Sanctions/2022/220615_SoDA_c.pdf" TargetMode="External"/><Relationship Id="rId13" Type="http://schemas.openxmlformats.org/officeDocument/2006/relationships/hyperlink" Target="https://apps.sfc.hk/edistributionWeb/api/news/openAppendix?lang=TC&amp;refNo=22PR42&amp;appendix=0" TargetMode="External"/><Relationship Id="rId18" Type="http://schemas.openxmlformats.org/officeDocument/2006/relationships/hyperlink" Target="https://apps.sfc.hk/edistributionWeb/api/news/openAppendix?lang=TC&amp;refNo=22PR56&amp;appendix=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charltonslaw.com.cn/xiang-gang-jiao-yi-suo-ji-zheng-jian-hui-yu-2022nian-6yue-fen-ji-7yue-fen-cai-qu-de-ji-lu-xing-dong" TargetMode="External"/><Relationship Id="rId12" Type="http://schemas.openxmlformats.org/officeDocument/2006/relationships/hyperlink" Target="https://apps.sfc.hk/edistributionWeb/api/news/openAppendix?lang=TC&amp;refNo=22PR37&amp;appendix=0" TargetMode="External"/><Relationship Id="rId17" Type="http://schemas.openxmlformats.org/officeDocument/2006/relationships/hyperlink" Target="https://apps.sfc.hk/edistributionWeb/api/news/openAppendix?lang=TC&amp;refNo=22PR55&amp;appendix=0" TargetMode="External"/><Relationship Id="rId2" Type="http://schemas.openxmlformats.org/officeDocument/2006/relationships/styles" Target="styles.xml"/><Relationship Id="rId16" Type="http://schemas.openxmlformats.org/officeDocument/2006/relationships/hyperlink" Target="https://apps.sfc.hk/edistributionWeb/api/news/openAppendix?lang=TC&amp;refNo=22PR53&amp;appendix=0" TargetMode="External"/><Relationship Id="rId20" Type="http://schemas.openxmlformats.org/officeDocument/2006/relationships/hyperlink" Target="mailto:unsubscribe@charltonslaw.com?subject=unsubscribe%20-Hong%20Kong%20La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alref.judiciary.hk/lrs/common/search/search_result_detail_frame.jsp?DIS=144751&amp;QS=%2B%7C%28HCA%2C2482%2F2015%29&amp;TP=JU" TargetMode="External"/><Relationship Id="rId5" Type="http://schemas.openxmlformats.org/officeDocument/2006/relationships/footnotes" Target="footnotes.xml"/><Relationship Id="rId15" Type="http://schemas.openxmlformats.org/officeDocument/2006/relationships/hyperlink" Target="https://www.hkex.com.hk/-/media/HKEX-Market/Listing/Rules-and-Guidance/Disciplinary-and-Enforcement/Disciplinary-Sanctions/2022/220718_SoDA_c.pdf" TargetMode="External"/><Relationship Id="rId10" Type="http://schemas.openxmlformats.org/officeDocument/2006/relationships/hyperlink" Target="https://www.hkex.com.hk/-/media/HKEX-Market/Listing/Rules-and-Guidance/Disciplinary-and-Enforcement/Disciplinary-Sanctions/2022/220627_SoDA_c.pdf" TargetMode="External"/><Relationship Id="rId19" Type="http://schemas.openxmlformats.org/officeDocument/2006/relationships/hyperlink" Target="https://apps.sfc.hk/edistributionWeb/api/news/openAppendix?lang=TC&amp;refNo=22PR57&amp;appendix=0" TargetMode="External"/><Relationship Id="rId4" Type="http://schemas.openxmlformats.org/officeDocument/2006/relationships/webSettings" Target="webSettings.xml"/><Relationship Id="rId9" Type="http://schemas.openxmlformats.org/officeDocument/2006/relationships/hyperlink" Target="https://www.hkex.com.hk/-/media/HKEX-Market/Listing/Rules-and-Guidance/Disciplinary-and-Enforcement/Disciplinary-Sanctions/2022/220627_SoDA_c.pdf" TargetMode="External"/><Relationship Id="rId14" Type="http://schemas.openxmlformats.org/officeDocument/2006/relationships/hyperlink" Target="https://www.hkex.com.hk/-/media/HKEX-Market/Listing/Rules-and-Guidance/Disciplinary-and-Enforcement/Disciplinary-Sanctions/2022/220714_SoDA_c.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12</Pages>
  <Words>2853</Words>
  <Characters>16268</Characters>
  <Application>Microsoft Office Word</Application>
  <DocSecurity>0</DocSecurity>
  <Lines>135</Lines>
  <Paragraphs>38</Paragraphs>
  <ScaleCrop>false</ScaleCrop>
  <Company>Charltons</Company>
  <LinksUpToDate>false</LinksUpToDate>
  <CharactersWithSpaces>19083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2023-04-12T09:39:00Z</dcterms:created>
  <dcterms:modified xsi:type="dcterms:W3CDTF">2023-04-12T09:40:00Z</dcterms:modified>
</cp:coreProperties>
</file>