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785" w:rsidRDefault="00DF339A">
      <w:pPr>
        <w:pStyle w:val="BlackStrips"/>
      </w:pPr>
      <w:r>
        <w:t xml:space="preserve">Charltons - </w:t>
      </w:r>
      <w:r>
        <w:t>香港法律</w:t>
      </w:r>
      <w:r>
        <w:t xml:space="preserve"> - 2023</w:t>
      </w:r>
      <w:r>
        <w:t>年</w:t>
      </w:r>
      <w:r>
        <w:t>5</w:t>
      </w:r>
      <w:r>
        <w:t>月</w:t>
      </w:r>
      <w:r>
        <w:t>17</w:t>
      </w:r>
      <w:r>
        <w:t>日</w:t>
      </w:r>
    </w:p>
    <w:p w:rsidR="00400785" w:rsidRDefault="00DF339A">
      <w:pPr>
        <w:pStyle w:val="ReadOnline"/>
      </w:pPr>
      <w:hyperlink r:id="rId7">
        <w:r>
          <w:t>online version</w:t>
        </w:r>
      </w:hyperlink>
    </w:p>
    <w:p w:rsidR="00400785" w:rsidRDefault="00DF339A">
      <w:pPr>
        <w:pStyle w:val="Title"/>
        <w:rPr>
          <w:lang w:eastAsia="zh-CN"/>
        </w:rPr>
      </w:pPr>
      <w:r>
        <w:rPr>
          <w:lang w:eastAsia="zh-CN"/>
        </w:rPr>
        <w:t>香港金融管理局发表「数码港元」政策立场文件</w:t>
      </w:r>
    </w:p>
    <w:p w:rsidR="00400785" w:rsidRDefault="00DF339A">
      <w:pPr>
        <w:pStyle w:val="FirstParagraph"/>
        <w:rPr>
          <w:lang w:eastAsia="zh-CN"/>
        </w:rPr>
      </w:pPr>
      <w:r>
        <w:rPr>
          <w:lang w:eastAsia="zh-CN"/>
        </w:rPr>
        <w:t>香港金融管理局（</w:t>
      </w:r>
      <w:r>
        <w:rPr>
          <w:b/>
          <w:lang w:eastAsia="zh-CN"/>
        </w:rPr>
        <w:t>金管局</w:t>
      </w:r>
      <w:r>
        <w:rPr>
          <w:lang w:eastAsia="zh-CN"/>
        </w:rPr>
        <w:t>）于</w:t>
      </w:r>
      <w:r>
        <w:rPr>
          <w:lang w:eastAsia="zh-CN"/>
        </w:rPr>
        <w:t>9</w:t>
      </w:r>
      <w:r>
        <w:rPr>
          <w:lang w:eastAsia="zh-CN"/>
        </w:rPr>
        <w:t>月</w:t>
      </w:r>
      <w:r>
        <w:rPr>
          <w:lang w:eastAsia="zh-CN"/>
        </w:rPr>
        <w:t>20</w:t>
      </w:r>
      <w:r>
        <w:rPr>
          <w:lang w:eastAsia="zh-CN"/>
        </w:rPr>
        <w:t>日发表题为《「数码港元」</w:t>
      </w:r>
      <w:r>
        <w:rPr>
          <w:lang w:eastAsia="zh-CN"/>
        </w:rPr>
        <w:t>—</w:t>
      </w:r>
      <w:r>
        <w:rPr>
          <w:lang w:eastAsia="zh-CN"/>
        </w:rPr>
        <w:t>迈出新一步》</w:t>
      </w:r>
      <w:r>
        <w:rPr>
          <w:rFonts w:eastAsiaTheme="minorEastAsia" w:hint="eastAsia"/>
          <w:lang w:eastAsia="zh-CN"/>
        </w:rPr>
        <w:t xml:space="preserve"> </w:t>
      </w:r>
      <w:r>
        <w:rPr>
          <w:lang w:eastAsia="zh-CN"/>
        </w:rPr>
        <w:t>的政策立场文件，阐述金管局对「数码港元」的未来发展路向及零售层面央行数码货币的政策立场。金管局计划在本季度开始测试「数码港元」的各个组件，同时为支持「数码港元」奠定数字基础设施和法律基础。该计划旨为未来在香港发行央行数码货币做准备。</w:t>
      </w:r>
      <w:bookmarkStart w:id="0" w:name="_GoBack"/>
      <w:bookmarkEnd w:id="0"/>
      <w:r>
        <w:rPr>
          <w:lang w:eastAsia="zh-CN"/>
        </w:rPr>
        <w:t>立场文件可以在金管局的网站上找到，点击</w:t>
      </w:r>
      <w:hyperlink r:id="rId8">
        <w:r>
          <w:rPr>
            <w:lang w:eastAsia="zh-CN"/>
          </w:rPr>
          <w:t>此处</w:t>
        </w:r>
      </w:hyperlink>
      <w:r>
        <w:rPr>
          <w:lang w:eastAsia="zh-CN"/>
        </w:rPr>
        <w:t>。</w:t>
      </w:r>
    </w:p>
    <w:p w:rsidR="00400785" w:rsidRDefault="00DF339A">
      <w:pPr>
        <w:pStyle w:val="BodyText"/>
        <w:rPr>
          <w:lang w:eastAsia="zh-CN"/>
        </w:rPr>
      </w:pPr>
      <w:r>
        <w:rPr>
          <w:lang w:eastAsia="zh-CN"/>
        </w:rPr>
        <w:t>香港「数码港元」的发展</w:t>
      </w:r>
    </w:p>
    <w:p w:rsidR="00400785" w:rsidRDefault="00DF339A">
      <w:pPr>
        <w:pStyle w:val="BodyText"/>
        <w:rPr>
          <w:lang w:eastAsia="zh-CN"/>
        </w:rPr>
      </w:pPr>
      <w:r>
        <w:rPr>
          <w:lang w:eastAsia="zh-CN"/>
        </w:rPr>
        <w:t>金管局早于</w:t>
      </w:r>
      <w:r>
        <w:rPr>
          <w:lang w:eastAsia="zh-CN"/>
        </w:rPr>
        <w:t>2017</w:t>
      </w:r>
      <w:r>
        <w:rPr>
          <w:lang w:eastAsia="zh-CN"/>
        </w:rPr>
        <w:t>年已开始探索央行数码货币</w:t>
      </w:r>
      <w:hyperlink w:anchor="footnote-598-1">
        <w:r>
          <w:rPr>
            <w:vertAlign w:val="superscript"/>
            <w:lang w:eastAsia="zh-CN"/>
          </w:rPr>
          <w:t>1</w:t>
        </w:r>
      </w:hyperlink>
      <w:r>
        <w:rPr>
          <w:lang w:eastAsia="zh-CN"/>
        </w:rPr>
        <w:t>（</w:t>
      </w:r>
      <w:r>
        <w:rPr>
          <w:b/>
          <w:lang w:eastAsia="zh-CN"/>
        </w:rPr>
        <w:t>「</w:t>
      </w:r>
      <w:r>
        <w:rPr>
          <w:b/>
          <w:lang w:eastAsia="zh-CN"/>
        </w:rPr>
        <w:t>LionRock</w:t>
      </w:r>
      <w:r>
        <w:rPr>
          <w:b/>
          <w:lang w:eastAsia="zh-CN"/>
        </w:rPr>
        <w:t>」项目</w:t>
      </w:r>
      <w:hyperlink w:anchor="footnote-598-2">
        <w:r>
          <w:rPr>
            <w:vertAlign w:val="superscript"/>
            <w:lang w:eastAsia="zh-CN"/>
          </w:rPr>
          <w:t>2</w:t>
        </w:r>
      </w:hyperlink>
      <w:r>
        <w:rPr>
          <w:lang w:eastAsia="zh-CN"/>
        </w:rPr>
        <w:t>）。</w:t>
      </w:r>
      <w:r>
        <w:rPr>
          <w:lang w:eastAsia="zh-CN"/>
        </w:rPr>
        <w:t>2019</w:t>
      </w:r>
      <w:r>
        <w:rPr>
          <w:lang w:eastAsia="zh-CN"/>
        </w:rPr>
        <w:t>年，泰国银行开始与金管局合作，研究批发层面央行数码货币</w:t>
      </w:r>
      <w:hyperlink w:anchor="footnote-598-3">
        <w:r>
          <w:rPr>
            <w:vertAlign w:val="superscript"/>
            <w:lang w:eastAsia="zh-CN"/>
          </w:rPr>
          <w:t>3</w:t>
        </w:r>
      </w:hyperlink>
      <w:r>
        <w:rPr>
          <w:lang w:eastAsia="zh-CN"/>
        </w:rPr>
        <w:t>于跨境支付的应用，</w:t>
      </w:r>
      <w:r>
        <w:rPr>
          <w:lang w:eastAsia="zh-CN"/>
        </w:rPr>
        <w:t>以及中国人民银行数字货币研究所、阿拉伯联合酋长国央行及国际结算银行创新枢</w:t>
      </w:r>
      <w:r>
        <w:rPr>
          <w:lang w:eastAsia="zh-CN"/>
        </w:rPr>
        <w:t>纽辖下香港中心于</w:t>
      </w:r>
      <w:r>
        <w:rPr>
          <w:lang w:eastAsia="zh-CN"/>
        </w:rPr>
        <w:t>2021</w:t>
      </w:r>
      <w:r>
        <w:rPr>
          <w:lang w:eastAsia="zh-CN"/>
        </w:rPr>
        <w:t>年加入。金管局遂于</w:t>
      </w:r>
      <w:r>
        <w:rPr>
          <w:lang w:eastAsia="zh-CN"/>
        </w:rPr>
        <w:t>2021</w:t>
      </w:r>
      <w:r>
        <w:rPr>
          <w:lang w:eastAsia="zh-CN"/>
        </w:rPr>
        <w:t>年开始研究零售层面央行数码货币</w:t>
      </w:r>
      <w:hyperlink w:anchor="footnote-598-4">
        <w:r>
          <w:rPr>
            <w:vertAlign w:val="superscript"/>
            <w:lang w:eastAsia="zh-CN"/>
          </w:rPr>
          <w:t>4</w:t>
        </w:r>
      </w:hyperlink>
      <w:r>
        <w:rPr>
          <w:lang w:eastAsia="zh-CN"/>
        </w:rPr>
        <w:t>，并联同国际结算银行创新枢纽辖下香港中心展开「</w:t>
      </w:r>
      <w:r>
        <w:rPr>
          <w:lang w:eastAsia="zh-CN"/>
        </w:rPr>
        <w:t>Aurum</w:t>
      </w:r>
      <w:r>
        <w:rPr>
          <w:lang w:eastAsia="zh-CN"/>
        </w:rPr>
        <w:t>」项目，研究零售层面央行数码货币的高层次技术设计。</w:t>
      </w:r>
    </w:p>
    <w:p w:rsidR="00400785" w:rsidRDefault="00DF339A">
      <w:pPr>
        <w:pStyle w:val="BodyText"/>
        <w:rPr>
          <w:lang w:eastAsia="zh-CN"/>
        </w:rPr>
      </w:pPr>
      <w:r>
        <w:rPr>
          <w:lang w:eastAsia="zh-CN"/>
        </w:rPr>
        <w:t>受新冠疫情影响，市场数码化的速度显著加快，金管局认为有需要深入研究零售层面央行数码货币能否及如何支持相关市场发展。「数码港元」项目于</w:t>
      </w:r>
      <w:r>
        <w:rPr>
          <w:lang w:eastAsia="zh-CN"/>
        </w:rPr>
        <w:t>2021</w:t>
      </w:r>
      <w:r>
        <w:rPr>
          <w:lang w:eastAsia="zh-CN"/>
        </w:rPr>
        <w:t>年</w:t>
      </w:r>
      <w:r>
        <w:rPr>
          <w:lang w:eastAsia="zh-CN"/>
        </w:rPr>
        <w:t>6</w:t>
      </w:r>
      <w:r>
        <w:rPr>
          <w:lang w:eastAsia="zh-CN"/>
        </w:rPr>
        <w:t>月展开，短期目标是检视当中所涉及的主要事项，并就发展方向提出初步看法。</w:t>
      </w:r>
    </w:p>
    <w:p w:rsidR="00400785" w:rsidRDefault="00DF339A">
      <w:pPr>
        <w:pStyle w:val="BodyText"/>
        <w:rPr>
          <w:lang w:eastAsia="zh-CN"/>
        </w:rPr>
      </w:pPr>
      <w:r>
        <w:rPr>
          <w:lang w:eastAsia="zh-CN"/>
        </w:rPr>
        <w:t>一如金管局进行的批发层面央行数码</w:t>
      </w:r>
      <w:r>
        <w:rPr>
          <w:lang w:eastAsia="zh-CN"/>
        </w:rPr>
        <w:t>货币研究项目，「数码港元」项目同样探讨了如何运用最新科技更有效应对现时及不断演变的支付需求。金管局参考了其他地区的经验，以及从「</w:t>
      </w:r>
      <w:r>
        <w:rPr>
          <w:lang w:eastAsia="zh-CN"/>
        </w:rPr>
        <w:t>Aurum</w:t>
      </w:r>
      <w:r>
        <w:rPr>
          <w:lang w:eastAsia="zh-CN"/>
        </w:rPr>
        <w:t>」项目取得的技术知识，就「数码港元」提出了以分布式分类帐技术（</w:t>
      </w:r>
      <w:r>
        <w:rPr>
          <w:b/>
          <w:lang w:eastAsia="zh-CN"/>
        </w:rPr>
        <w:t>DLT</w:t>
      </w:r>
      <w:r>
        <w:rPr>
          <w:lang w:eastAsia="zh-CN"/>
        </w:rPr>
        <w:t>）为基础的高层次技术架构及设计选项。</w:t>
      </w:r>
    </w:p>
    <w:p w:rsidR="00400785" w:rsidRDefault="00DF339A">
      <w:pPr>
        <w:pStyle w:val="BodyText"/>
        <w:rPr>
          <w:lang w:eastAsia="zh-CN"/>
        </w:rPr>
      </w:pPr>
      <w:r>
        <w:rPr>
          <w:lang w:eastAsia="zh-CN"/>
        </w:rPr>
        <w:t>如若发行，「数码港元」亦会在香港经济中扮演重要角色，而公众也会在广泛及不同层面接触得到。因此，推出「数码港元」将会牵涉多个领域的事宜，例如法律、监管、政策、金融稳定，以及与现行支付方式的互动。多个先进经济体的央行亦有相同看法，并表示或许需要经年累月的深入研究，才能推出</w:t>
      </w:r>
      <w:r>
        <w:rPr>
          <w:lang w:eastAsia="zh-CN"/>
        </w:rPr>
        <w:t>自己的央行数码货币版本。</w:t>
      </w:r>
    </w:p>
    <w:p w:rsidR="00400785" w:rsidRDefault="00DF339A">
      <w:pPr>
        <w:pStyle w:val="BodyText"/>
        <w:rPr>
          <w:lang w:eastAsia="zh-CN"/>
        </w:rPr>
      </w:pPr>
      <w:r>
        <w:rPr>
          <w:lang w:eastAsia="zh-CN"/>
        </w:rPr>
        <w:t>香港「数码港元」市场谘询</w:t>
      </w:r>
    </w:p>
    <w:p w:rsidR="00400785" w:rsidRDefault="00DF339A">
      <w:pPr>
        <w:pStyle w:val="BodyText"/>
        <w:rPr>
          <w:lang w:eastAsia="zh-CN"/>
        </w:rPr>
      </w:pPr>
      <w:r>
        <w:rPr>
          <w:lang w:eastAsia="zh-CN"/>
        </w:rPr>
        <w:t>在技术层面，金管局在</w:t>
      </w:r>
      <w:r>
        <w:rPr>
          <w:lang w:eastAsia="zh-CN"/>
        </w:rPr>
        <w:t>2021</w:t>
      </w:r>
      <w:r>
        <w:rPr>
          <w:lang w:eastAsia="zh-CN"/>
        </w:rPr>
        <w:t>年</w:t>
      </w:r>
      <w:r>
        <w:rPr>
          <w:lang w:eastAsia="zh-CN"/>
        </w:rPr>
        <w:t>10</w:t>
      </w:r>
      <w:r>
        <w:rPr>
          <w:lang w:eastAsia="zh-CN"/>
        </w:rPr>
        <w:t>月发布了题为《从技术角度看「数码港元」》</w:t>
      </w:r>
      <w:hyperlink w:anchor="footnote-598-5">
        <w:r>
          <w:rPr>
            <w:vertAlign w:val="superscript"/>
            <w:lang w:eastAsia="zh-CN"/>
          </w:rPr>
          <w:t>5</w:t>
        </w:r>
      </w:hyperlink>
      <w:r>
        <w:rPr>
          <w:lang w:eastAsia="zh-CN"/>
        </w:rPr>
        <w:t>的技术白皮书，探讨发行及分发「数码港元」的潜在技术架构与设计选项。在政策层面，金管局在</w:t>
      </w:r>
      <w:r>
        <w:rPr>
          <w:lang w:eastAsia="zh-CN"/>
        </w:rPr>
        <w:t>2022</w:t>
      </w:r>
      <w:r>
        <w:rPr>
          <w:lang w:eastAsia="zh-CN"/>
        </w:rPr>
        <w:t>年</w:t>
      </w:r>
      <w:r>
        <w:rPr>
          <w:lang w:eastAsia="zh-CN"/>
        </w:rPr>
        <w:t>4</w:t>
      </w:r>
      <w:r>
        <w:rPr>
          <w:lang w:eastAsia="zh-CN"/>
        </w:rPr>
        <w:t>月发布了题为《从政策及设计角度看「数码港元」》</w:t>
      </w:r>
      <w:hyperlink w:anchor="footnote-598-6">
        <w:r>
          <w:rPr>
            <w:vertAlign w:val="superscript"/>
            <w:lang w:eastAsia="zh-CN"/>
          </w:rPr>
          <w:t>6</w:t>
        </w:r>
      </w:hyperlink>
      <w:r>
        <w:rPr>
          <w:lang w:eastAsia="zh-CN"/>
        </w:rPr>
        <w:t>的政策讨论文件，检视引入「数码港元」的主要政策及设计事项，包括当中潜在的效益及挑战、发行机</w:t>
      </w:r>
      <w:r>
        <w:rPr>
          <w:lang w:eastAsia="zh-CN"/>
        </w:rPr>
        <w:t>制、与其他支付系统的互联互通、私隐和数据保障与法律考虑因素，以及潜在用例。</w:t>
      </w:r>
    </w:p>
    <w:p w:rsidR="00400785" w:rsidRDefault="00DF339A">
      <w:pPr>
        <w:pStyle w:val="BodyText"/>
        <w:rPr>
          <w:lang w:eastAsia="zh-CN"/>
        </w:rPr>
      </w:pPr>
      <w:r>
        <w:rPr>
          <w:lang w:eastAsia="zh-CN"/>
        </w:rPr>
        <w:t>技术白皮书收集所得的意见大体上是正面的且支持「数码港元」项目。回应者认为其具备潜力，能够令支付更有效率，同时可推动数码经济发展。尽管回应者对零售层面央行数码货币的用例范围及设计选择意见纷陈，但在若干范畴皆有明显共识，例如有意见认为零售层面央行数码货币的设计须全面、保障用户私隐的同时要合法合规，以及要达到最高网络安全水平以维持公众的信心，支援与各种支付方式及交易系统的互联互通。回应者还认同其生态系统应保持开放，兼容并蓄，让不同参与者及</w:t>
      </w:r>
      <w:r>
        <w:rPr>
          <w:lang w:eastAsia="zh-CN"/>
        </w:rPr>
        <w:t>零售层面央行数码货币钱包服务提供者都能参与其中。</w:t>
      </w:r>
    </w:p>
    <w:p w:rsidR="00400785" w:rsidRDefault="00DF339A">
      <w:pPr>
        <w:pStyle w:val="BodyText"/>
        <w:rPr>
          <w:lang w:eastAsia="zh-CN"/>
        </w:rPr>
      </w:pPr>
      <w:r>
        <w:rPr>
          <w:lang w:eastAsia="zh-CN"/>
        </w:rPr>
        <w:lastRenderedPageBreak/>
        <w:t>政策讨论文件方面，回应者普遍认同文件内载列的潜在效益及挑战，并在以下范畴有相当共识：「数码港元」应采用两层分发结构、「数码港元」宜不计息及应支援离线及跨境支付（部分回应者指出「数码港元」与「数字人民币」或可灵活兑换）。</w:t>
      </w:r>
    </w:p>
    <w:p w:rsidR="00400785" w:rsidRDefault="00DF339A">
      <w:pPr>
        <w:pStyle w:val="BodyText"/>
        <w:rPr>
          <w:lang w:eastAsia="zh-CN"/>
        </w:rPr>
      </w:pPr>
      <w:r>
        <w:rPr>
          <w:lang w:eastAsia="zh-CN"/>
        </w:rPr>
        <w:t>金管局就「数码港元」迈出新的一步</w:t>
      </w:r>
    </w:p>
    <w:p w:rsidR="00400785" w:rsidRDefault="00DF339A">
      <w:pPr>
        <w:pStyle w:val="BodyText"/>
        <w:rPr>
          <w:lang w:eastAsia="zh-CN"/>
        </w:rPr>
      </w:pPr>
      <w:r>
        <w:rPr>
          <w:lang w:eastAsia="zh-CN"/>
        </w:rPr>
        <w:t>根据两次市场谘询所收到的意见，以及金管局自己的研究结果，金管局认为有必要开始为将来可能推行和使用「数码港元」铺路。在立场文件发表时，全球约有</w:t>
      </w:r>
      <w:r>
        <w:rPr>
          <w:lang w:eastAsia="zh-CN"/>
        </w:rPr>
        <w:t>20%</w:t>
      </w:r>
      <w:r>
        <w:rPr>
          <w:lang w:eastAsia="zh-CN"/>
        </w:rPr>
        <w:t>的央行正在开发或测试零售层面央行数码货币，只有巴哈马（</w:t>
      </w:r>
      <w:r>
        <w:rPr>
          <w:lang w:eastAsia="zh-CN"/>
        </w:rPr>
        <w:t>Sand</w:t>
      </w:r>
      <w:r>
        <w:rPr>
          <w:lang w:eastAsia="zh-CN"/>
        </w:rPr>
        <w:t xml:space="preserve"> Dollar</w:t>
      </w:r>
      <w:r>
        <w:rPr>
          <w:lang w:eastAsia="zh-CN"/>
        </w:rPr>
        <w:t>）和尼日利亚（</w:t>
      </w:r>
      <w:r>
        <w:rPr>
          <w:lang w:eastAsia="zh-CN"/>
        </w:rPr>
        <w:t>eNaira</w:t>
      </w:r>
      <w:r>
        <w:rPr>
          <w:lang w:eastAsia="zh-CN"/>
        </w:rPr>
        <w:t>）推出了零售层面央行数码货币，而中国内地（数字人民币）及东加勒比地区（</w:t>
      </w:r>
      <w:r>
        <w:rPr>
          <w:lang w:eastAsia="zh-CN"/>
        </w:rPr>
        <w:t>DCash</w:t>
      </w:r>
      <w:r>
        <w:rPr>
          <w:lang w:eastAsia="zh-CN"/>
        </w:rPr>
        <w:t>）则正在试行过程当中。</w:t>
      </w:r>
      <w:hyperlink w:anchor="footnote-598-7">
        <w:r>
          <w:rPr>
            <w:vertAlign w:val="superscript"/>
            <w:lang w:eastAsia="zh-CN"/>
          </w:rPr>
          <w:t>7</w:t>
        </w:r>
      </w:hyperlink>
    </w:p>
    <w:p w:rsidR="00400785" w:rsidRDefault="00DF339A">
      <w:pPr>
        <w:pStyle w:val="BodyText"/>
        <w:rPr>
          <w:lang w:eastAsia="zh-CN"/>
        </w:rPr>
      </w:pPr>
      <w:r>
        <w:rPr>
          <w:lang w:eastAsia="zh-CN"/>
        </w:rPr>
        <w:t>虽然目前「数码港元」尚未在零售支付市场中发挥实时作用，但我们相信随着数码经济急速演变，未来甚或出现变革，可能很快便会有「数码港元」的用例出现。国际金融界正寻求更快捷简便的跨境支付及汇款方案，加强各地支付系统之间的互联互通，而央行数码货币有潜力成为这类安排的基础。央行数码货币有潜力为加密及去中</w:t>
      </w:r>
      <w:r>
        <w:rPr>
          <w:lang w:eastAsia="zh-CN"/>
        </w:rPr>
        <w:t>心化金融领域提供一个稳定的支持。</w:t>
      </w:r>
    </w:p>
    <w:p w:rsidR="00400785" w:rsidRDefault="00DF339A">
      <w:pPr>
        <w:pStyle w:val="BodyText"/>
        <w:rPr>
          <w:lang w:eastAsia="zh-CN"/>
        </w:rPr>
      </w:pPr>
      <w:r>
        <w:rPr>
          <w:lang w:eastAsia="zh-CN"/>
        </w:rPr>
        <w:t>因此，金管局将会展开工作，为推出及应用零售层面央行数码货币奠下基础。我们会进行深入研究，努力保持适当的灵活性，尽可能使所奠下的基础及开发的组件具有前瞻和兼容性，能因应未来出现的不同变化而作出调整。总括而言，金管局会采取下图所示的三轨道方式，为将来可能推出「数码港元」作好准备。</w:t>
      </w:r>
    </w:p>
    <w:p w:rsidR="00EA4F0A" w:rsidRDefault="00DF339A">
      <w:pPr>
        <w:pStyle w:val="BodyText"/>
        <w:rPr>
          <w:lang w:eastAsia="zh-CN"/>
        </w:rPr>
      </w:pPr>
      <w:r>
        <w:rPr>
          <w:lang w:eastAsia="zh-CN"/>
        </w:rPr>
        <w:t>香港金管局三轨道方式</w:t>
      </w:r>
      <w:r>
        <w:rPr>
          <w:lang w:eastAsia="zh-CN"/>
        </w:rPr>
        <w:t>—</w:t>
      </w:r>
      <w:r>
        <w:rPr>
          <w:lang w:eastAsia="zh-CN"/>
        </w:rPr>
        <w:t>为可能推出「数码港元」而作准备</w:t>
      </w:r>
    </w:p>
    <w:p w:rsidR="00EA4F0A" w:rsidRDefault="00EA4F0A">
      <w:pPr>
        <w:pStyle w:val="BodyText"/>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9pt;height:251.2pt">
            <v:imagedata r:id="rId9" o:title="xiang-gang-jin-rong-guan-li-ju-fa-biao-shu-ma-gang-yuan-zheng-ce-li-chang-wen-jian-li-chang-wen-jian"/>
          </v:shape>
        </w:pict>
      </w:r>
    </w:p>
    <w:p w:rsidR="00400785" w:rsidRDefault="00DF339A">
      <w:pPr>
        <w:pStyle w:val="BodyText"/>
        <w:rPr>
          <w:lang w:eastAsia="zh-CN"/>
        </w:rPr>
      </w:pPr>
      <w:r>
        <w:rPr>
          <w:i/>
          <w:lang w:eastAsia="zh-CN"/>
        </w:rPr>
        <w:t>来源：金管局立场文件</w:t>
      </w:r>
      <w:r>
        <w:rPr>
          <w:i/>
          <w:lang w:eastAsia="zh-CN"/>
        </w:rPr>
        <w:t>-</w:t>
      </w:r>
      <w:r>
        <w:rPr>
          <w:i/>
          <w:lang w:eastAsia="zh-CN"/>
        </w:rPr>
        <w:t>《「数码港元」</w:t>
      </w:r>
      <w:r>
        <w:rPr>
          <w:i/>
          <w:lang w:eastAsia="zh-CN"/>
        </w:rPr>
        <w:t>—</w:t>
      </w:r>
      <w:r>
        <w:rPr>
          <w:i/>
          <w:lang w:eastAsia="zh-CN"/>
        </w:rPr>
        <w:t>迈出新一步》</w:t>
      </w:r>
    </w:p>
    <w:p w:rsidR="00400785" w:rsidRDefault="00DF339A">
      <w:pPr>
        <w:pStyle w:val="BodyText"/>
        <w:rPr>
          <w:lang w:eastAsia="zh-CN"/>
        </w:rPr>
      </w:pPr>
      <w:r>
        <w:rPr>
          <w:lang w:eastAsia="zh-CN"/>
        </w:rPr>
        <w:t>第一轨道</w:t>
      </w:r>
      <w:r>
        <w:rPr>
          <w:lang w:eastAsia="zh-CN"/>
        </w:rPr>
        <w:t>—</w:t>
      </w:r>
      <w:r>
        <w:rPr>
          <w:lang w:eastAsia="zh-CN"/>
        </w:rPr>
        <w:t>为「数码港元」奠定基础</w:t>
      </w:r>
    </w:p>
    <w:p w:rsidR="00400785" w:rsidRDefault="00DF339A">
      <w:pPr>
        <w:pStyle w:val="BodyText"/>
        <w:rPr>
          <w:lang w:eastAsia="zh-CN"/>
        </w:rPr>
      </w:pPr>
      <w:r>
        <w:rPr>
          <w:lang w:eastAsia="zh-CN"/>
        </w:rPr>
        <w:t>第一轨道旨在为日后推出「数码港元」奠定法律及技术基础。</w:t>
      </w:r>
    </w:p>
    <w:p w:rsidR="00400785" w:rsidRDefault="00DF339A">
      <w:pPr>
        <w:pStyle w:val="BodyText"/>
        <w:rPr>
          <w:lang w:eastAsia="zh-CN"/>
        </w:rPr>
      </w:pPr>
      <w:r>
        <w:rPr>
          <w:lang w:eastAsia="zh-CN"/>
        </w:rPr>
        <w:t>在法</w:t>
      </w:r>
      <w:r>
        <w:rPr>
          <w:lang w:eastAsia="zh-CN"/>
        </w:rPr>
        <w:t>律层面，重点会放在将法律基础赋予数码形式的货币，令其成为法定货币。现行法例未具足够确定性以容许发行数码形式的法定货币。因此与实体货币一样，要建立公众对数码货币的信心，提供清晰明确的法律基础实在至关重要，此举亦有助确保数码及实体形式的香港港元货币具有同等地位。</w:t>
      </w:r>
    </w:p>
    <w:p w:rsidR="00400785" w:rsidRDefault="00DF339A">
      <w:pPr>
        <w:pStyle w:val="BodyText"/>
        <w:rPr>
          <w:lang w:eastAsia="zh-CN"/>
        </w:rPr>
      </w:pPr>
      <w:r>
        <w:rPr>
          <w:lang w:eastAsia="zh-CN"/>
        </w:rPr>
        <w:lastRenderedPageBreak/>
        <w:t>在技术层面，零售层面可能会因众多因素而大受影响，而部分因素尚待掌握及审视，因此我们会先行开发银行同业间的批发层（批发层面）。在</w:t>
      </w:r>
      <w:r>
        <w:rPr>
          <w:lang w:eastAsia="zh-CN"/>
        </w:rPr>
        <w:t>2023</w:t>
      </w:r>
      <w:r>
        <w:rPr>
          <w:lang w:eastAsia="zh-CN"/>
        </w:rPr>
        <w:t>年</w:t>
      </w:r>
      <w:r>
        <w:rPr>
          <w:lang w:eastAsia="zh-CN"/>
        </w:rPr>
        <w:t>6</w:t>
      </w:r>
      <w:r>
        <w:rPr>
          <w:lang w:eastAsia="zh-CN"/>
        </w:rPr>
        <w:t>月左右，我们会制定系统开发计划，包括项目时间表、系统设计及资源规划。预计需时最少两至三年以建立可应用的批发层面项目</w:t>
      </w:r>
      <w:r>
        <w:rPr>
          <w:lang w:eastAsia="zh-CN"/>
        </w:rPr>
        <w:t>。</w:t>
      </w:r>
    </w:p>
    <w:p w:rsidR="00400785" w:rsidRDefault="00DF339A">
      <w:pPr>
        <w:pStyle w:val="BodyText"/>
        <w:rPr>
          <w:lang w:eastAsia="zh-CN"/>
        </w:rPr>
      </w:pPr>
      <w:r>
        <w:rPr>
          <w:lang w:eastAsia="zh-CN"/>
        </w:rPr>
        <w:t>在制定法例方面，金管局将会与政府合作，检视需要新的立法或修例的范畴。这一程序的时间表须视乎不同因素而定，包括立法建议的复杂程度，法例修订的档期，以及立法会审议法案所需的时间。</w:t>
      </w:r>
    </w:p>
    <w:p w:rsidR="00400785" w:rsidRDefault="00DF339A">
      <w:pPr>
        <w:pStyle w:val="BodyText"/>
        <w:rPr>
          <w:lang w:eastAsia="zh-CN"/>
        </w:rPr>
      </w:pPr>
      <w:r>
        <w:rPr>
          <w:lang w:eastAsia="zh-CN"/>
        </w:rPr>
        <w:t>第二轨道</w:t>
      </w:r>
      <w:r>
        <w:rPr>
          <w:lang w:eastAsia="zh-CN"/>
        </w:rPr>
        <w:t>—</w:t>
      </w:r>
      <w:r>
        <w:rPr>
          <w:lang w:eastAsia="zh-CN"/>
        </w:rPr>
        <w:t>深入研究及港元试验计划</w:t>
      </w:r>
    </w:p>
    <w:p w:rsidR="00400785" w:rsidRDefault="00DF339A">
      <w:pPr>
        <w:pStyle w:val="BodyText"/>
        <w:rPr>
          <w:lang w:eastAsia="zh-CN"/>
        </w:rPr>
      </w:pPr>
      <w:r>
        <w:rPr>
          <w:lang w:eastAsia="zh-CN"/>
        </w:rPr>
        <w:t>第二轨道会与第一轨道并行。我们会在第二轨道深入研究用例，以及有关「数码港元」的执行及设计事项，包括对应用问题进行研究，并透过与银行及业界等不同持份者进行连串试验。金管局会根据试验计划所取得的经验和见解，充实和完善推行数码港元的方法。此方法有助我们就「数码港元」系统零售层面的设计选项可以作出更有根据的决定，而在日后正式推出「数码港元」时，已开发的工具及设备也可以作应用。</w:t>
      </w:r>
    </w:p>
    <w:p w:rsidR="00400785" w:rsidRDefault="00DF339A">
      <w:pPr>
        <w:pStyle w:val="BodyText"/>
        <w:rPr>
          <w:lang w:eastAsia="zh-CN"/>
        </w:rPr>
      </w:pPr>
      <w:r>
        <w:rPr>
          <w:lang w:eastAsia="zh-CN"/>
        </w:rPr>
        <w:t>以下是正在筹划或进行的项目：</w:t>
      </w:r>
    </w:p>
    <w:p w:rsidR="00400785" w:rsidRDefault="00DF339A">
      <w:pPr>
        <w:pStyle w:val="Compact"/>
        <w:numPr>
          <w:ilvl w:val="0"/>
          <w:numId w:val="3"/>
        </w:numPr>
        <w:rPr>
          <w:lang w:eastAsia="zh-CN"/>
        </w:rPr>
      </w:pPr>
      <w:r>
        <w:rPr>
          <w:lang w:eastAsia="zh-CN"/>
        </w:rPr>
        <w:t>经电子钱包应用程序使用「数码港元」</w:t>
      </w:r>
    </w:p>
    <w:p w:rsidR="00400785" w:rsidRDefault="00DF339A">
      <w:pPr>
        <w:pStyle w:val="Compact"/>
        <w:numPr>
          <w:ilvl w:val="0"/>
          <w:numId w:val="3"/>
        </w:numPr>
        <w:rPr>
          <w:lang w:eastAsia="zh-CN"/>
        </w:rPr>
      </w:pPr>
      <w:r>
        <w:rPr>
          <w:lang w:eastAsia="zh-CN"/>
        </w:rPr>
        <w:t>研究网络安全事宜的「</w:t>
      </w:r>
      <w:r>
        <w:rPr>
          <w:lang w:eastAsia="zh-CN"/>
        </w:rPr>
        <w:t>Sela</w:t>
      </w:r>
      <w:r>
        <w:rPr>
          <w:lang w:eastAsia="zh-CN"/>
        </w:rPr>
        <w:t>」项目</w:t>
      </w:r>
      <w:hyperlink w:anchor="footnote-598-8">
        <w:r>
          <w:rPr>
            <w:vertAlign w:val="superscript"/>
            <w:lang w:eastAsia="zh-CN"/>
          </w:rPr>
          <w:t>8</w:t>
        </w:r>
      </w:hyperlink>
    </w:p>
    <w:p w:rsidR="00400785" w:rsidRDefault="00DF339A">
      <w:pPr>
        <w:pStyle w:val="Compact"/>
        <w:numPr>
          <w:ilvl w:val="0"/>
          <w:numId w:val="3"/>
        </w:numPr>
        <w:rPr>
          <w:lang w:eastAsia="zh-CN"/>
        </w:rPr>
      </w:pPr>
      <w:r>
        <w:rPr>
          <w:lang w:eastAsia="zh-CN"/>
        </w:rPr>
        <w:t>对私隐及系统性能进行深入的技术研究</w:t>
      </w:r>
    </w:p>
    <w:p w:rsidR="00400785" w:rsidRDefault="00DF339A">
      <w:pPr>
        <w:pStyle w:val="Compact"/>
        <w:numPr>
          <w:ilvl w:val="0"/>
          <w:numId w:val="3"/>
        </w:numPr>
        <w:rPr>
          <w:lang w:eastAsia="zh-CN"/>
        </w:rPr>
      </w:pPr>
      <w:r>
        <w:rPr>
          <w:lang w:eastAsia="zh-CN"/>
        </w:rPr>
        <w:t>代币化证券的货银两讫结算</w:t>
      </w:r>
    </w:p>
    <w:p w:rsidR="00400785" w:rsidRDefault="00DF339A">
      <w:pPr>
        <w:pStyle w:val="Compact"/>
        <w:numPr>
          <w:ilvl w:val="0"/>
          <w:numId w:val="3"/>
        </w:numPr>
        <w:rPr>
          <w:lang w:eastAsia="zh-CN"/>
        </w:rPr>
      </w:pPr>
      <w:r>
        <w:rPr>
          <w:lang w:eastAsia="zh-CN"/>
        </w:rPr>
        <w:t>就零售层面央行数码货币用例及设计选项与业界联系</w:t>
      </w:r>
    </w:p>
    <w:p w:rsidR="00400785" w:rsidRDefault="00DF339A">
      <w:pPr>
        <w:pStyle w:val="Compact"/>
        <w:numPr>
          <w:ilvl w:val="0"/>
          <w:numId w:val="3"/>
        </w:numPr>
        <w:rPr>
          <w:lang w:eastAsia="zh-CN"/>
        </w:rPr>
      </w:pPr>
      <w:r>
        <w:rPr>
          <w:lang w:eastAsia="zh-CN"/>
        </w:rPr>
        <w:t>制定规例以订明发行及使用「数码港元」的框架</w:t>
      </w:r>
    </w:p>
    <w:p w:rsidR="00400785" w:rsidRDefault="00DF339A">
      <w:pPr>
        <w:pStyle w:val="Compact"/>
        <w:numPr>
          <w:ilvl w:val="0"/>
          <w:numId w:val="3"/>
        </w:numPr>
        <w:rPr>
          <w:lang w:eastAsia="zh-CN"/>
        </w:rPr>
      </w:pPr>
      <w:r>
        <w:rPr>
          <w:lang w:eastAsia="zh-CN"/>
        </w:rPr>
        <w:t>研究央行数码货币应用于去中心化金融活动的利弊</w:t>
      </w:r>
    </w:p>
    <w:p w:rsidR="00400785" w:rsidRDefault="00DF339A">
      <w:pPr>
        <w:pStyle w:val="FirstParagraph"/>
        <w:rPr>
          <w:lang w:eastAsia="zh-CN"/>
        </w:rPr>
      </w:pPr>
      <w:r>
        <w:rPr>
          <w:lang w:eastAsia="zh-CN"/>
        </w:rPr>
        <w:t>第三轨道</w:t>
      </w:r>
      <w:r>
        <w:rPr>
          <w:lang w:eastAsia="zh-CN"/>
        </w:rPr>
        <w:t>—</w:t>
      </w:r>
      <w:r>
        <w:rPr>
          <w:lang w:eastAsia="zh-CN"/>
        </w:rPr>
        <w:t>推出「数码港元」</w:t>
      </w:r>
    </w:p>
    <w:p w:rsidR="00400785" w:rsidRDefault="00DF339A">
      <w:pPr>
        <w:pStyle w:val="BodyText"/>
        <w:rPr>
          <w:lang w:eastAsia="zh-CN"/>
        </w:rPr>
      </w:pPr>
      <w:r>
        <w:rPr>
          <w:lang w:eastAsia="zh-CN"/>
        </w:rPr>
        <w:t>第一轨道和第二轨道为未来推出「数码港元」奠定基础。第三轨道则关乎正式推出「数码港元」。金管局承认，由于仍有太多因素需要考虑，因此现时不会就第三轨道及推出「数码港元」订立一个时间表。第一轨道和第二轨道的实际进度以</w:t>
      </w:r>
      <w:r>
        <w:rPr>
          <w:lang w:eastAsia="zh-CN"/>
        </w:rPr>
        <w:t>及本地及国际市场的相关发展步伐皆影响时间表的订立。但是金管局相信第一及第二轨道的工作将会有助我们迅速回应新兴的市场需求，并能在合理时间内迅速启动第三轨道的工作。金管局会特别留意市场最新趋势及国际发展，以便未来推出「数码港元」。</w:t>
      </w:r>
    </w:p>
    <w:p w:rsidR="00400785" w:rsidRDefault="00DF339A">
      <w:pPr>
        <w:pStyle w:val="BodyText"/>
        <w:rPr>
          <w:lang w:eastAsia="zh-CN"/>
        </w:rPr>
      </w:pPr>
      <w:hyperlink w:anchor="footnote-598-1-backlink">
        <w:r>
          <w:rPr>
            <w:lang w:eastAsia="zh-CN"/>
          </w:rPr>
          <w:t>1</w:t>
        </w:r>
      </w:hyperlink>
      <w:r>
        <w:rPr>
          <w:lang w:eastAsia="zh-CN"/>
        </w:rPr>
        <w:t xml:space="preserve"> </w:t>
      </w:r>
      <w:r>
        <w:rPr>
          <w:lang w:eastAsia="zh-CN"/>
        </w:rPr>
        <w:t>央行数码货币是央行发行的数码货币，由央行发行而非商业银行或私营金融机构发行。</w:t>
      </w:r>
    </w:p>
    <w:p w:rsidR="00400785" w:rsidRDefault="00DF339A">
      <w:pPr>
        <w:pStyle w:val="BodyText"/>
        <w:rPr>
          <w:lang w:eastAsia="zh-CN"/>
        </w:rPr>
      </w:pPr>
      <w:hyperlink w:anchor="footnote-598-2-backlink">
        <w:r>
          <w:rPr>
            <w:lang w:eastAsia="zh-CN"/>
          </w:rPr>
          <w:t>2</w:t>
        </w:r>
      </w:hyperlink>
      <w:r>
        <w:rPr>
          <w:lang w:eastAsia="zh-CN"/>
        </w:rPr>
        <w:t xml:space="preserve"> </w:t>
      </w:r>
      <w:r>
        <w:rPr>
          <w:lang w:eastAsia="zh-CN"/>
        </w:rPr>
        <w:t>「</w:t>
      </w:r>
      <w:r>
        <w:rPr>
          <w:lang w:eastAsia="zh-CN"/>
        </w:rPr>
        <w:t>LionRo</w:t>
      </w:r>
      <w:r>
        <w:rPr>
          <w:lang w:eastAsia="zh-CN"/>
        </w:rPr>
        <w:t>ck</w:t>
      </w:r>
      <w:r>
        <w:rPr>
          <w:lang w:eastAsia="zh-CN"/>
        </w:rPr>
        <w:t>」项目由金管局与三间发钞银行（香港上海滙丰银行有限公司、中国银行（香港）有限公司及渣打银行（香港）有限公司）及香港银行同业结算有限公司合作进行。</w:t>
      </w:r>
    </w:p>
    <w:p w:rsidR="00400785" w:rsidRDefault="00DF339A">
      <w:pPr>
        <w:pStyle w:val="BodyText"/>
        <w:rPr>
          <w:lang w:eastAsia="zh-CN"/>
        </w:rPr>
      </w:pPr>
      <w:hyperlink w:anchor="footnote-598-3-backlink">
        <w:r>
          <w:rPr>
            <w:lang w:eastAsia="zh-CN"/>
          </w:rPr>
          <w:t>3</w:t>
        </w:r>
      </w:hyperlink>
      <w:r>
        <w:rPr>
          <w:lang w:eastAsia="zh-CN"/>
        </w:rPr>
        <w:t xml:space="preserve"> </w:t>
      </w:r>
      <w:r>
        <w:rPr>
          <w:lang w:eastAsia="zh-CN"/>
        </w:rPr>
        <w:t>批发层面央行数码货币拟用于银行同业大额支付的结算或为新基建中的数码代币化金融资产交易提供央行货币。</w:t>
      </w:r>
    </w:p>
    <w:p w:rsidR="00400785" w:rsidRDefault="00DF339A">
      <w:pPr>
        <w:pStyle w:val="BodyText"/>
        <w:rPr>
          <w:lang w:eastAsia="zh-CN"/>
        </w:rPr>
      </w:pPr>
      <w:hyperlink w:anchor="footnote-598-4-backlink">
        <w:r>
          <w:rPr>
            <w:lang w:eastAsia="zh-CN"/>
          </w:rPr>
          <w:t>4</w:t>
        </w:r>
      </w:hyperlink>
      <w:r>
        <w:rPr>
          <w:lang w:eastAsia="zh-CN"/>
        </w:rPr>
        <w:t xml:space="preserve"> </w:t>
      </w:r>
      <w:r>
        <w:rPr>
          <w:lang w:eastAsia="zh-CN"/>
        </w:rPr>
        <w:t>零售层面央行数码货币，又称「一般用途」央行数码货币，拟供公众使用。就香</w:t>
      </w:r>
      <w:r>
        <w:rPr>
          <w:lang w:eastAsia="zh-CN"/>
        </w:rPr>
        <w:t>港情况而言，零售层面央行数码货币可成为数码版法定货币，拟作为流通货币使用，并可获赋予法定货币地位。</w:t>
      </w:r>
    </w:p>
    <w:p w:rsidR="00400785" w:rsidRDefault="00DF339A">
      <w:pPr>
        <w:pStyle w:val="BodyText"/>
      </w:pPr>
      <w:hyperlink w:anchor="footnote-598-5-backlink">
        <w:r>
          <w:t>5</w:t>
        </w:r>
      </w:hyperlink>
      <w:r>
        <w:t xml:space="preserve"> </w:t>
      </w:r>
      <w:r>
        <w:t>该技术白皮书可在金管局的网站上找到，访问</w:t>
      </w:r>
      <w:hyperlink r:id="rId10">
        <w:r>
          <w:t>https:</w:t>
        </w:r>
        <w:r>
          <w:t>//www.hkma.gov.hk/media/eng/doc/key-functions/financial-infrastructure/eHKD_A_technical_perspective.pdf</w:t>
        </w:r>
      </w:hyperlink>
    </w:p>
    <w:p w:rsidR="00400785" w:rsidRDefault="00DF339A">
      <w:pPr>
        <w:pStyle w:val="BodyText"/>
      </w:pPr>
      <w:hyperlink w:anchor="footnote-598-6-backlink">
        <w:r>
          <w:t>6</w:t>
        </w:r>
      </w:hyperlink>
      <w:r>
        <w:t xml:space="preserve"> </w:t>
      </w:r>
      <w:r>
        <w:t>讨论文件可在金管局的网站上找到，访问</w:t>
      </w:r>
      <w:hyperlink r:id="rId11">
        <w:r>
          <w:t>https://www.hkma.gov.hk/media/eng/doc/key-functions/financial-infrastructure/eHKD_A_Policy_and_Design_Perspective.pdf</w:t>
        </w:r>
      </w:hyperlink>
    </w:p>
    <w:p w:rsidR="00400785" w:rsidRDefault="00DF339A">
      <w:pPr>
        <w:pStyle w:val="BodyText"/>
        <w:rPr>
          <w:lang w:eastAsia="zh-CN"/>
        </w:rPr>
      </w:pPr>
      <w:hyperlink w:anchor="footnote-598-7-backlink">
        <w:r>
          <w:t>7</w:t>
        </w:r>
      </w:hyperlink>
      <w:r>
        <w:t xml:space="preserve"> osse, A and I Mattei (2022)</w:t>
      </w:r>
      <w:r>
        <w:t>：《增强发展动力</w:t>
      </w:r>
      <w:r>
        <w:t>—</w:t>
      </w:r>
      <w:r>
        <w:t>国际结</w:t>
      </w:r>
      <w:r>
        <w:t>算银行</w:t>
      </w:r>
      <w:r>
        <w:t>2021</w:t>
      </w:r>
      <w:r>
        <w:t>年央行数码货币调查结</w:t>
      </w:r>
      <w:r>
        <w:t xml:space="preserve"> </w:t>
      </w:r>
      <w:r>
        <w:t>果》，国际结算银行文件，第</w:t>
      </w:r>
      <w:r>
        <w:t>125</w:t>
      </w:r>
      <w:r>
        <w:t>号，</w:t>
      </w:r>
      <w:r>
        <w:t>5</w:t>
      </w:r>
      <w:r>
        <w:t>月。</w:t>
      </w:r>
      <w:hyperlink r:id="rId12">
        <w:r>
          <w:t>https://www.bis.org/publ/bppdf/bispap125.pdf</w:t>
        </w:r>
      </w:hyperlink>
      <w:r>
        <w:t>。</w:t>
      </w:r>
      <w:r>
        <w:rPr>
          <w:lang w:eastAsia="zh-CN"/>
        </w:rPr>
        <w:t>零售层面央行数码货币的推出主要是由金融包容性、竞争和支付系统的运营弹性推动的，这些在香港的相关性不大。</w:t>
      </w:r>
    </w:p>
    <w:p w:rsidR="00400785" w:rsidRDefault="00DF339A">
      <w:pPr>
        <w:pStyle w:val="BodyText"/>
        <w:rPr>
          <w:lang w:eastAsia="zh-CN"/>
        </w:rPr>
      </w:pPr>
      <w:hyperlink w:anchor="footnote-598-8-backlink">
        <w:r>
          <w:rPr>
            <w:lang w:eastAsia="zh-CN"/>
          </w:rPr>
          <w:t>8</w:t>
        </w:r>
      </w:hyperlink>
      <w:r>
        <w:rPr>
          <w:lang w:eastAsia="zh-CN"/>
        </w:rPr>
        <w:t xml:space="preserve"> </w:t>
      </w:r>
      <w:r>
        <w:rPr>
          <w:lang w:eastAsia="zh-CN"/>
        </w:rPr>
        <w:t>「</w:t>
      </w:r>
      <w:r>
        <w:rPr>
          <w:lang w:eastAsia="zh-CN"/>
        </w:rPr>
        <w:t>Sela</w:t>
      </w:r>
      <w:r>
        <w:rPr>
          <w:lang w:eastAsia="zh-CN"/>
        </w:rPr>
        <w:t>」项目</w:t>
      </w:r>
      <w:r>
        <w:rPr>
          <w:lang w:eastAsia="zh-CN"/>
        </w:rPr>
        <w:t>由金管局、以色列银行及国际结算银行创新枢纽辖下香港中心联合进行，将会研究零售层面央行数码货币的网络安全事宜。具体而言，此项目将研究两层零售层面央行数码货币结构的数据安全影响，而该结构能确保中介人不会在相关过程中接触到央行数码货币。此外，项目会提出崭新方法，使结构能更有效抵御网络攻击。</w:t>
      </w:r>
    </w:p>
    <w:p w:rsidR="00400785" w:rsidRDefault="00DF339A">
      <w:pPr>
        <w:pStyle w:val="DisclaimerBold"/>
        <w:rPr>
          <w:lang w:eastAsia="zh-CN"/>
        </w:rPr>
      </w:pPr>
      <w:r>
        <w:rPr>
          <w:lang w:eastAsia="zh-CN"/>
        </w:rPr>
        <w:t>此法讯仅为提供相关资料信息之用，其内容并</w:t>
      </w:r>
    </w:p>
    <w:p w:rsidR="00400785" w:rsidRDefault="00DF339A">
      <w:pPr>
        <w:pStyle w:val="Disclaimer"/>
        <w:rPr>
          <w:lang w:eastAsia="zh-CN"/>
        </w:rPr>
      </w:pPr>
      <w:r>
        <w:rPr>
          <w:lang w:eastAsia="zh-CN"/>
        </w:rPr>
        <w:t>不构成法律建议及个案的法律分析。</w:t>
      </w:r>
    </w:p>
    <w:p w:rsidR="00400785" w:rsidRDefault="00DF339A">
      <w:pPr>
        <w:pStyle w:val="Disclaimer"/>
        <w:rPr>
          <w:lang w:eastAsia="zh-CN"/>
        </w:rPr>
      </w:pPr>
      <w:r>
        <w:rPr>
          <w:lang w:eastAsia="zh-CN"/>
        </w:rPr>
        <w:t>此法讯的发送并不是为了在易周律师行与用户或浏览者之间建立一种律师与客户之关系。</w:t>
      </w:r>
    </w:p>
    <w:p w:rsidR="00400785" w:rsidRDefault="00DF339A">
      <w:pPr>
        <w:pStyle w:val="Disclaimer"/>
        <w:rPr>
          <w:lang w:eastAsia="zh-CN"/>
        </w:rPr>
      </w:pPr>
      <w:r>
        <w:rPr>
          <w:lang w:eastAsia="zh-CN"/>
        </w:rPr>
        <w:t>易周律师行并不对可从互联网获得的任何第三方内容负责。</w:t>
      </w:r>
    </w:p>
    <w:p w:rsidR="00400785" w:rsidRDefault="00DF339A">
      <w:pPr>
        <w:pStyle w:val="Disclaimer"/>
        <w:rPr>
          <w:lang w:eastAsia="zh-CN"/>
        </w:rPr>
      </w:pPr>
      <w:r>
        <w:rPr>
          <w:lang w:eastAsia="zh-CN"/>
        </w:rPr>
        <w:t>如你不希望再收到</w:t>
      </w:r>
      <w:r>
        <w:rPr>
          <w:lang w:eastAsia="zh-CN"/>
        </w:rPr>
        <w:t>易周法讯，请发送电邮至</w:t>
      </w:r>
      <w:r>
        <w:rPr>
          <w:lang w:eastAsia="zh-CN"/>
        </w:rPr>
        <w:t xml:space="preserve">  </w:t>
      </w:r>
      <w:hyperlink r:id="rId13">
        <w:r>
          <w:rPr>
            <w:lang w:eastAsia="zh-CN"/>
          </w:rPr>
          <w:t>unsubscribe@charltonslaw.com</w:t>
        </w:r>
      </w:hyperlink>
    </w:p>
    <w:p w:rsidR="00400785" w:rsidRDefault="00DF339A">
      <w:pPr>
        <w:pStyle w:val="BlackStrips"/>
      </w:pPr>
      <w:r>
        <w:t xml:space="preserve">Charltons - </w:t>
      </w:r>
      <w:r>
        <w:t>香港法律</w:t>
      </w:r>
      <w:r>
        <w:t xml:space="preserve"> - 2023</w:t>
      </w:r>
      <w:r>
        <w:t>年</w:t>
      </w:r>
      <w:r>
        <w:t>5</w:t>
      </w:r>
      <w:r>
        <w:t>月</w:t>
      </w:r>
      <w:r>
        <w:t>17</w:t>
      </w:r>
      <w:r>
        <w:t>日</w:t>
      </w:r>
    </w:p>
    <w:sectPr w:rsidR="0040078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339A">
      <w:pPr>
        <w:spacing w:after="0"/>
      </w:pPr>
      <w:r>
        <w:separator/>
      </w:r>
    </w:p>
  </w:endnote>
  <w:endnote w:type="continuationSeparator" w:id="0">
    <w:p w:rsidR="00000000" w:rsidRDefault="00DF3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785" w:rsidRDefault="00DF339A">
      <w:r>
        <w:separator/>
      </w:r>
    </w:p>
  </w:footnote>
  <w:footnote w:type="continuationSeparator" w:id="0">
    <w:p w:rsidR="00400785" w:rsidRDefault="00DF3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63EB2E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B8EEC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5BC671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00785"/>
    <w:rsid w:val="004E29B3"/>
    <w:rsid w:val="00590D07"/>
    <w:rsid w:val="00784D58"/>
    <w:rsid w:val="008D6863"/>
    <w:rsid w:val="00B86B75"/>
    <w:rsid w:val="00BC48D5"/>
    <w:rsid w:val="00C36279"/>
    <w:rsid w:val="00DF339A"/>
    <w:rsid w:val="00E315A3"/>
    <w:rsid w:val="00EA4F0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E45B"/>
  <w15:docId w15:val="{A0D7B3F1-A281-4C86-A075-7107F477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chi/doc/key-information/press-release/2022/20220920c4a1.pdf"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jin-rong-guan-li-ju-fa-biao-shu-ma-gang-yuan-zheng-ce-li-chang-wen-jian" TargetMode="External"/><Relationship Id="rId12" Type="http://schemas.openxmlformats.org/officeDocument/2006/relationships/hyperlink" Target="https://www.bis.org/publ/bppdf/bispap1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ma.gov.hk/media/eng/doc/key-functions/financial-infrastructure/eHKD_A_Policy_and_Design_Perspectiv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kma.gov.hk/media/eng/doc/key-functions/financial-infrastructure/eHKD_A_technical_perspective.pdf%2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795</Words>
  <Characters>4534</Characters>
  <Application>Microsoft Office Word</Application>
  <DocSecurity>0</DocSecurity>
  <Lines>37</Lines>
  <Paragraphs>10</Paragraphs>
  <ScaleCrop>false</ScaleCrop>
  <Company>Charltons</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2023-05-17T08:24:00Z</dcterms:created>
  <dcterms:modified xsi:type="dcterms:W3CDTF">2023-05-17T08:36:00Z</dcterms:modified>
</cp:coreProperties>
</file>