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6F0" w:rsidRDefault="00C577C6">
      <w:pPr>
        <w:pStyle w:val="BlackStrips"/>
      </w:pPr>
      <w:r>
        <w:t xml:space="preserve">Charltons - </w:t>
      </w:r>
      <w:r>
        <w:t>香港法律</w:t>
      </w:r>
      <w:r>
        <w:t xml:space="preserve"> - 2023</w:t>
      </w:r>
      <w:r>
        <w:t>年</w:t>
      </w:r>
      <w:r>
        <w:t>6</w:t>
      </w:r>
      <w:r>
        <w:t>月</w:t>
      </w:r>
      <w:r>
        <w:t>5</w:t>
      </w:r>
      <w:r>
        <w:t>日</w:t>
      </w:r>
    </w:p>
    <w:p w:rsidR="003776F0" w:rsidRDefault="00C577C6">
      <w:pPr>
        <w:pStyle w:val="ReadOnline"/>
        <w:rPr>
          <w:lang w:eastAsia="zh-CN"/>
        </w:rPr>
      </w:pPr>
      <w:hyperlink r:id="rId7">
        <w:r>
          <w:rPr>
            <w:lang w:eastAsia="zh-CN"/>
          </w:rPr>
          <w:t>online version</w:t>
        </w:r>
      </w:hyperlink>
    </w:p>
    <w:p w:rsidR="003776F0" w:rsidRDefault="00C577C6">
      <w:pPr>
        <w:pStyle w:val="Title"/>
        <w:rPr>
          <w:lang w:eastAsia="zh-CN"/>
        </w:rPr>
      </w:pPr>
      <w:r>
        <w:rPr>
          <w:lang w:eastAsia="zh-CN"/>
        </w:rPr>
        <w:t>香港交易所就特专科技公司上市制度发出谘询</w:t>
      </w:r>
    </w:p>
    <w:p w:rsidR="003776F0" w:rsidRDefault="00C577C6">
      <w:pPr>
        <w:pStyle w:val="FirstParagraph"/>
        <w:rPr>
          <w:lang w:eastAsia="zh-CN"/>
        </w:rPr>
      </w:pPr>
      <w:r>
        <w:rPr>
          <w:lang w:eastAsia="zh-CN"/>
        </w:rPr>
        <w:t>香港联合交易所（</w:t>
      </w:r>
      <w:r>
        <w:rPr>
          <w:lang w:eastAsia="zh-CN"/>
        </w:rPr>
        <w:t>“</w:t>
      </w:r>
      <w:r>
        <w:rPr>
          <w:b/>
          <w:lang w:eastAsia="zh-CN"/>
        </w:rPr>
        <w:t>交易所</w:t>
      </w:r>
      <w:r>
        <w:rPr>
          <w:lang w:eastAsia="zh-CN"/>
        </w:rPr>
        <w:t>”</w:t>
      </w:r>
      <w:r>
        <w:rPr>
          <w:lang w:eastAsia="zh-CN"/>
        </w:rPr>
        <w:t>）就特专科技公司在主板上市的新制度发出谘询文件，征询市场对交易所《上市规则》拟议修订的意见。谘询期将于</w:t>
      </w:r>
      <w:r>
        <w:rPr>
          <w:lang w:eastAsia="zh-CN"/>
        </w:rPr>
        <w:t>2022</w:t>
      </w:r>
      <w:r>
        <w:rPr>
          <w:lang w:eastAsia="zh-CN"/>
        </w:rPr>
        <w:t>年</w:t>
      </w:r>
      <w:r>
        <w:rPr>
          <w:lang w:eastAsia="zh-CN"/>
        </w:rPr>
        <w:t>12</w:t>
      </w:r>
      <w:r>
        <w:rPr>
          <w:lang w:eastAsia="zh-CN"/>
        </w:rPr>
        <w:t>月</w:t>
      </w:r>
      <w:r>
        <w:rPr>
          <w:lang w:eastAsia="zh-CN"/>
        </w:rPr>
        <w:t>18</w:t>
      </w:r>
      <w:r>
        <w:rPr>
          <w:lang w:eastAsia="zh-CN"/>
        </w:rPr>
        <w:t>日结束。</w:t>
      </w:r>
    </w:p>
    <w:p w:rsidR="003776F0" w:rsidRDefault="00C577C6">
      <w:pPr>
        <w:pStyle w:val="BodyText"/>
        <w:rPr>
          <w:lang w:eastAsia="zh-CN"/>
        </w:rPr>
      </w:pPr>
      <w:hyperlink r:id="rId8">
        <w:r>
          <w:rPr>
            <w:lang w:eastAsia="zh-CN"/>
          </w:rPr>
          <w:t>谘询文件</w:t>
        </w:r>
      </w:hyperlink>
      <w:r>
        <w:rPr>
          <w:lang w:eastAsia="zh-CN"/>
        </w:rPr>
        <w:t>载于香港交易所网站。</w:t>
      </w:r>
    </w:p>
    <w:p w:rsidR="003776F0" w:rsidRDefault="00C577C6">
      <w:pPr>
        <w:pStyle w:val="BodyText"/>
        <w:rPr>
          <w:lang w:eastAsia="zh-CN"/>
        </w:rPr>
      </w:pPr>
      <w:r>
        <w:rPr>
          <w:lang w:eastAsia="zh-CN"/>
        </w:rPr>
        <w:t>交易</w:t>
      </w:r>
      <w:r>
        <w:rPr>
          <w:lang w:eastAsia="zh-CN"/>
        </w:rPr>
        <w:t>所关于特专科技公司发布的新上市制度</w:t>
      </w:r>
    </w:p>
    <w:p w:rsidR="003776F0" w:rsidRDefault="00C577C6">
      <w:pPr>
        <w:pStyle w:val="BodyText"/>
        <w:rPr>
          <w:lang w:eastAsia="zh-CN"/>
        </w:rPr>
      </w:pPr>
      <w:r>
        <w:rPr>
          <w:lang w:eastAsia="zh-CN"/>
        </w:rPr>
        <w:t>交易所</w:t>
      </w:r>
      <w:r>
        <w:rPr>
          <w:lang w:eastAsia="zh-CN"/>
        </w:rPr>
        <w:t>2018</w:t>
      </w:r>
      <w:r>
        <w:rPr>
          <w:lang w:eastAsia="zh-CN"/>
        </w:rPr>
        <w:t>上市改革使其能够成功地将香港股市多元化，扩展至医疗保健和资讯科技行业。截至</w:t>
      </w:r>
      <w:r>
        <w:rPr>
          <w:lang w:eastAsia="zh-CN"/>
        </w:rPr>
        <w:t>2021</w:t>
      </w:r>
      <w:r>
        <w:rPr>
          <w:lang w:eastAsia="zh-CN"/>
        </w:rPr>
        <w:t>年</w:t>
      </w:r>
      <w:r>
        <w:rPr>
          <w:lang w:eastAsia="zh-CN"/>
        </w:rPr>
        <w:t>12</w:t>
      </w:r>
      <w:r>
        <w:rPr>
          <w:lang w:eastAsia="zh-CN"/>
        </w:rPr>
        <w:t>月</w:t>
      </w:r>
      <w:r>
        <w:rPr>
          <w:lang w:eastAsia="zh-CN"/>
        </w:rPr>
        <w:t>31</w:t>
      </w:r>
      <w:r>
        <w:rPr>
          <w:lang w:eastAsia="zh-CN"/>
        </w:rPr>
        <w:t>日，资讯科技业占香港市场总市值的</w:t>
      </w:r>
      <w:r>
        <w:rPr>
          <w:lang w:eastAsia="zh-CN"/>
        </w:rPr>
        <w:t>30%</w:t>
      </w:r>
      <w:r>
        <w:rPr>
          <w:lang w:eastAsia="zh-CN"/>
        </w:rPr>
        <w:t>，高于</w:t>
      </w:r>
      <w:r>
        <w:rPr>
          <w:lang w:eastAsia="zh-CN"/>
        </w:rPr>
        <w:t>2018</w:t>
      </w:r>
      <w:r>
        <w:rPr>
          <w:lang w:eastAsia="zh-CN"/>
        </w:rPr>
        <w:t>年之前的</w:t>
      </w:r>
      <w:r>
        <w:rPr>
          <w:lang w:eastAsia="zh-CN"/>
        </w:rPr>
        <w:t>15%</w:t>
      </w:r>
      <w:r>
        <w:rPr>
          <w:lang w:eastAsia="zh-CN"/>
        </w:rPr>
        <w:t>；医疗行业目前占总市值的</w:t>
      </w:r>
      <w:r>
        <w:rPr>
          <w:lang w:eastAsia="zh-CN"/>
        </w:rPr>
        <w:t>7%</w:t>
      </w:r>
      <w:r>
        <w:rPr>
          <w:lang w:eastAsia="zh-CN"/>
        </w:rPr>
        <w:t>，而</w:t>
      </w:r>
      <w:r>
        <w:rPr>
          <w:lang w:eastAsia="zh-CN"/>
        </w:rPr>
        <w:t>2018</w:t>
      </w:r>
      <w:r>
        <w:rPr>
          <w:lang w:eastAsia="zh-CN"/>
        </w:rPr>
        <w:t>年之前的比例可忽略不计。</w:t>
      </w:r>
    </w:p>
    <w:p w:rsidR="003776F0" w:rsidRDefault="00C577C6">
      <w:pPr>
        <w:pStyle w:val="BodyText"/>
        <w:rPr>
          <w:lang w:eastAsia="zh-CN"/>
        </w:rPr>
      </w:pPr>
      <w:r>
        <w:rPr>
          <w:lang w:eastAsia="zh-CN"/>
        </w:rPr>
        <w:t>不过，交易所指出，香港在五个特专科技行业的上市公司数量和市值方面，仍落后于美国和中国内地市场，为新一代信息技术；先进硬件；先进材料；新能源及节能环保；以及新食品及农业技术。截至</w:t>
      </w:r>
      <w:r>
        <w:rPr>
          <w:lang w:eastAsia="zh-CN"/>
        </w:rPr>
        <w:t>2022</w:t>
      </w:r>
      <w:r>
        <w:rPr>
          <w:lang w:eastAsia="zh-CN"/>
        </w:rPr>
        <w:t>年</w:t>
      </w:r>
      <w:r>
        <w:rPr>
          <w:lang w:eastAsia="zh-CN"/>
        </w:rPr>
        <w:t>9</w:t>
      </w:r>
      <w:r>
        <w:rPr>
          <w:lang w:eastAsia="zh-CN"/>
        </w:rPr>
        <w:t>月，在美国和中国内地上市的特专科技公司的市值分别</w:t>
      </w:r>
      <w:r>
        <w:rPr>
          <w:lang w:eastAsia="zh-CN"/>
        </w:rPr>
        <w:t>为</w:t>
      </w:r>
      <w:r>
        <w:rPr>
          <w:lang w:eastAsia="zh-CN"/>
        </w:rPr>
        <w:t>85.4</w:t>
      </w:r>
      <w:r>
        <w:rPr>
          <w:lang w:eastAsia="zh-CN"/>
        </w:rPr>
        <w:t>万亿港元和</w:t>
      </w:r>
      <w:r>
        <w:rPr>
          <w:lang w:eastAsia="zh-CN"/>
        </w:rPr>
        <w:t>15.3</w:t>
      </w:r>
      <w:r>
        <w:rPr>
          <w:lang w:eastAsia="zh-CN"/>
        </w:rPr>
        <w:t>万亿港元，而在香港上市的特专科技公司的市值仅为</w:t>
      </w:r>
      <w:r>
        <w:rPr>
          <w:lang w:eastAsia="zh-CN"/>
        </w:rPr>
        <w:t>3</w:t>
      </w:r>
      <w:r>
        <w:rPr>
          <w:lang w:eastAsia="zh-CN"/>
        </w:rPr>
        <w:t>万亿港元。</w:t>
      </w:r>
    </w:p>
    <w:p w:rsidR="003776F0" w:rsidRDefault="00C577C6">
      <w:pPr>
        <w:pStyle w:val="BodyText"/>
        <w:rPr>
          <w:lang w:eastAsia="zh-CN"/>
        </w:rPr>
      </w:pPr>
      <w:r>
        <w:rPr>
          <w:lang w:eastAsia="zh-CN"/>
        </w:rPr>
        <w:t>特专科技公司在通过交易所的上市财务资格测试方面面临困难。虽然有些公司的估值远高于上市的最低市值门槛，但它们通常无法满足营收或现金流的要求。在交易所分析的</w:t>
      </w:r>
      <w:r>
        <w:rPr>
          <w:lang w:eastAsia="zh-CN"/>
        </w:rPr>
        <w:t>507</w:t>
      </w:r>
      <w:r>
        <w:rPr>
          <w:lang w:eastAsia="zh-CN"/>
        </w:rPr>
        <w:t>家在美国和中国内地上市的特专科技公司中，有</w:t>
      </w:r>
      <w:r>
        <w:rPr>
          <w:lang w:eastAsia="zh-CN"/>
        </w:rPr>
        <w:t>42%</w:t>
      </w:r>
      <w:r>
        <w:rPr>
          <w:lang w:eastAsia="zh-CN"/>
        </w:rPr>
        <w:t>不符合主板的财务资格测试，尽管其中许多公司具有很高的增长潜力。交易所指出，特专科技公司面临的主要挑战是将产品或服务商业化的研发成本高昂，以及商业模式需要更多时间来获得客户。交易所由此得出结论，其财务资格测试并不适合特专</w:t>
      </w:r>
      <w:r>
        <w:rPr>
          <w:lang w:eastAsia="zh-CN"/>
        </w:rPr>
        <w:t>科技公司上市。</w:t>
      </w:r>
    </w:p>
    <w:p w:rsidR="003776F0" w:rsidRDefault="00C577C6">
      <w:pPr>
        <w:pStyle w:val="BodyText"/>
        <w:rPr>
          <w:lang w:eastAsia="zh-CN"/>
        </w:rPr>
      </w:pPr>
      <w:r>
        <w:rPr>
          <w:lang w:eastAsia="zh-CN"/>
        </w:rPr>
        <w:t>交易所与市场参与者的讨论表明，特专科技公司的高增长潜力意味着，投资者可能对它们在香港上市有强烈的兴趣。因此，交易所建议为特专科技公司设立新的上市制度，除订定其他资格准则外，亦可解决特专科技公司公司在商业发展前阶段所面临的各种风险。</w:t>
      </w:r>
    </w:p>
    <w:p w:rsidR="003776F0" w:rsidRDefault="00C577C6">
      <w:pPr>
        <w:pStyle w:val="BodyText"/>
        <w:rPr>
          <w:lang w:eastAsia="zh-CN"/>
        </w:rPr>
      </w:pPr>
      <w:r>
        <w:rPr>
          <w:lang w:eastAsia="zh-CN"/>
        </w:rPr>
        <w:t>特专科技公司定义</w:t>
      </w:r>
    </w:p>
    <w:p w:rsidR="003776F0" w:rsidRDefault="00C577C6">
      <w:pPr>
        <w:pStyle w:val="BodyText"/>
        <w:rPr>
          <w:lang w:eastAsia="zh-CN"/>
        </w:rPr>
      </w:pPr>
      <w:r>
        <w:rPr>
          <w:lang w:eastAsia="zh-CN"/>
        </w:rPr>
        <w:t>鉴于制订一个详尽的</w:t>
      </w:r>
      <w:r>
        <w:rPr>
          <w:lang w:eastAsia="zh-CN"/>
        </w:rPr>
        <w:t>“</w:t>
      </w:r>
      <w:r>
        <w:rPr>
          <w:lang w:eastAsia="zh-CN"/>
        </w:rPr>
        <w:t>特专科技</w:t>
      </w:r>
      <w:r>
        <w:rPr>
          <w:lang w:eastAsia="zh-CN"/>
        </w:rPr>
        <w:t>”</w:t>
      </w:r>
      <w:r>
        <w:rPr>
          <w:lang w:eastAsia="zh-CN"/>
        </w:rPr>
        <w:t>定义，既要保持最新，又要识别增长潜力强大的公司有难度，香港交易所建议在香港交易所《上市规则》中采用一个宽泛的定义，并就属于该定义的行业及界别发出指引信。</w:t>
      </w:r>
    </w:p>
    <w:p w:rsidR="003776F0" w:rsidRDefault="00C577C6">
      <w:pPr>
        <w:pStyle w:val="BodyText"/>
        <w:rPr>
          <w:lang w:eastAsia="zh-CN"/>
        </w:rPr>
      </w:pPr>
      <w:r>
        <w:rPr>
          <w:lang w:eastAsia="zh-CN"/>
        </w:rPr>
        <w:t>根据拟议制度，为合资格上市，上市申请人必须是特专科技公司，而特</w:t>
      </w:r>
      <w:r>
        <w:rPr>
          <w:lang w:eastAsia="zh-CN"/>
        </w:rPr>
        <w:t>专科技公司的定义是</w:t>
      </w:r>
      <w:r>
        <w:rPr>
          <w:lang w:eastAsia="zh-CN"/>
        </w:rPr>
        <w:t>“</w:t>
      </w:r>
      <w:r>
        <w:rPr>
          <w:lang w:eastAsia="zh-CN"/>
        </w:rPr>
        <w:t>在特专科技业可接受的界别范围内，主要从事（直接或透过附属公司）特专科技产品的研究、发展、商业化及</w:t>
      </w:r>
      <w:r>
        <w:rPr>
          <w:lang w:eastAsia="zh-CN"/>
        </w:rPr>
        <w:t>/</w:t>
      </w:r>
      <w:r>
        <w:rPr>
          <w:lang w:eastAsia="zh-CN"/>
        </w:rPr>
        <w:t>或销售的公司</w:t>
      </w:r>
      <w:r>
        <w:rPr>
          <w:lang w:eastAsia="zh-CN"/>
        </w:rPr>
        <w:t>”</w:t>
      </w:r>
      <w:r>
        <w:rPr>
          <w:lang w:eastAsia="zh-CN"/>
        </w:rPr>
        <w:t>。</w:t>
      </w:r>
    </w:p>
    <w:p w:rsidR="003776F0" w:rsidRDefault="00C577C6">
      <w:pPr>
        <w:pStyle w:val="BodyText"/>
        <w:rPr>
          <w:lang w:eastAsia="zh-CN"/>
        </w:rPr>
      </w:pPr>
      <w:r>
        <w:rPr>
          <w:lang w:eastAsia="zh-CN"/>
        </w:rPr>
        <w:t>特专科技产品</w:t>
      </w:r>
    </w:p>
    <w:p w:rsidR="003776F0" w:rsidRDefault="00C577C6">
      <w:pPr>
        <w:pStyle w:val="BodyText"/>
        <w:rPr>
          <w:lang w:eastAsia="zh-CN"/>
        </w:rPr>
      </w:pPr>
      <w:r>
        <w:rPr>
          <w:lang w:eastAsia="zh-CN"/>
        </w:rPr>
        <w:t>特专科技产品将被定义为</w:t>
      </w:r>
      <w:r>
        <w:rPr>
          <w:lang w:eastAsia="zh-CN"/>
        </w:rPr>
        <w:t>“</w:t>
      </w:r>
      <w:r>
        <w:rPr>
          <w:lang w:eastAsia="zh-CN"/>
        </w:rPr>
        <w:t>应用于特专科技的产品和</w:t>
      </w:r>
      <w:r>
        <w:rPr>
          <w:lang w:eastAsia="zh-CN"/>
        </w:rPr>
        <w:t>/</w:t>
      </w:r>
      <w:r>
        <w:rPr>
          <w:lang w:eastAsia="zh-CN"/>
        </w:rPr>
        <w:t>或服务（单独或与其他产品或服务一起）</w:t>
      </w:r>
      <w:r>
        <w:rPr>
          <w:lang w:eastAsia="zh-CN"/>
        </w:rPr>
        <w:t>”</w:t>
      </w:r>
      <w:r>
        <w:rPr>
          <w:lang w:eastAsia="zh-CN"/>
        </w:rPr>
        <w:t>。</w:t>
      </w:r>
    </w:p>
    <w:p w:rsidR="003776F0" w:rsidRDefault="00C577C6">
      <w:pPr>
        <w:pStyle w:val="BodyText"/>
        <w:rPr>
          <w:lang w:eastAsia="zh-CN"/>
        </w:rPr>
      </w:pPr>
      <w:r>
        <w:rPr>
          <w:lang w:eastAsia="zh-CN"/>
        </w:rPr>
        <w:t>特专科技行业及领域</w:t>
      </w:r>
    </w:p>
    <w:p w:rsidR="003776F0" w:rsidRDefault="00C577C6">
      <w:pPr>
        <w:pStyle w:val="BodyText"/>
        <w:rPr>
          <w:lang w:eastAsia="zh-CN"/>
        </w:rPr>
      </w:pPr>
      <w:r>
        <w:rPr>
          <w:lang w:eastAsia="zh-CN"/>
        </w:rPr>
        <w:t>特专科技行业及可接纳领域列于指引信拟稿（见谘询文件附录五），并包括（除其他外）：</w:t>
      </w:r>
    </w:p>
    <w:p w:rsidR="003776F0" w:rsidRDefault="00C577C6">
      <w:pPr>
        <w:pStyle w:val="Compact"/>
        <w:numPr>
          <w:ilvl w:val="0"/>
          <w:numId w:val="3"/>
        </w:numPr>
        <w:rPr>
          <w:lang w:eastAsia="zh-CN"/>
        </w:rPr>
      </w:pPr>
      <w:r>
        <w:rPr>
          <w:lang w:eastAsia="zh-CN"/>
        </w:rPr>
        <w:t>新一代信息技术</w:t>
      </w:r>
      <w:r>
        <w:rPr>
          <w:lang w:eastAsia="zh-CN"/>
        </w:rPr>
        <w:t>-</w:t>
      </w:r>
      <w:r>
        <w:rPr>
          <w:lang w:eastAsia="zh-CN"/>
        </w:rPr>
        <w:t>（如云端服务及人工智能）；</w:t>
      </w:r>
    </w:p>
    <w:p w:rsidR="003776F0" w:rsidRDefault="00C577C6">
      <w:pPr>
        <w:pStyle w:val="Compact"/>
        <w:numPr>
          <w:ilvl w:val="0"/>
          <w:numId w:val="3"/>
        </w:numPr>
        <w:rPr>
          <w:lang w:eastAsia="zh-CN"/>
        </w:rPr>
      </w:pPr>
      <w:r>
        <w:rPr>
          <w:lang w:eastAsia="zh-CN"/>
        </w:rPr>
        <w:lastRenderedPageBreak/>
        <w:t>先进硬件</w:t>
      </w:r>
      <w:r>
        <w:rPr>
          <w:lang w:eastAsia="zh-CN"/>
        </w:rPr>
        <w:t>-</w:t>
      </w:r>
      <w:r>
        <w:rPr>
          <w:lang w:eastAsia="zh-CN"/>
        </w:rPr>
        <w:t>（如机器人及自动化、半导体、先进通信技术及运输技术、航天科技、先进制造业、电动及自动驾驶汽车、量子计算、元宇宙技术）</w:t>
      </w:r>
      <w:r>
        <w:rPr>
          <w:lang w:eastAsia="zh-CN"/>
        </w:rPr>
        <w:t>；</w:t>
      </w:r>
    </w:p>
    <w:p w:rsidR="003776F0" w:rsidRDefault="00C577C6">
      <w:pPr>
        <w:pStyle w:val="Compact"/>
        <w:numPr>
          <w:ilvl w:val="0"/>
          <w:numId w:val="3"/>
        </w:numPr>
        <w:rPr>
          <w:lang w:eastAsia="zh-CN"/>
        </w:rPr>
      </w:pPr>
      <w:r>
        <w:rPr>
          <w:lang w:eastAsia="zh-CN"/>
        </w:rPr>
        <w:t>先进材料</w:t>
      </w:r>
      <w:r>
        <w:rPr>
          <w:lang w:eastAsia="zh-CN"/>
        </w:rPr>
        <w:t>-</w:t>
      </w:r>
      <w:r>
        <w:rPr>
          <w:lang w:eastAsia="zh-CN"/>
        </w:rPr>
        <w:t>（如合成生物材料、智能玻璃、纳米材料）；</w:t>
      </w:r>
    </w:p>
    <w:p w:rsidR="003776F0" w:rsidRDefault="00C577C6">
      <w:pPr>
        <w:pStyle w:val="Compact"/>
        <w:numPr>
          <w:ilvl w:val="0"/>
          <w:numId w:val="3"/>
        </w:numPr>
        <w:rPr>
          <w:lang w:eastAsia="zh-CN"/>
        </w:rPr>
      </w:pPr>
      <w:r>
        <w:rPr>
          <w:lang w:eastAsia="zh-CN"/>
        </w:rPr>
        <w:t>新能源及节能环保</w:t>
      </w:r>
      <w:r>
        <w:rPr>
          <w:lang w:eastAsia="zh-CN"/>
        </w:rPr>
        <w:t>-</w:t>
      </w:r>
      <w:r>
        <w:rPr>
          <w:lang w:eastAsia="zh-CN"/>
        </w:rPr>
        <w:t>（如新能源生产、新储能及传输技术、新绿色技术）；及</w:t>
      </w:r>
    </w:p>
    <w:p w:rsidR="003776F0" w:rsidRDefault="00C577C6">
      <w:pPr>
        <w:pStyle w:val="Compact"/>
        <w:numPr>
          <w:ilvl w:val="0"/>
          <w:numId w:val="3"/>
        </w:numPr>
        <w:rPr>
          <w:lang w:eastAsia="zh-CN"/>
        </w:rPr>
      </w:pPr>
      <w:r>
        <w:rPr>
          <w:lang w:eastAsia="zh-CN"/>
        </w:rPr>
        <w:t>新食品及农业技术</w:t>
      </w:r>
      <w:r>
        <w:rPr>
          <w:lang w:eastAsia="zh-CN"/>
        </w:rPr>
        <w:t>-</w:t>
      </w:r>
      <w:r>
        <w:rPr>
          <w:lang w:eastAsia="zh-CN"/>
        </w:rPr>
        <w:t>（如食品科技合成生物学、农业生物技术和作物效率技术及农业技术）。</w:t>
      </w:r>
    </w:p>
    <w:p w:rsidR="003776F0" w:rsidRDefault="00C577C6">
      <w:pPr>
        <w:pStyle w:val="FirstParagraph"/>
        <w:rPr>
          <w:lang w:eastAsia="zh-CN"/>
        </w:rPr>
      </w:pPr>
      <w:r>
        <w:rPr>
          <w:lang w:eastAsia="zh-CN"/>
        </w:rPr>
        <w:t>上述行业及界别并非详尽无遗，如有需要，香港交易所可在获证监察会批准后更新有关范围。在更新</w:t>
      </w:r>
      <w:r>
        <w:rPr>
          <w:lang w:eastAsia="zh-CN"/>
        </w:rPr>
        <w:t>“</w:t>
      </w:r>
      <w:r>
        <w:rPr>
          <w:lang w:eastAsia="zh-CN"/>
        </w:rPr>
        <w:t>特专科技行业</w:t>
      </w:r>
      <w:r>
        <w:rPr>
          <w:lang w:eastAsia="zh-CN"/>
        </w:rPr>
        <w:t>”</w:t>
      </w:r>
      <w:r>
        <w:rPr>
          <w:lang w:eastAsia="zh-CN"/>
        </w:rPr>
        <w:t>及</w:t>
      </w:r>
      <w:r>
        <w:rPr>
          <w:lang w:eastAsia="zh-CN"/>
        </w:rPr>
        <w:t>“</w:t>
      </w:r>
      <w:r>
        <w:rPr>
          <w:lang w:eastAsia="zh-CN"/>
        </w:rPr>
        <w:t>可接受领域</w:t>
      </w:r>
      <w:r>
        <w:rPr>
          <w:lang w:eastAsia="zh-CN"/>
        </w:rPr>
        <w:t>”</w:t>
      </w:r>
      <w:r>
        <w:rPr>
          <w:lang w:eastAsia="zh-CN"/>
        </w:rPr>
        <w:t>名单时，香港交易所必须考虑以下原则：</w:t>
      </w:r>
    </w:p>
    <w:p w:rsidR="003776F0" w:rsidRDefault="00C577C6">
      <w:pPr>
        <w:pStyle w:val="Compact"/>
        <w:numPr>
          <w:ilvl w:val="0"/>
          <w:numId w:val="4"/>
        </w:numPr>
        <w:rPr>
          <w:lang w:eastAsia="zh-CN"/>
        </w:rPr>
      </w:pPr>
      <w:r>
        <w:rPr>
          <w:lang w:eastAsia="zh-CN"/>
        </w:rPr>
        <w:t>相关领域的参与者必须拥有高增长潜力；</w:t>
      </w:r>
    </w:p>
    <w:p w:rsidR="003776F0" w:rsidRDefault="00C577C6">
      <w:pPr>
        <w:pStyle w:val="Compact"/>
        <w:numPr>
          <w:ilvl w:val="0"/>
          <w:numId w:val="4"/>
        </w:numPr>
        <w:rPr>
          <w:lang w:eastAsia="zh-CN"/>
        </w:rPr>
      </w:pPr>
      <w:r>
        <w:rPr>
          <w:lang w:eastAsia="zh-CN"/>
        </w:rPr>
        <w:t>该领域内参与者取得成功的原因在于其核心业务应用了新技术及／或将有关该领域的</w:t>
      </w:r>
      <w:r>
        <w:rPr>
          <w:lang w:eastAsia="zh-CN"/>
        </w:rPr>
        <w:t xml:space="preserve"> </w:t>
      </w:r>
      <w:r>
        <w:rPr>
          <w:lang w:eastAsia="zh-CN"/>
        </w:rPr>
        <w:t>科学及／或科技应用于新的商业模</w:t>
      </w:r>
      <w:r>
        <w:rPr>
          <w:lang w:eastAsia="zh-CN"/>
        </w:rPr>
        <w:t>式，令他们有别于服务相似的消费者或最终用户的</w:t>
      </w:r>
      <w:r>
        <w:rPr>
          <w:lang w:eastAsia="zh-CN"/>
        </w:rPr>
        <w:t xml:space="preserve"> </w:t>
      </w:r>
      <w:r>
        <w:rPr>
          <w:lang w:eastAsia="zh-CN"/>
        </w:rPr>
        <w:t>传统市场参与者；及</w:t>
      </w:r>
    </w:p>
    <w:p w:rsidR="003776F0" w:rsidRDefault="00C577C6">
      <w:pPr>
        <w:pStyle w:val="Compact"/>
        <w:numPr>
          <w:ilvl w:val="0"/>
          <w:numId w:val="4"/>
        </w:numPr>
        <w:rPr>
          <w:lang w:eastAsia="zh-CN"/>
        </w:rPr>
      </w:pPr>
      <w:r>
        <w:rPr>
          <w:lang w:eastAsia="zh-CN"/>
        </w:rPr>
        <w:t>研究及开发为领域内公司贡献一大部分的预期价值，亦是公司的主要活动及占去大部分开支（</w:t>
      </w:r>
      <w:r>
        <w:rPr>
          <w:b/>
          <w:lang w:eastAsia="zh-CN"/>
        </w:rPr>
        <w:t>特专科技公司上市的原则</w:t>
      </w:r>
      <w:r>
        <w:rPr>
          <w:lang w:eastAsia="zh-CN"/>
        </w:rPr>
        <w:t>）</w:t>
      </w:r>
    </w:p>
    <w:p w:rsidR="003776F0" w:rsidRDefault="00C577C6">
      <w:pPr>
        <w:pStyle w:val="FirstParagraph"/>
        <w:rPr>
          <w:lang w:eastAsia="zh-CN"/>
        </w:rPr>
      </w:pPr>
      <w:r>
        <w:rPr>
          <w:lang w:eastAsia="zh-CN"/>
        </w:rPr>
        <w:t>交易所有权拒绝上市申请</w:t>
      </w:r>
    </w:p>
    <w:p w:rsidR="003776F0" w:rsidRDefault="00C577C6">
      <w:pPr>
        <w:pStyle w:val="BodyText"/>
        <w:rPr>
          <w:lang w:eastAsia="zh-CN"/>
        </w:rPr>
      </w:pPr>
      <w:r>
        <w:rPr>
          <w:lang w:eastAsia="zh-CN"/>
        </w:rPr>
        <w:t>香港交易所有权因申请人的特质与《特专科技公司上市原则》不符而酌情拒绝来自可接受领域内的申请人的上市申请。</w:t>
      </w:r>
    </w:p>
    <w:p w:rsidR="003776F0" w:rsidRDefault="00C577C6">
      <w:pPr>
        <w:pStyle w:val="BodyText"/>
        <w:rPr>
          <w:lang w:eastAsia="zh-CN"/>
        </w:rPr>
      </w:pPr>
      <w:r>
        <w:rPr>
          <w:lang w:eastAsia="zh-CN"/>
        </w:rPr>
        <w:t>拥有多个业务分部的公司</w:t>
      </w:r>
    </w:p>
    <w:p w:rsidR="003776F0" w:rsidRDefault="00C577C6">
      <w:pPr>
        <w:pStyle w:val="BodyText"/>
        <w:rPr>
          <w:lang w:eastAsia="zh-CN"/>
        </w:rPr>
      </w:pPr>
      <w:r>
        <w:rPr>
          <w:lang w:eastAsia="zh-CN"/>
        </w:rPr>
        <w:t>在考虑一家拥有多个业务分部的公司是否主要从事相关的特专科技业务时，香港交易所会考虑：</w:t>
      </w:r>
    </w:p>
    <w:p w:rsidR="003776F0" w:rsidRDefault="00C577C6">
      <w:pPr>
        <w:pStyle w:val="Compact"/>
        <w:numPr>
          <w:ilvl w:val="0"/>
          <w:numId w:val="5"/>
        </w:numPr>
        <w:rPr>
          <w:lang w:eastAsia="zh-CN"/>
        </w:rPr>
      </w:pPr>
      <w:r>
        <w:rPr>
          <w:lang w:eastAsia="zh-CN"/>
        </w:rPr>
        <w:t>是否该公司上市前至少三个会计年度的总营运开支及高级管理层资源（包括时间、具备相关专业知识及经验的董事及高级管理层人数）大部分用于该公司特专科技业务分部中特专科技产品的的研发、商业化及／或销售；</w:t>
      </w:r>
    </w:p>
    <w:p w:rsidR="003776F0" w:rsidRDefault="00C577C6">
      <w:pPr>
        <w:pStyle w:val="Compact"/>
        <w:numPr>
          <w:ilvl w:val="0"/>
          <w:numId w:val="5"/>
        </w:numPr>
        <w:rPr>
          <w:lang w:eastAsia="zh-CN"/>
        </w:rPr>
      </w:pPr>
      <w:r>
        <w:rPr>
          <w:lang w:eastAsia="zh-CN"/>
        </w:rPr>
        <w:t>投资者的估值基准及该公司的预期市值是否主要基于该公司的特专科技业务分部；及</w:t>
      </w:r>
    </w:p>
    <w:p w:rsidR="003776F0" w:rsidRDefault="00C577C6">
      <w:pPr>
        <w:pStyle w:val="Compact"/>
        <w:numPr>
          <w:ilvl w:val="0"/>
          <w:numId w:val="5"/>
        </w:numPr>
        <w:rPr>
          <w:lang w:eastAsia="zh-CN"/>
        </w:rPr>
      </w:pPr>
      <w:r>
        <w:rPr>
          <w:lang w:eastAsia="zh-CN"/>
        </w:rPr>
        <w:t>上市所得款项的建议用途是否主要用于其特专科技业务分部。</w:t>
      </w:r>
    </w:p>
    <w:p w:rsidR="003776F0" w:rsidRDefault="00C577C6">
      <w:pPr>
        <w:pStyle w:val="FirstParagraph"/>
        <w:rPr>
          <w:lang w:eastAsia="zh-CN"/>
        </w:rPr>
      </w:pPr>
      <w:r>
        <w:rPr>
          <w:lang w:eastAsia="zh-CN"/>
        </w:rPr>
        <w:t>已商业化及未商业化特专科技公司</w:t>
      </w:r>
    </w:p>
    <w:p w:rsidR="003776F0" w:rsidRDefault="00C577C6">
      <w:pPr>
        <w:pStyle w:val="BodyText"/>
        <w:rPr>
          <w:lang w:eastAsia="zh-CN"/>
        </w:rPr>
      </w:pPr>
      <w:r>
        <w:rPr>
          <w:lang w:eastAsia="zh-CN"/>
        </w:rPr>
        <w:t>特专科技公司分为以下两类：</w:t>
      </w:r>
    </w:p>
    <w:p w:rsidR="003776F0" w:rsidRDefault="00C577C6">
      <w:pPr>
        <w:pStyle w:val="Compact"/>
        <w:numPr>
          <w:ilvl w:val="0"/>
          <w:numId w:val="6"/>
        </w:numPr>
        <w:rPr>
          <w:lang w:eastAsia="zh-CN"/>
        </w:rPr>
      </w:pPr>
      <w:r>
        <w:rPr>
          <w:lang w:eastAsia="zh-CN"/>
        </w:rPr>
        <w:t>已商业化公司</w:t>
      </w:r>
      <w:r>
        <w:rPr>
          <w:lang w:eastAsia="zh-CN"/>
        </w:rPr>
        <w:t>-</w:t>
      </w:r>
      <w:r>
        <w:rPr>
          <w:lang w:eastAsia="zh-CN"/>
        </w:rPr>
        <w:t>此类公司已将其特专科技产品商业化并录得相当数额的收益；及</w:t>
      </w:r>
    </w:p>
    <w:p w:rsidR="003776F0" w:rsidRDefault="00C577C6">
      <w:pPr>
        <w:pStyle w:val="Compact"/>
        <w:numPr>
          <w:ilvl w:val="0"/>
          <w:numId w:val="6"/>
        </w:numPr>
        <w:rPr>
          <w:lang w:eastAsia="zh-CN"/>
        </w:rPr>
      </w:pPr>
      <w:r>
        <w:rPr>
          <w:lang w:eastAsia="zh-CN"/>
        </w:rPr>
        <w:t>未商业化公司</w:t>
      </w:r>
      <w:r>
        <w:rPr>
          <w:lang w:eastAsia="zh-CN"/>
        </w:rPr>
        <w:t>-</w:t>
      </w:r>
      <w:r>
        <w:rPr>
          <w:lang w:eastAsia="zh-CN"/>
        </w:rPr>
        <w:t>此类公司主要从事研发，集资的目的是拓展其</w:t>
      </w:r>
      <w:r>
        <w:rPr>
          <w:lang w:eastAsia="zh-CN"/>
        </w:rPr>
        <w:t>研发工作，以期将特专科技产品商业化，及／或尚未录得相当数额的收益。</w:t>
      </w:r>
    </w:p>
    <w:p w:rsidR="003776F0" w:rsidRDefault="00C577C6">
      <w:pPr>
        <w:pStyle w:val="FirstParagraph"/>
        <w:rPr>
          <w:lang w:eastAsia="zh-CN"/>
        </w:rPr>
      </w:pPr>
      <w:r>
        <w:rPr>
          <w:lang w:eastAsia="zh-CN"/>
        </w:rPr>
        <w:t>鉴于未商业化的公司须面对较大的风险（包括无法将其特专科技产品商业化及缺乏资金支持运营，引致公司倒闭、股价波动及买卖流动性不足，未商业化的公司的拟议要求较已商业化的公司更为严格。</w:t>
      </w:r>
    </w:p>
    <w:p w:rsidR="003776F0" w:rsidRDefault="00C577C6">
      <w:pPr>
        <w:pStyle w:val="BodyText"/>
        <w:rPr>
          <w:lang w:eastAsia="zh-CN"/>
        </w:rPr>
      </w:pPr>
      <w:r>
        <w:rPr>
          <w:lang w:eastAsia="zh-CN"/>
        </w:rPr>
        <w:t>在交易所上市资格</w:t>
      </w:r>
    </w:p>
    <w:p w:rsidR="003776F0" w:rsidRDefault="00C577C6">
      <w:pPr>
        <w:pStyle w:val="BodyText"/>
        <w:rPr>
          <w:lang w:eastAsia="zh-CN"/>
        </w:rPr>
      </w:pPr>
      <w:r>
        <w:rPr>
          <w:lang w:eastAsia="zh-CN"/>
        </w:rPr>
        <w:t>最低预期市值</w:t>
      </w:r>
    </w:p>
    <w:p w:rsidR="003776F0" w:rsidRDefault="00C577C6">
      <w:pPr>
        <w:pStyle w:val="BodyText"/>
        <w:rPr>
          <w:lang w:eastAsia="zh-CN"/>
        </w:rPr>
      </w:pPr>
      <w:r>
        <w:rPr>
          <w:lang w:eastAsia="zh-CN"/>
        </w:rPr>
        <w:t>已商业化公司在上市时的最低预期市值至少为</w:t>
      </w:r>
      <w:r>
        <w:rPr>
          <w:lang w:eastAsia="zh-CN"/>
        </w:rPr>
        <w:t>80</w:t>
      </w:r>
      <w:r>
        <w:rPr>
          <w:lang w:eastAsia="zh-CN"/>
        </w:rPr>
        <w:t>亿港元。即「独角兽」公司一般涉及的估值。未商业化公司在上市时拥有至少</w:t>
      </w:r>
      <w:r>
        <w:rPr>
          <w:lang w:eastAsia="zh-CN"/>
        </w:rPr>
        <w:t>150</w:t>
      </w:r>
      <w:r>
        <w:rPr>
          <w:lang w:eastAsia="zh-CN"/>
        </w:rPr>
        <w:t>亿港元的市值。</w:t>
      </w:r>
    </w:p>
    <w:p w:rsidR="003776F0" w:rsidRDefault="00C577C6">
      <w:pPr>
        <w:pStyle w:val="BodyText"/>
        <w:rPr>
          <w:lang w:eastAsia="zh-CN"/>
        </w:rPr>
      </w:pPr>
      <w:r>
        <w:rPr>
          <w:lang w:eastAsia="zh-CN"/>
        </w:rPr>
        <w:t>收益要求</w:t>
      </w:r>
    </w:p>
    <w:p w:rsidR="003776F0" w:rsidRDefault="00C577C6">
      <w:pPr>
        <w:pStyle w:val="BodyText"/>
        <w:rPr>
          <w:lang w:eastAsia="zh-CN"/>
        </w:rPr>
      </w:pPr>
      <w:r>
        <w:rPr>
          <w:b/>
          <w:i/>
          <w:lang w:eastAsia="zh-CN"/>
        </w:rPr>
        <w:lastRenderedPageBreak/>
        <w:t>最低收益门槛：</w:t>
      </w:r>
      <w:r>
        <w:rPr>
          <w:lang w:eastAsia="zh-CN"/>
        </w:rPr>
        <w:t>商业化公司将被要求在最近一个经审计的会计年度至少有</w:t>
      </w:r>
      <w:r>
        <w:rPr>
          <w:lang w:eastAsia="zh-CN"/>
        </w:rPr>
        <w:t>2.5</w:t>
      </w:r>
      <w:r>
        <w:rPr>
          <w:lang w:eastAsia="zh-CN"/>
        </w:rPr>
        <w:t>亿港元的收益。未商业化公司没有收益要求。</w:t>
      </w:r>
    </w:p>
    <w:p w:rsidR="003776F0" w:rsidRDefault="00C577C6">
      <w:pPr>
        <w:pStyle w:val="BodyText"/>
        <w:rPr>
          <w:lang w:eastAsia="zh-CN"/>
        </w:rPr>
      </w:pPr>
      <w:r>
        <w:rPr>
          <w:b/>
          <w:i/>
          <w:lang w:eastAsia="zh-CN"/>
        </w:rPr>
        <w:t>收益来源：</w:t>
      </w:r>
      <w:r>
        <w:rPr>
          <w:lang w:eastAsia="zh-CN"/>
        </w:rPr>
        <w:t>在厘定公司是否达到上述收益门槛时，只计算该公司特专科技业务分部所得收益（不包括来自申请人其他业务分部之间的收益）由「账面」交易（例如以物易物的虚晃交易、拨回会计上的拨备，及其他纯粹因入账而产生的类似活动）所产生的收益不计算在内。</w:t>
      </w:r>
    </w:p>
    <w:p w:rsidR="003776F0" w:rsidRDefault="00C577C6">
      <w:pPr>
        <w:pStyle w:val="BodyText"/>
        <w:rPr>
          <w:lang w:eastAsia="zh-CN"/>
        </w:rPr>
      </w:pPr>
      <w:r>
        <w:rPr>
          <w:b/>
          <w:i/>
          <w:lang w:eastAsia="zh-CN"/>
        </w:rPr>
        <w:t>收益增长：</w:t>
      </w:r>
      <w:r>
        <w:rPr>
          <w:lang w:eastAsia="zh-CN"/>
        </w:rPr>
        <w:t>已商业化公司应证明其特专科技业务分部所得收益在整个营业纪录期间有按年增长，而因经济、市场或整个行业状况而导致收益暂时下降的情况可另作考虑。若已商业化公司在该期间的年</w:t>
      </w:r>
      <w:r>
        <w:rPr>
          <w:lang w:eastAsia="zh-CN"/>
        </w:rPr>
        <w:t>收益出现任何下跌趋势，其须向联交所说明及／或提供让联交所信纳的相关理由及已采取或将采取的补救措施，并在上市文件中披露。</w:t>
      </w:r>
    </w:p>
    <w:p w:rsidR="003776F0" w:rsidRDefault="00C577C6">
      <w:pPr>
        <w:pStyle w:val="BodyText"/>
        <w:rPr>
          <w:lang w:eastAsia="zh-CN"/>
        </w:rPr>
      </w:pPr>
      <w:r>
        <w:rPr>
          <w:lang w:eastAsia="zh-CN"/>
        </w:rPr>
        <w:t>研发投资</w:t>
      </w:r>
    </w:p>
    <w:p w:rsidR="003776F0" w:rsidRDefault="00C577C6">
      <w:pPr>
        <w:pStyle w:val="BodyText"/>
        <w:rPr>
          <w:lang w:eastAsia="zh-CN"/>
        </w:rPr>
      </w:pPr>
      <w:r>
        <w:rPr>
          <w:lang w:eastAsia="zh-CN"/>
        </w:rPr>
        <w:t>所有特专科技公司须在上市前至少三个会计年度从事研发工作，以开发其特专科技产品。</w:t>
      </w:r>
    </w:p>
    <w:p w:rsidR="003776F0" w:rsidRDefault="00C577C6">
      <w:pPr>
        <w:pStyle w:val="BodyText"/>
        <w:rPr>
          <w:lang w:eastAsia="zh-CN"/>
        </w:rPr>
      </w:pPr>
      <w:r>
        <w:rPr>
          <w:lang w:eastAsia="zh-CN"/>
        </w:rPr>
        <w:t>此外，在上市前的三个会计年度中，研发投资必须至少占总营运开支的</w:t>
      </w:r>
      <w:r>
        <w:rPr>
          <w:lang w:eastAsia="zh-CN"/>
        </w:rPr>
        <w:t>15%</w:t>
      </w:r>
      <w:r>
        <w:rPr>
          <w:lang w:eastAsia="zh-CN"/>
        </w:rPr>
        <w:t>（已商业化公司）或</w:t>
      </w:r>
      <w:r>
        <w:rPr>
          <w:lang w:eastAsia="zh-CN"/>
        </w:rPr>
        <w:t>50%</w:t>
      </w:r>
      <w:r>
        <w:rPr>
          <w:lang w:eastAsia="zh-CN"/>
        </w:rPr>
        <w:t>（未商业化公司）。</w:t>
      </w:r>
    </w:p>
    <w:p w:rsidR="003776F0" w:rsidRDefault="00C577C6">
      <w:pPr>
        <w:pStyle w:val="BodyText"/>
        <w:rPr>
          <w:lang w:eastAsia="zh-CN"/>
        </w:rPr>
      </w:pPr>
      <w:r>
        <w:rPr>
          <w:lang w:eastAsia="zh-CN"/>
        </w:rPr>
        <w:t>研发投资金额包括在此期间直接与特专科技公司研发活动有关的成本，包括期内拨作无形资产入账的开发成本，但不包括一般成本、行政成本或其他与研发活动没有明确关系的成本。联交所预期研发投资金额主要包括</w:t>
      </w:r>
      <w:r>
        <w:rPr>
          <w:lang w:eastAsia="zh-CN"/>
        </w:rPr>
        <w:t>以下成本：</w:t>
      </w:r>
      <w:r>
        <w:rPr>
          <w:lang w:eastAsia="zh-CN"/>
        </w:rPr>
        <w:t xml:space="preserve">(i) </w:t>
      </w:r>
      <w:r>
        <w:rPr>
          <w:lang w:eastAsia="zh-CN"/>
        </w:rPr>
        <w:t>从事研发活动人员的成本；</w:t>
      </w:r>
      <w:r>
        <w:rPr>
          <w:lang w:eastAsia="zh-CN"/>
        </w:rPr>
        <w:t xml:space="preserve">(ii) </w:t>
      </w:r>
      <w:r>
        <w:rPr>
          <w:lang w:eastAsia="zh-CN"/>
        </w:rPr>
        <w:t>由他人代表公司进行的研发活动的成本；</w:t>
      </w:r>
      <w:r>
        <w:rPr>
          <w:lang w:eastAsia="zh-CN"/>
        </w:rPr>
        <w:t xml:space="preserve">(iii) </w:t>
      </w:r>
      <w:r>
        <w:rPr>
          <w:lang w:eastAsia="zh-CN"/>
        </w:rPr>
        <w:t>研发活动使用的设备或设施的折旧、服务费用或其他直接有关的成本；</w:t>
      </w:r>
      <w:r>
        <w:rPr>
          <w:lang w:eastAsia="zh-CN"/>
        </w:rPr>
        <w:t xml:space="preserve">(iv) </w:t>
      </w:r>
      <w:r>
        <w:rPr>
          <w:lang w:eastAsia="zh-CN"/>
        </w:rPr>
        <w:t>研发活动使用的无形资产的摊销；及</w:t>
      </w:r>
      <w:r>
        <w:rPr>
          <w:lang w:eastAsia="zh-CN"/>
        </w:rPr>
        <w:t xml:space="preserve">(v) </w:t>
      </w:r>
      <w:r>
        <w:rPr>
          <w:lang w:eastAsia="zh-CN"/>
        </w:rPr>
        <w:t>研发活动所耗材料的成本。</w:t>
      </w:r>
    </w:p>
    <w:p w:rsidR="003776F0" w:rsidRDefault="00C577C6">
      <w:pPr>
        <w:pStyle w:val="BodyText"/>
        <w:rPr>
          <w:lang w:eastAsia="zh-CN"/>
        </w:rPr>
      </w:pPr>
      <w:r>
        <w:rPr>
          <w:lang w:eastAsia="zh-CN"/>
        </w:rPr>
        <w:t>营业纪录、管理持续性及拥有权维持不变</w:t>
      </w:r>
    </w:p>
    <w:p w:rsidR="003776F0" w:rsidRDefault="00C577C6">
      <w:pPr>
        <w:pStyle w:val="BodyText"/>
        <w:rPr>
          <w:lang w:eastAsia="zh-CN"/>
        </w:rPr>
      </w:pPr>
      <w:r>
        <w:rPr>
          <w:lang w:eastAsia="zh-CN"/>
        </w:rPr>
        <w:t>与其他主板上市申请人的要求一致，特专科技公司于上市前须在管理层大致相若的条件下已于至少三个会计年度经营其现有业务。一如其他寻求通过现有的主板资格测试而上市的发行人，在特殊情况下，联交所或会接纳较短的交易纪录期（至少两个会计年度）。特专科</w:t>
      </w:r>
      <w:r>
        <w:rPr>
          <w:lang w:eastAsia="zh-CN"/>
        </w:rPr>
        <w:t>技公司上市申请人于上市申请日期前</w:t>
      </w:r>
      <w:r>
        <w:rPr>
          <w:lang w:eastAsia="zh-CN"/>
        </w:rPr>
        <w:t>12</w:t>
      </w:r>
      <w:r>
        <w:rPr>
          <w:lang w:eastAsia="zh-CN"/>
        </w:rPr>
        <w:t>个月内的拥有权和控制权维持不变。</w:t>
      </w:r>
    </w:p>
    <w:p w:rsidR="003776F0" w:rsidRDefault="00C577C6">
      <w:pPr>
        <w:pStyle w:val="BodyText"/>
        <w:rPr>
          <w:lang w:eastAsia="zh-CN"/>
        </w:rPr>
      </w:pPr>
      <w:r>
        <w:rPr>
          <w:lang w:eastAsia="zh-CN"/>
        </w:rPr>
        <w:t>第三方投资规定</w:t>
      </w:r>
    </w:p>
    <w:p w:rsidR="003776F0" w:rsidRDefault="00C577C6">
      <w:pPr>
        <w:pStyle w:val="BodyText"/>
        <w:rPr>
          <w:lang w:eastAsia="zh-CN"/>
        </w:rPr>
      </w:pPr>
      <w:r>
        <w:rPr>
          <w:lang w:eastAsia="zh-CN"/>
        </w:rPr>
        <w:t>就第三方投资而言，一般规定特专科技公司于上市申请日期前</w:t>
      </w:r>
      <w:r>
        <w:rPr>
          <w:lang w:eastAsia="zh-CN"/>
        </w:rPr>
        <w:t>12</w:t>
      </w:r>
      <w:r>
        <w:rPr>
          <w:lang w:eastAsia="zh-CN"/>
        </w:rPr>
        <w:t>个月须获得来自至少</w:t>
      </w:r>
      <w:r>
        <w:rPr>
          <w:lang w:eastAsia="zh-CN"/>
        </w:rPr>
        <w:t>2</w:t>
      </w:r>
      <w:r>
        <w:rPr>
          <w:lang w:eastAsia="zh-CN"/>
        </w:rPr>
        <w:t>名资深独立投资者（</w:t>
      </w:r>
      <w:r>
        <w:rPr>
          <w:b/>
          <w:lang w:eastAsia="zh-CN"/>
        </w:rPr>
        <w:t>「领航资深独立投资者」</w:t>
      </w:r>
      <w:r>
        <w:rPr>
          <w:lang w:eastAsia="zh-CN"/>
        </w:rPr>
        <w:t>）相当数额的投资。</w:t>
      </w:r>
    </w:p>
    <w:p w:rsidR="003776F0" w:rsidRDefault="00C577C6">
      <w:pPr>
        <w:pStyle w:val="BodyText"/>
        <w:rPr>
          <w:lang w:eastAsia="zh-CN"/>
        </w:rPr>
      </w:pPr>
      <w:r>
        <w:rPr>
          <w:lang w:eastAsia="zh-CN"/>
        </w:rPr>
        <w:t>在上市申请前</w:t>
      </w:r>
      <w:r>
        <w:rPr>
          <w:lang w:eastAsia="zh-CN"/>
        </w:rPr>
        <w:t>12</w:t>
      </w:r>
      <w:r>
        <w:rPr>
          <w:lang w:eastAsia="zh-CN"/>
        </w:rPr>
        <w:t>个月期间，每个领航资深独立投资者一直各自持有相等于上市申请人于上市申请当日已发行股本</w:t>
      </w:r>
      <w:r>
        <w:rPr>
          <w:lang w:eastAsia="zh-CN"/>
        </w:rPr>
        <w:t>5%</w:t>
      </w:r>
      <w:r>
        <w:rPr>
          <w:lang w:eastAsia="zh-CN"/>
        </w:rPr>
        <w:t>或以上的股份或可换股证券。</w:t>
      </w:r>
    </w:p>
    <w:p w:rsidR="003776F0" w:rsidRDefault="00C577C6">
      <w:pPr>
        <w:pStyle w:val="BodyText"/>
        <w:rPr>
          <w:lang w:eastAsia="zh-CN"/>
        </w:rPr>
      </w:pPr>
      <w:r>
        <w:rPr>
          <w:lang w:eastAsia="zh-CN"/>
        </w:rPr>
        <w:t>特专科技公司还必须拥有来自所有资深独立投资者的总投资，达到申请人在上市时已发行股本的规定最低百分比。根据特专科技公司在上市时的预期市值，已商业化公司的最低百</w:t>
      </w:r>
      <w:r>
        <w:rPr>
          <w:lang w:eastAsia="zh-CN"/>
        </w:rPr>
        <w:t>分比为</w:t>
      </w:r>
      <w:r>
        <w:rPr>
          <w:lang w:eastAsia="zh-CN"/>
        </w:rPr>
        <w:t>10%</w:t>
      </w:r>
      <w:r>
        <w:rPr>
          <w:lang w:eastAsia="zh-CN"/>
        </w:rPr>
        <w:t>至</w:t>
      </w:r>
      <w:r>
        <w:rPr>
          <w:lang w:eastAsia="zh-CN"/>
        </w:rPr>
        <w:t>20%</w:t>
      </w:r>
      <w:r>
        <w:rPr>
          <w:lang w:eastAsia="zh-CN"/>
        </w:rPr>
        <w:t>，未商业化的公司的最低百分比为</w:t>
      </w:r>
      <w:r>
        <w:rPr>
          <w:lang w:eastAsia="zh-CN"/>
        </w:rPr>
        <w:t>15%</w:t>
      </w:r>
      <w:r>
        <w:rPr>
          <w:lang w:eastAsia="zh-CN"/>
        </w:rPr>
        <w:t>至</w:t>
      </w:r>
      <w:r>
        <w:rPr>
          <w:lang w:eastAsia="zh-CN"/>
        </w:rPr>
        <w:t>25%</w:t>
      </w:r>
      <w:r>
        <w:rPr>
          <w:lang w:eastAsia="zh-CN"/>
        </w:rPr>
        <w:t>。</w:t>
      </w:r>
    </w:p>
    <w:p w:rsidR="003776F0" w:rsidRDefault="00C577C6">
      <w:pPr>
        <w:pStyle w:val="BodyText"/>
      </w:pPr>
      <w:r>
        <w:t>资深独立投资者</w:t>
      </w:r>
    </w:p>
    <w:p w:rsidR="003776F0" w:rsidRDefault="00C577C6">
      <w:pPr>
        <w:pStyle w:val="BodyText"/>
        <w:rPr>
          <w:lang w:eastAsia="zh-CN"/>
        </w:rPr>
      </w:pPr>
      <w:r>
        <w:rPr>
          <w:lang w:eastAsia="zh-CN"/>
        </w:rPr>
        <w:t>上市申请人的核心关联人士不能为资深独立投资者。若有资深投资者本身是申请人的大股东，而仅因其对申请人的持股规模而属于核心关连人士，则其可被视为资深独立投资者，但上市申请人的控股股东不能是资深独立投资者。香港交易所会根据投资者的相关投资经验、在相关领域的知识及专长（可由其净资产、管理资产、投资组合的规模或过往投资纪录所显示），逐一考虑投资者是否合资格成为资深独立投资者。</w:t>
      </w:r>
    </w:p>
    <w:p w:rsidR="003776F0" w:rsidRDefault="00C577C6">
      <w:pPr>
        <w:pStyle w:val="BodyText"/>
        <w:rPr>
          <w:lang w:eastAsia="zh-CN"/>
        </w:rPr>
      </w:pPr>
      <w:r>
        <w:rPr>
          <w:lang w:eastAsia="zh-CN"/>
        </w:rPr>
        <w:t>指引信拟稿提供了以下说明性的例子，这些例子一般被认为是</w:t>
      </w:r>
      <w:r>
        <w:rPr>
          <w:lang w:eastAsia="zh-CN"/>
        </w:rPr>
        <w:t>“</w:t>
      </w:r>
      <w:r>
        <w:rPr>
          <w:lang w:eastAsia="zh-CN"/>
        </w:rPr>
        <w:t>资深投资者</w:t>
      </w:r>
      <w:r>
        <w:rPr>
          <w:lang w:eastAsia="zh-CN"/>
        </w:rPr>
        <w:t>”</w:t>
      </w:r>
      <w:r>
        <w:rPr>
          <w:lang w:eastAsia="zh-CN"/>
        </w:rPr>
        <w:t>：</w:t>
      </w:r>
    </w:p>
    <w:p w:rsidR="003776F0" w:rsidRDefault="00C577C6">
      <w:pPr>
        <w:pStyle w:val="Compact"/>
        <w:numPr>
          <w:ilvl w:val="0"/>
          <w:numId w:val="7"/>
        </w:numPr>
        <w:rPr>
          <w:lang w:eastAsia="zh-CN"/>
        </w:rPr>
      </w:pPr>
      <w:r>
        <w:rPr>
          <w:lang w:eastAsia="zh-CN"/>
        </w:rPr>
        <w:lastRenderedPageBreak/>
        <w:t>管理资产总值至少达</w:t>
      </w:r>
      <w:r>
        <w:rPr>
          <w:lang w:eastAsia="zh-CN"/>
        </w:rPr>
        <w:t>150</w:t>
      </w:r>
      <w:r>
        <w:rPr>
          <w:lang w:eastAsia="zh-CN"/>
        </w:rPr>
        <w:t>亿港元的资产管理公司或基金规模至少达</w:t>
      </w:r>
      <w:r>
        <w:rPr>
          <w:lang w:eastAsia="zh-CN"/>
        </w:rPr>
        <w:t>150</w:t>
      </w:r>
      <w:r>
        <w:rPr>
          <w:lang w:eastAsia="zh-CN"/>
        </w:rPr>
        <w:t>亿港元；</w:t>
      </w:r>
    </w:p>
    <w:p w:rsidR="003776F0" w:rsidRDefault="00C577C6">
      <w:pPr>
        <w:pStyle w:val="Compact"/>
        <w:numPr>
          <w:ilvl w:val="0"/>
          <w:numId w:val="7"/>
        </w:numPr>
        <w:rPr>
          <w:lang w:eastAsia="zh-CN"/>
        </w:rPr>
      </w:pPr>
      <w:r>
        <w:rPr>
          <w:lang w:eastAsia="zh-CN"/>
        </w:rPr>
        <w:t>拥有多元化投资组合</w:t>
      </w:r>
      <w:hyperlink w:anchor="footnote-598-1">
        <w:r>
          <w:rPr>
            <w:vertAlign w:val="superscript"/>
            <w:lang w:eastAsia="zh-CN"/>
          </w:rPr>
          <w:t>1</w:t>
        </w:r>
      </w:hyperlink>
      <w:r>
        <w:rPr>
          <w:lang w:eastAsia="zh-CN"/>
        </w:rPr>
        <w:t>而其投资组合规模至少达</w:t>
      </w:r>
      <w:r>
        <w:rPr>
          <w:lang w:eastAsia="zh-CN"/>
        </w:rPr>
        <w:t>150</w:t>
      </w:r>
      <w:r>
        <w:rPr>
          <w:lang w:eastAsia="zh-CN"/>
        </w:rPr>
        <w:t>亿港元的公司；</w:t>
      </w:r>
    </w:p>
    <w:p w:rsidR="003776F0" w:rsidRDefault="00C577C6">
      <w:pPr>
        <w:pStyle w:val="Compact"/>
        <w:numPr>
          <w:ilvl w:val="0"/>
          <w:numId w:val="7"/>
        </w:numPr>
        <w:rPr>
          <w:lang w:eastAsia="zh-CN"/>
        </w:rPr>
      </w:pPr>
      <w:r>
        <w:rPr>
          <w:lang w:eastAsia="zh-CN"/>
        </w:rPr>
        <w:t>属上述</w:t>
      </w:r>
      <w:r>
        <w:rPr>
          <w:lang w:eastAsia="zh-CN"/>
        </w:rPr>
        <w:t>(a)</w:t>
      </w:r>
      <w:r>
        <w:rPr>
          <w:lang w:eastAsia="zh-CN"/>
        </w:rPr>
        <w:t>或</w:t>
      </w:r>
      <w:r>
        <w:rPr>
          <w:lang w:eastAsia="zh-CN"/>
        </w:rPr>
        <w:t>(b)</w:t>
      </w:r>
      <w:r>
        <w:rPr>
          <w:lang w:eastAsia="zh-CN"/>
        </w:rPr>
        <w:t>的投资者，其管理资产总值、基金规模或投资组合规模（如适用）至少达</w:t>
      </w:r>
      <w:r>
        <w:rPr>
          <w:lang w:eastAsia="zh-CN"/>
        </w:rPr>
        <w:t>50</w:t>
      </w:r>
      <w:r>
        <w:rPr>
          <w:lang w:eastAsia="zh-CN"/>
        </w:rPr>
        <w:t>亿港元，而该价值主要来自特专科技投资；及</w:t>
      </w:r>
    </w:p>
    <w:p w:rsidR="003776F0" w:rsidRDefault="00C577C6">
      <w:pPr>
        <w:pStyle w:val="Compact"/>
        <w:numPr>
          <w:ilvl w:val="0"/>
          <w:numId w:val="7"/>
        </w:numPr>
        <w:rPr>
          <w:lang w:eastAsia="zh-CN"/>
        </w:rPr>
      </w:pPr>
      <w:r>
        <w:rPr>
          <w:lang w:eastAsia="zh-CN"/>
        </w:rPr>
        <w:t>具有重大市场份额及规模的相关上游或下游行业主要参与者，并须由适当的独立市场或营运数据支持。</w:t>
      </w:r>
    </w:p>
    <w:p w:rsidR="003776F0" w:rsidRDefault="00C577C6">
      <w:pPr>
        <w:pStyle w:val="FirstParagraph"/>
        <w:rPr>
          <w:lang w:eastAsia="zh-CN"/>
        </w:rPr>
      </w:pPr>
      <w:r>
        <w:rPr>
          <w:lang w:eastAsia="zh-CN"/>
        </w:rPr>
        <w:t>对领</w:t>
      </w:r>
      <w:r>
        <w:rPr>
          <w:lang w:eastAsia="zh-CN"/>
        </w:rPr>
        <w:t>航资深独立投资者的最低投资要求的目的是确保特专科技公司在上市前已经由承担重大投资风险的投资者进行广泛尽职调查。这种投资亦有助于在没有主管当局的情况下提供独立第三方验证。</w:t>
      </w:r>
    </w:p>
    <w:p w:rsidR="003776F0" w:rsidRDefault="00C577C6">
      <w:pPr>
        <w:pStyle w:val="BodyText"/>
        <w:rPr>
          <w:lang w:eastAsia="zh-CN"/>
        </w:rPr>
      </w:pPr>
      <w:r>
        <w:rPr>
          <w:lang w:eastAsia="zh-CN"/>
        </w:rPr>
        <w:t>未商业化公司的额外资格规定</w:t>
      </w:r>
    </w:p>
    <w:p w:rsidR="003776F0" w:rsidRDefault="00C577C6">
      <w:pPr>
        <w:pStyle w:val="BodyText"/>
        <w:rPr>
          <w:lang w:eastAsia="zh-CN"/>
        </w:rPr>
      </w:pPr>
      <w:r>
        <w:rPr>
          <w:lang w:eastAsia="zh-CN"/>
        </w:rPr>
        <w:t>达至商业化收益门槛的路径</w:t>
      </w:r>
    </w:p>
    <w:p w:rsidR="003776F0" w:rsidRDefault="00C577C6">
      <w:pPr>
        <w:pStyle w:val="BodyText"/>
        <w:rPr>
          <w:lang w:eastAsia="zh-CN"/>
        </w:rPr>
      </w:pPr>
      <w:r>
        <w:rPr>
          <w:lang w:eastAsia="zh-CN"/>
        </w:rPr>
        <w:t>未商业化公司要向联交所证明其特专科技产品在所属相关特专科技行业商业化、使其可达至商业化收益门槛的可信路径，并在上市文件中作相关披露。这意味着为实现其特专科技产品的商业化提供了可信路径，从而使其特专科技业务部门在相关经审计会计年度实现至少</w:t>
      </w:r>
      <w:r>
        <w:rPr>
          <w:lang w:eastAsia="zh-CN"/>
        </w:rPr>
        <w:t>2.5</w:t>
      </w:r>
      <w:r>
        <w:rPr>
          <w:lang w:eastAsia="zh-CN"/>
        </w:rPr>
        <w:t>亿港元的收入。</w:t>
      </w:r>
    </w:p>
    <w:p w:rsidR="003776F0" w:rsidRDefault="00C577C6">
      <w:pPr>
        <w:pStyle w:val="BodyText"/>
        <w:rPr>
          <w:lang w:eastAsia="zh-CN"/>
        </w:rPr>
      </w:pPr>
      <w:r>
        <w:rPr>
          <w:lang w:eastAsia="zh-CN"/>
        </w:rPr>
        <w:t>未商业化公司申请人须有充足的营</w:t>
      </w:r>
      <w:r>
        <w:rPr>
          <w:lang w:eastAsia="zh-CN"/>
        </w:rPr>
        <w:t>运资金（包括预期首次公开招股所得款项），足可应付集团未来至少</w:t>
      </w:r>
      <w:r>
        <w:rPr>
          <w:lang w:eastAsia="zh-CN"/>
        </w:rPr>
        <w:t>12</w:t>
      </w:r>
      <w:r>
        <w:rPr>
          <w:lang w:eastAsia="zh-CN"/>
        </w:rPr>
        <w:t>个月所需开支（须主要包括一般、行政及营运开支以及研发开支）的至少</w:t>
      </w:r>
      <w:r>
        <w:rPr>
          <w:lang w:eastAsia="zh-CN"/>
        </w:rPr>
        <w:t>125%</w:t>
      </w:r>
      <w:r>
        <w:rPr>
          <w:lang w:eastAsia="zh-CN"/>
        </w:rPr>
        <w:t>。</w:t>
      </w:r>
    </w:p>
    <w:p w:rsidR="003776F0" w:rsidRDefault="00C577C6">
      <w:pPr>
        <w:pStyle w:val="BodyText"/>
        <w:rPr>
          <w:lang w:eastAsia="zh-CN"/>
        </w:rPr>
      </w:pPr>
      <w:r>
        <w:rPr>
          <w:lang w:eastAsia="zh-CN"/>
        </w:rPr>
        <w:t>达至商业化收益门槛的可信路径须获证明。例如，通过就申请人已有的特专科技产品订立具约束力的合约或无约束力的框架协议，当中须就商业化的时间表及里程碑载列合理充足的详情。此类具约束力的合约或无约束力的框架协议应涵盖合理数目的独立客户，内容有关为客户开发、测试或销售特专科技产品，当中的重大潜在总合约价值可于上市日期起计</w:t>
      </w:r>
      <w:r>
        <w:rPr>
          <w:lang w:eastAsia="zh-CN"/>
        </w:rPr>
        <w:t>24</w:t>
      </w:r>
      <w:r>
        <w:rPr>
          <w:lang w:eastAsia="zh-CN"/>
        </w:rPr>
        <w:t>个月内变现。在特殊情况下，联交所可能会接纳预期时间表超过</w:t>
      </w:r>
      <w:r>
        <w:rPr>
          <w:lang w:eastAsia="zh-CN"/>
        </w:rPr>
        <w:t>24</w:t>
      </w:r>
      <w:r>
        <w:rPr>
          <w:lang w:eastAsia="zh-CN"/>
        </w:rPr>
        <w:t>个月的具约束力的合约或无约束力的框架协议，作为可信路径的证明，而此类安排涉及的任何独立客户亦须是信誉极好的客户。客户的独立性将以与资深独立投资者相同的方式评估。「信誉极好的客户」指：</w:t>
      </w:r>
      <w:r>
        <w:rPr>
          <w:lang w:eastAsia="zh-CN"/>
        </w:rPr>
        <w:t xml:space="preserve">(i) </w:t>
      </w:r>
      <w:r>
        <w:rPr>
          <w:lang w:eastAsia="zh-CN"/>
        </w:rPr>
        <w:t>于相关上游或下游行业拥有重大市场份额的主要市场参与者（由适当的独立市场或营运数据支持）；或</w:t>
      </w:r>
      <w:r>
        <w:rPr>
          <w:lang w:eastAsia="zh-CN"/>
        </w:rPr>
        <w:t xml:space="preserve"> (ii) </w:t>
      </w:r>
      <w:r>
        <w:rPr>
          <w:lang w:eastAsia="zh-CN"/>
        </w:rPr>
        <w:t>交易所《上市规则》所定义的国家机构或国营机构。</w:t>
      </w:r>
    </w:p>
    <w:p w:rsidR="003776F0" w:rsidRDefault="00C577C6">
      <w:pPr>
        <w:pStyle w:val="BodyText"/>
        <w:rPr>
          <w:lang w:eastAsia="zh-CN"/>
        </w:rPr>
      </w:pPr>
      <w:r>
        <w:rPr>
          <w:lang w:eastAsia="zh-CN"/>
        </w:rPr>
        <w:t>有不同投票权架构的特专科技公司</w:t>
      </w:r>
    </w:p>
    <w:p w:rsidR="003776F0" w:rsidRDefault="00C577C6">
      <w:pPr>
        <w:pStyle w:val="BodyText"/>
        <w:rPr>
          <w:lang w:eastAsia="zh-CN"/>
        </w:rPr>
      </w:pPr>
      <w:r>
        <w:rPr>
          <w:lang w:eastAsia="zh-CN"/>
        </w:rPr>
        <w:t>交易所并未发现特专科技公司机制有任何新或特殊的情况需要在现时《上市规则》有关不同投票权架构的规定更改。这意味着特专科技公司上市申请人如要</w:t>
      </w:r>
      <w:r>
        <w:rPr>
          <w:lang w:eastAsia="zh-CN"/>
        </w:rPr>
        <w:t>以不同投票权架构上市，其市值须达到最低门槛</w:t>
      </w:r>
      <w:r>
        <w:rPr>
          <w:lang w:eastAsia="zh-CN"/>
        </w:rPr>
        <w:t>400</w:t>
      </w:r>
      <w:r>
        <w:rPr>
          <w:lang w:eastAsia="zh-CN"/>
        </w:rPr>
        <w:t>亿港元，或</w:t>
      </w:r>
      <w:r>
        <w:rPr>
          <w:lang w:eastAsia="zh-CN"/>
        </w:rPr>
        <w:t>100</w:t>
      </w:r>
      <w:r>
        <w:rPr>
          <w:lang w:eastAsia="zh-CN"/>
        </w:rPr>
        <w:t>亿港元（若其在经审计的最近一个会计年度收益至少为</w:t>
      </w:r>
      <w:r>
        <w:rPr>
          <w:lang w:eastAsia="zh-CN"/>
        </w:rPr>
        <w:t>10</w:t>
      </w:r>
      <w:r>
        <w:rPr>
          <w:lang w:eastAsia="zh-CN"/>
        </w:rPr>
        <w:t>亿港元）。鉴于申请人将会是年收益低于</w:t>
      </w:r>
      <w:r>
        <w:rPr>
          <w:lang w:eastAsia="zh-CN"/>
        </w:rPr>
        <w:t>2.5</w:t>
      </w:r>
      <w:r>
        <w:rPr>
          <w:lang w:eastAsia="zh-CN"/>
        </w:rPr>
        <w:t>亿港元的未商业化公司，又或是已商业化但未能达到其他测试中的</w:t>
      </w:r>
      <w:r>
        <w:rPr>
          <w:lang w:eastAsia="zh-CN"/>
        </w:rPr>
        <w:t>5</w:t>
      </w:r>
      <w:r>
        <w:rPr>
          <w:lang w:eastAsia="zh-CN"/>
        </w:rPr>
        <w:t>亿港元年收益要求的公司，申请人很可能要达到</w:t>
      </w:r>
      <w:r>
        <w:rPr>
          <w:lang w:eastAsia="zh-CN"/>
        </w:rPr>
        <w:t>400</w:t>
      </w:r>
      <w:r>
        <w:rPr>
          <w:lang w:eastAsia="zh-CN"/>
        </w:rPr>
        <w:t>亿港元的市值门槛才能以不同投票权架构上市。</w:t>
      </w:r>
    </w:p>
    <w:p w:rsidR="003776F0" w:rsidRDefault="00C577C6">
      <w:pPr>
        <w:pStyle w:val="BodyText"/>
        <w:rPr>
          <w:lang w:eastAsia="zh-CN"/>
        </w:rPr>
      </w:pPr>
      <w:r>
        <w:rPr>
          <w:lang w:eastAsia="zh-CN"/>
        </w:rPr>
        <w:t>现行的有关不同投票权架构的《上市规则》规定，每名不同投票权受益人须对申请以不同投票权架构上市公司的业务增长有重大贡献，以及申请人必须证明其业务有高增长的营业纪录及其高增长轨迹预期可持续。这些规定亦适用于</w:t>
      </w:r>
      <w:r>
        <w:rPr>
          <w:lang w:eastAsia="zh-CN"/>
        </w:rPr>
        <w:t>申请以不同投票权架构上市的特专科技公司。</w:t>
      </w:r>
    </w:p>
    <w:p w:rsidR="003776F0" w:rsidRDefault="00C577C6">
      <w:pPr>
        <w:pStyle w:val="BodyText"/>
        <w:rPr>
          <w:lang w:eastAsia="zh-CN"/>
        </w:rPr>
      </w:pPr>
      <w:r>
        <w:rPr>
          <w:lang w:eastAsia="zh-CN"/>
        </w:rPr>
        <w:t>首次公开招股规定</w:t>
      </w:r>
    </w:p>
    <w:p w:rsidR="003776F0" w:rsidRDefault="00C577C6">
      <w:pPr>
        <w:pStyle w:val="BodyText"/>
        <w:rPr>
          <w:lang w:eastAsia="zh-CN"/>
        </w:rPr>
      </w:pPr>
      <w:r>
        <w:rPr>
          <w:lang w:eastAsia="zh-CN"/>
        </w:rPr>
        <w:t>特专科技公司须：</w:t>
      </w:r>
    </w:p>
    <w:p w:rsidR="003776F0" w:rsidRDefault="00C577C6">
      <w:pPr>
        <w:pStyle w:val="Compact"/>
        <w:numPr>
          <w:ilvl w:val="0"/>
          <w:numId w:val="8"/>
        </w:numPr>
        <w:rPr>
          <w:lang w:eastAsia="zh-CN"/>
        </w:rPr>
      </w:pPr>
      <w:r>
        <w:rPr>
          <w:lang w:eastAsia="zh-CN"/>
        </w:rPr>
        <w:t>分配至少首次公开招股发售的股份总数的</w:t>
      </w:r>
      <w:r>
        <w:rPr>
          <w:lang w:eastAsia="zh-CN"/>
        </w:rPr>
        <w:t>50%</w:t>
      </w:r>
      <w:r>
        <w:rPr>
          <w:lang w:eastAsia="zh-CN"/>
        </w:rPr>
        <w:t>予独立机构投资者（于行使超额配股权时发行的股份数目不计算在内），（以基石投资者或其他身份）参与首次公开招股配售部分的机构专业投资者</w:t>
      </w:r>
      <w:hyperlink w:anchor="footnote-598-2">
        <w:r>
          <w:rPr>
            <w:vertAlign w:val="superscript"/>
            <w:lang w:eastAsia="zh-CN"/>
          </w:rPr>
          <w:t>2</w:t>
        </w:r>
      </w:hyperlink>
      <w:r>
        <w:rPr>
          <w:lang w:eastAsia="zh-CN"/>
        </w:rPr>
        <w:t>，不包括申请人的现有股东，或现有股东的紧密联系人，及特专科技公司的核心关连人士。此规定亦适用于通过特殊目的公司并购交易上市的特专科技公司。</w:t>
      </w:r>
    </w:p>
    <w:p w:rsidR="003776F0" w:rsidRDefault="00C577C6">
      <w:pPr>
        <w:pStyle w:val="Compact"/>
        <w:numPr>
          <w:ilvl w:val="0"/>
          <w:numId w:val="8"/>
        </w:numPr>
        <w:rPr>
          <w:lang w:eastAsia="zh-CN"/>
        </w:rPr>
      </w:pPr>
      <w:r>
        <w:rPr>
          <w:lang w:eastAsia="zh-CN"/>
        </w:rPr>
        <w:lastRenderedPageBreak/>
        <w:t>有不少于</w:t>
      </w:r>
      <w:r>
        <w:rPr>
          <w:lang w:eastAsia="zh-CN"/>
        </w:rPr>
        <w:t>6</w:t>
      </w:r>
      <w:r>
        <w:rPr>
          <w:lang w:eastAsia="zh-CN"/>
        </w:rPr>
        <w:t>亿港元市值的「自由流通量」（不受任何</w:t>
      </w:r>
      <w:r>
        <w:rPr>
          <w:lang w:eastAsia="zh-CN"/>
        </w:rPr>
        <w:t>禁售规定所限）</w:t>
      </w:r>
    </w:p>
    <w:p w:rsidR="003776F0" w:rsidRDefault="00C577C6">
      <w:pPr>
        <w:pStyle w:val="Compact"/>
        <w:numPr>
          <w:ilvl w:val="0"/>
          <w:numId w:val="8"/>
        </w:numPr>
        <w:rPr>
          <w:lang w:eastAsia="zh-CN"/>
        </w:rPr>
      </w:pPr>
      <w:r>
        <w:rPr>
          <w:lang w:eastAsia="zh-CN"/>
        </w:rPr>
        <w:t>进行相当规模的发售（包括有配售部份与公开认购部份），而若有关发售的规模不足以于上市后维持流通量或因其他原因引起有关市场秩序的疑虑，联交所保留不批准其上市的权利；及</w:t>
      </w:r>
    </w:p>
    <w:p w:rsidR="003776F0" w:rsidRDefault="00C577C6">
      <w:pPr>
        <w:pStyle w:val="Compact"/>
        <w:numPr>
          <w:ilvl w:val="0"/>
          <w:numId w:val="8"/>
        </w:numPr>
        <w:rPr>
          <w:lang w:eastAsia="zh-CN"/>
        </w:rPr>
      </w:pPr>
      <w:r>
        <w:rPr>
          <w:lang w:eastAsia="zh-CN"/>
        </w:rPr>
        <w:t>上市文件的披露有额外规定，包括首次公开招股前投资及现金流量（包括如资金消耗率及现金经营成本）、产品及商业化现况及前景、研发、行业资料及知识产权以及详细的警告声明。</w:t>
      </w:r>
    </w:p>
    <w:p w:rsidR="003776F0" w:rsidRDefault="00C577C6">
      <w:pPr>
        <w:pStyle w:val="FirstParagraph"/>
        <w:rPr>
          <w:lang w:eastAsia="zh-CN"/>
        </w:rPr>
      </w:pPr>
      <w:r>
        <w:rPr>
          <w:lang w:eastAsia="zh-CN"/>
        </w:rPr>
        <w:t>调整的初步分配及回补机制适用于特专科技公司，如下表所示：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3"/>
        <w:gridCol w:w="1543"/>
        <w:gridCol w:w="1709"/>
        <w:gridCol w:w="1179"/>
      </w:tblGrid>
      <w:tr w:rsidR="00B61968" w:rsidRPr="00B63C97" w:rsidTr="00A82027">
        <w:tc>
          <w:tcPr>
            <w:tcW w:w="2296" w:type="dxa"/>
            <w:vMerge w:val="restart"/>
            <w:shd w:val="clear" w:color="auto" w:fill="auto"/>
            <w:vAlign w:val="center"/>
          </w:tcPr>
          <w:p w:rsidR="00B61968" w:rsidRPr="00B63C97" w:rsidRDefault="00B61968" w:rsidP="00A82027">
            <w:pPr>
              <w:jc w:val="center"/>
              <w:rPr>
                <w:b/>
                <w:bCs/>
                <w:lang w:eastAsia="zh-CN"/>
              </w:rPr>
            </w:pPr>
          </w:p>
        </w:tc>
        <w:tc>
          <w:tcPr>
            <w:tcW w:w="2235" w:type="dxa"/>
            <w:vMerge w:val="restart"/>
            <w:shd w:val="clear" w:color="auto" w:fill="auto"/>
            <w:vAlign w:val="center"/>
          </w:tcPr>
          <w:p w:rsidR="00B61968" w:rsidRPr="00B63C97" w:rsidRDefault="00B61968" w:rsidP="00A82027">
            <w:pPr>
              <w:jc w:val="center"/>
              <w:rPr>
                <w:b/>
                <w:bCs/>
              </w:rPr>
            </w:pPr>
            <w:r w:rsidRPr="00B63C97">
              <w:rPr>
                <w:b/>
                <w:bCs/>
              </w:rPr>
              <w:t>初订分配份额</w:t>
            </w:r>
          </w:p>
        </w:tc>
        <w:tc>
          <w:tcPr>
            <w:tcW w:w="3989" w:type="dxa"/>
            <w:gridSpan w:val="2"/>
            <w:shd w:val="clear" w:color="auto" w:fill="auto"/>
            <w:vAlign w:val="center"/>
          </w:tcPr>
          <w:p w:rsidR="00B61968" w:rsidRPr="00B63C97" w:rsidRDefault="00B61968" w:rsidP="00A82027">
            <w:pPr>
              <w:jc w:val="center"/>
              <w:rPr>
                <w:b/>
                <w:bCs/>
                <w:lang w:eastAsia="zh-CN"/>
              </w:rPr>
            </w:pPr>
            <w:r w:rsidRPr="00B63C97">
              <w:rPr>
                <w:b/>
                <w:bCs/>
                <w:lang w:eastAsia="zh-CN"/>
              </w:rPr>
              <w:t>公开认购部分超额认购倍数</w:t>
            </w:r>
          </w:p>
        </w:tc>
      </w:tr>
      <w:tr w:rsidR="00B61968" w:rsidRPr="00B63C97" w:rsidTr="00A82027">
        <w:tc>
          <w:tcPr>
            <w:tcW w:w="2296" w:type="dxa"/>
            <w:vMerge/>
            <w:shd w:val="clear" w:color="auto" w:fill="auto"/>
            <w:vAlign w:val="center"/>
          </w:tcPr>
          <w:p w:rsidR="00B61968" w:rsidRDefault="00B61968" w:rsidP="00A82027">
            <w:pPr>
              <w:jc w:val="center"/>
              <w:rPr>
                <w:lang w:eastAsia="zh-CN"/>
              </w:rPr>
            </w:pPr>
          </w:p>
        </w:tc>
        <w:tc>
          <w:tcPr>
            <w:tcW w:w="2235" w:type="dxa"/>
            <w:vMerge/>
            <w:shd w:val="clear" w:color="auto" w:fill="auto"/>
            <w:vAlign w:val="center"/>
          </w:tcPr>
          <w:p w:rsidR="00B61968" w:rsidRDefault="00B61968" w:rsidP="00A82027">
            <w:pPr>
              <w:jc w:val="center"/>
              <w:rPr>
                <w:lang w:eastAsia="zh-CN"/>
              </w:rPr>
            </w:pPr>
          </w:p>
        </w:tc>
        <w:tc>
          <w:tcPr>
            <w:tcW w:w="1994" w:type="dxa"/>
            <w:shd w:val="clear" w:color="auto" w:fill="auto"/>
            <w:vAlign w:val="center"/>
          </w:tcPr>
          <w:p w:rsidR="00B61968" w:rsidRPr="00B63C97" w:rsidRDefault="00B61968" w:rsidP="00A82027">
            <w:pPr>
              <w:jc w:val="center"/>
              <w:rPr>
                <w:b/>
                <w:bCs/>
              </w:rPr>
            </w:pPr>
            <w:r w:rsidRPr="00B63C97">
              <w:rPr>
                <w:b/>
                <w:bCs/>
              </w:rPr>
              <w:t>≥ 10 倍至&lt; 50 倍</w:t>
            </w:r>
          </w:p>
        </w:tc>
        <w:tc>
          <w:tcPr>
            <w:tcW w:w="1995" w:type="dxa"/>
            <w:shd w:val="clear" w:color="auto" w:fill="auto"/>
            <w:vAlign w:val="center"/>
          </w:tcPr>
          <w:p w:rsidR="00B61968" w:rsidRPr="00B63C97" w:rsidRDefault="00B61968" w:rsidP="00A82027">
            <w:pPr>
              <w:jc w:val="center"/>
              <w:rPr>
                <w:b/>
                <w:bCs/>
              </w:rPr>
            </w:pPr>
            <w:r w:rsidRPr="00B63C97">
              <w:rPr>
                <w:b/>
                <w:bCs/>
              </w:rPr>
              <w:t>≥ 50 倍</w:t>
            </w:r>
          </w:p>
        </w:tc>
      </w:tr>
      <w:tr w:rsidR="00B61968" w:rsidTr="00A82027">
        <w:trPr>
          <w:trHeight w:val="813"/>
        </w:trPr>
        <w:tc>
          <w:tcPr>
            <w:tcW w:w="2296" w:type="dxa"/>
            <w:shd w:val="clear" w:color="auto" w:fill="auto"/>
            <w:vAlign w:val="center"/>
          </w:tcPr>
          <w:p w:rsidR="00B61968" w:rsidRPr="00B63C97" w:rsidRDefault="00B61968" w:rsidP="00A82027">
            <w:pPr>
              <w:jc w:val="center"/>
              <w:rPr>
                <w:b/>
                <w:bCs/>
                <w:lang w:eastAsia="zh-CN"/>
              </w:rPr>
            </w:pPr>
            <w:r w:rsidRPr="00B63C97">
              <w:rPr>
                <w:b/>
                <w:bCs/>
                <w:lang w:eastAsia="zh-CN"/>
              </w:rPr>
              <w:t>散户投资者最低分配额占首次公开招股发售股份总数百分比</w:t>
            </w:r>
          </w:p>
        </w:tc>
        <w:tc>
          <w:tcPr>
            <w:tcW w:w="2235" w:type="dxa"/>
            <w:shd w:val="clear" w:color="auto" w:fill="auto"/>
            <w:vAlign w:val="center"/>
          </w:tcPr>
          <w:p w:rsidR="00B61968" w:rsidRDefault="00B61968" w:rsidP="00A82027">
            <w:pPr>
              <w:jc w:val="center"/>
            </w:pPr>
            <w:r>
              <w:rPr>
                <w:rFonts w:hint="eastAsia"/>
              </w:rPr>
              <w:t>5%</w:t>
            </w:r>
          </w:p>
        </w:tc>
        <w:tc>
          <w:tcPr>
            <w:tcW w:w="1994" w:type="dxa"/>
            <w:shd w:val="clear" w:color="auto" w:fill="auto"/>
            <w:vAlign w:val="center"/>
          </w:tcPr>
          <w:p w:rsidR="00B61968" w:rsidRDefault="00B61968" w:rsidP="00A82027">
            <w:pPr>
              <w:jc w:val="center"/>
            </w:pPr>
            <w:r>
              <w:rPr>
                <w:rFonts w:hint="eastAsia"/>
              </w:rPr>
              <w:t>10%</w:t>
            </w:r>
          </w:p>
        </w:tc>
        <w:tc>
          <w:tcPr>
            <w:tcW w:w="1995" w:type="dxa"/>
            <w:shd w:val="clear" w:color="auto" w:fill="auto"/>
            <w:vAlign w:val="center"/>
          </w:tcPr>
          <w:p w:rsidR="00B61968" w:rsidRDefault="00B61968" w:rsidP="00A82027">
            <w:pPr>
              <w:jc w:val="center"/>
            </w:pPr>
            <w:r>
              <w:rPr>
                <w:rFonts w:hint="eastAsia"/>
              </w:rPr>
              <w:t>20%</w:t>
            </w:r>
          </w:p>
        </w:tc>
      </w:tr>
    </w:tbl>
    <w:p w:rsidR="003776F0" w:rsidRDefault="00C577C6">
      <w:pPr>
        <w:pStyle w:val="BodyText"/>
        <w:rPr>
          <w:lang w:eastAsia="zh-CN"/>
        </w:rPr>
      </w:pPr>
      <w:r>
        <w:rPr>
          <w:lang w:eastAsia="zh-CN"/>
        </w:rPr>
        <w:t>未商业化公司披露有额外规定</w:t>
      </w:r>
    </w:p>
    <w:p w:rsidR="003776F0" w:rsidRDefault="00C577C6">
      <w:pPr>
        <w:pStyle w:val="BodyText"/>
        <w:rPr>
          <w:lang w:eastAsia="zh-CN"/>
        </w:rPr>
      </w:pPr>
      <w:r>
        <w:rPr>
          <w:lang w:eastAsia="zh-CN"/>
        </w:rPr>
        <w:t>未商业化公司须在其上市文件内作出下列额外披露：</w:t>
      </w:r>
    </w:p>
    <w:p w:rsidR="003776F0" w:rsidRDefault="00C577C6">
      <w:pPr>
        <w:pStyle w:val="Compact"/>
        <w:numPr>
          <w:ilvl w:val="0"/>
          <w:numId w:val="9"/>
        </w:numPr>
        <w:rPr>
          <w:lang w:eastAsia="zh-CN"/>
        </w:rPr>
      </w:pPr>
      <w:r>
        <w:rPr>
          <w:lang w:eastAsia="zh-CN"/>
        </w:rPr>
        <w:t>各特专科技产品的研发阶段；</w:t>
      </w:r>
    </w:p>
    <w:p w:rsidR="003776F0" w:rsidRDefault="00C577C6">
      <w:pPr>
        <w:pStyle w:val="Compact"/>
        <w:numPr>
          <w:ilvl w:val="0"/>
          <w:numId w:val="9"/>
        </w:numPr>
        <w:rPr>
          <w:lang w:eastAsia="zh-CN"/>
        </w:rPr>
      </w:pPr>
      <w:r>
        <w:rPr>
          <w:lang w:eastAsia="zh-CN"/>
        </w:rPr>
        <w:t>每个特专科技产品在达到商业化收益门槛过程中每个关键阶段的开发详情及里程碑；</w:t>
      </w:r>
    </w:p>
    <w:p w:rsidR="003776F0" w:rsidRDefault="00C577C6">
      <w:pPr>
        <w:pStyle w:val="Compact"/>
        <w:numPr>
          <w:ilvl w:val="0"/>
          <w:numId w:val="9"/>
        </w:numPr>
        <w:rPr>
          <w:lang w:eastAsia="zh-CN"/>
        </w:rPr>
      </w:pPr>
      <w:r>
        <w:rPr>
          <w:lang w:eastAsia="zh-CN"/>
        </w:rPr>
        <w:t>与每个特专科技产品商业化有关的风险；及</w:t>
      </w:r>
    </w:p>
    <w:p w:rsidR="003776F0" w:rsidRDefault="00C577C6">
      <w:pPr>
        <w:pStyle w:val="Compact"/>
        <w:numPr>
          <w:ilvl w:val="0"/>
          <w:numId w:val="9"/>
        </w:numPr>
        <w:rPr>
          <w:lang w:eastAsia="zh-CN"/>
        </w:rPr>
      </w:pPr>
      <w:r>
        <w:rPr>
          <w:lang w:eastAsia="zh-CN"/>
        </w:rPr>
        <w:t>额外警告声明，提醒投资者，公司在上市后未必能产生足够收入维持营运或会因缺乏可用资金而倒闭的额外风险。</w:t>
      </w:r>
    </w:p>
    <w:p w:rsidR="003776F0" w:rsidRDefault="00C577C6">
      <w:pPr>
        <w:pStyle w:val="FirstParagraph"/>
        <w:rPr>
          <w:lang w:eastAsia="zh-CN"/>
        </w:rPr>
      </w:pPr>
      <w:r>
        <w:rPr>
          <w:lang w:eastAsia="zh-CN"/>
        </w:rPr>
        <w:t>现有股东认购首次公开招股股份</w:t>
      </w:r>
    </w:p>
    <w:p w:rsidR="003776F0" w:rsidRDefault="00C577C6">
      <w:pPr>
        <w:pStyle w:val="BodyText"/>
      </w:pPr>
      <w:r>
        <w:rPr>
          <w:lang w:eastAsia="zh-CN"/>
        </w:rPr>
        <w:t>交易所建议，准许特专科技公司的现有股东认购其首次公开招股股份，但有关公司须符合公众持股量规定、向独立机构投资者作出最低分配的规定及最低自由流通量规定。</w:t>
      </w:r>
      <w:hyperlink r:id="rId9">
        <w:r>
          <w:rPr>
            <w:lang w:eastAsia="zh-CN"/>
          </w:rPr>
          <w:t>指引信</w:t>
        </w:r>
        <w:r>
          <w:rPr>
            <w:lang w:eastAsia="zh-CN"/>
          </w:rPr>
          <w:t>HKEX--GL85-16</w:t>
        </w:r>
      </w:hyperlink>
      <w:r>
        <w:rPr>
          <w:lang w:eastAsia="zh-CN"/>
        </w:rPr>
        <w:t>第</w:t>
      </w:r>
      <w:r>
        <w:rPr>
          <w:lang w:eastAsia="zh-CN"/>
        </w:rPr>
        <w:t>4.20</w:t>
      </w:r>
      <w:r>
        <w:rPr>
          <w:lang w:eastAsia="zh-CN"/>
        </w:rPr>
        <w:t>段所述的「现有股东条件」不适用于特专科技公司。</w:t>
      </w:r>
      <w:r>
        <w:t>因而，联交所建议：</w:t>
      </w:r>
    </w:p>
    <w:p w:rsidR="003776F0" w:rsidRDefault="00C577C6">
      <w:pPr>
        <w:numPr>
          <w:ilvl w:val="0"/>
          <w:numId w:val="10"/>
        </w:numPr>
        <w:rPr>
          <w:lang w:eastAsia="zh-CN"/>
        </w:rPr>
      </w:pPr>
      <w:r>
        <w:rPr>
          <w:lang w:eastAsia="zh-CN"/>
        </w:rPr>
        <w:t>在上市前持有股份不足</w:t>
      </w:r>
      <w:r>
        <w:rPr>
          <w:lang w:eastAsia="zh-CN"/>
        </w:rPr>
        <w:t>10%</w:t>
      </w:r>
      <w:r>
        <w:rPr>
          <w:lang w:eastAsia="zh-CN"/>
        </w:rPr>
        <w:t>的现有股</w:t>
      </w:r>
      <w:r>
        <w:rPr>
          <w:lang w:eastAsia="zh-CN"/>
        </w:rPr>
        <w:t>东，可以基础投资者或承配人的身份认购首次公开招股的股份。</w:t>
      </w:r>
    </w:p>
    <w:p w:rsidR="003776F0" w:rsidRDefault="00C577C6">
      <w:pPr>
        <w:numPr>
          <w:ilvl w:val="0"/>
          <w:numId w:val="1"/>
        </w:numPr>
        <w:rPr>
          <w:lang w:eastAsia="zh-CN"/>
        </w:rPr>
      </w:pPr>
      <w:r>
        <w:rPr>
          <w:lang w:eastAsia="zh-CN"/>
        </w:rPr>
        <w:t>若现有股东作为承配人认购股份，申请人及其保荐人须确认现有股东不会获得特别优待。若现有股东作为基础投资者认购股份，申请人及其保荐人必须确认，现有股东除按首次公开招股价格保证配发证券的特别优待外，概没有任何其他优待，且认购条款必须与其他基础投资者大致相同；</w:t>
      </w:r>
    </w:p>
    <w:p w:rsidR="003776F0" w:rsidRDefault="00C577C6">
      <w:pPr>
        <w:pStyle w:val="Compact"/>
        <w:numPr>
          <w:ilvl w:val="0"/>
          <w:numId w:val="10"/>
        </w:numPr>
        <w:rPr>
          <w:lang w:eastAsia="zh-CN"/>
        </w:rPr>
      </w:pPr>
      <w:r>
        <w:rPr>
          <w:lang w:eastAsia="zh-CN"/>
        </w:rPr>
        <w:t>持有特专科技公司</w:t>
      </w:r>
      <w:r>
        <w:rPr>
          <w:lang w:eastAsia="zh-CN"/>
        </w:rPr>
        <w:t>10%</w:t>
      </w:r>
      <w:r>
        <w:rPr>
          <w:lang w:eastAsia="zh-CN"/>
        </w:rPr>
        <w:t>或以上股份的现有股东，可以基础投资者身份认购首次公开招股的股份。</w:t>
      </w:r>
    </w:p>
    <w:p w:rsidR="003776F0" w:rsidRDefault="00C577C6">
      <w:pPr>
        <w:pStyle w:val="FirstParagraph"/>
        <w:rPr>
          <w:lang w:eastAsia="zh-CN"/>
        </w:rPr>
      </w:pPr>
      <w:r>
        <w:rPr>
          <w:lang w:eastAsia="zh-CN"/>
        </w:rPr>
        <w:t>当向核心关连人士配股，特专科技公司必须提出申请，而联交所通常会授予《主板上市规则》第</w:t>
      </w:r>
      <w:r>
        <w:rPr>
          <w:lang w:eastAsia="zh-CN"/>
        </w:rPr>
        <w:t xml:space="preserve"> 9.09 </w:t>
      </w:r>
      <w:r>
        <w:rPr>
          <w:lang w:eastAsia="zh-CN"/>
        </w:rPr>
        <w:t>条的相关豁免。拥</w:t>
      </w:r>
      <w:r>
        <w:rPr>
          <w:lang w:eastAsia="zh-CN"/>
        </w:rPr>
        <w:t>有反摊薄合约权利的现有股东可以根据指引信</w:t>
      </w:r>
      <w:hyperlink r:id="rId10">
        <w:r>
          <w:rPr>
            <w:lang w:eastAsia="zh-CN"/>
          </w:rPr>
          <w:t>HKEX--GL43-12</w:t>
        </w:r>
      </w:hyperlink>
      <w:r>
        <w:rPr>
          <w:lang w:eastAsia="zh-CN"/>
        </w:rPr>
        <w:t>第</w:t>
      </w:r>
      <w:r>
        <w:rPr>
          <w:lang w:eastAsia="zh-CN"/>
        </w:rPr>
        <w:t>3.10</w:t>
      </w:r>
      <w:r>
        <w:rPr>
          <w:lang w:eastAsia="zh-CN"/>
        </w:rPr>
        <w:t>段认购首次公开招股的股份。</w:t>
      </w:r>
    </w:p>
    <w:p w:rsidR="003776F0" w:rsidRDefault="00C577C6">
      <w:pPr>
        <w:pStyle w:val="BodyText"/>
        <w:rPr>
          <w:lang w:eastAsia="zh-CN"/>
        </w:rPr>
      </w:pPr>
      <w:r>
        <w:rPr>
          <w:lang w:eastAsia="zh-CN"/>
        </w:rPr>
        <w:t>现有股东认购的特专科技公司股份，将不计算在独立机构投资者所需配售的首次公开招股股份的</w:t>
      </w:r>
      <w:r>
        <w:rPr>
          <w:lang w:eastAsia="zh-CN"/>
        </w:rPr>
        <w:t>50%</w:t>
      </w:r>
      <w:r>
        <w:rPr>
          <w:lang w:eastAsia="zh-CN"/>
        </w:rPr>
        <w:t>内。</w:t>
      </w:r>
    </w:p>
    <w:p w:rsidR="003776F0" w:rsidRDefault="00C577C6">
      <w:pPr>
        <w:pStyle w:val="BodyText"/>
        <w:rPr>
          <w:lang w:eastAsia="zh-CN"/>
        </w:rPr>
      </w:pPr>
      <w:r>
        <w:rPr>
          <w:lang w:eastAsia="zh-CN"/>
        </w:rPr>
        <w:lastRenderedPageBreak/>
        <w:t>首次公开招股后禁售期</w:t>
      </w:r>
    </w:p>
    <w:p w:rsidR="003776F0" w:rsidRDefault="00C577C6">
      <w:pPr>
        <w:pStyle w:val="BodyText"/>
        <w:rPr>
          <w:lang w:eastAsia="zh-CN"/>
        </w:rPr>
      </w:pPr>
      <w:r>
        <w:rPr>
          <w:lang w:eastAsia="zh-CN"/>
        </w:rPr>
        <w:t>拟议的上市机制将对以下人员实施首次公开招股后禁售期：</w:t>
      </w:r>
    </w:p>
    <w:p w:rsidR="003776F0" w:rsidRDefault="00C577C6">
      <w:pPr>
        <w:pStyle w:val="Compact"/>
        <w:numPr>
          <w:ilvl w:val="0"/>
          <w:numId w:val="11"/>
        </w:numPr>
      </w:pPr>
      <w:r>
        <w:t>控股股东；</w:t>
      </w:r>
    </w:p>
    <w:p w:rsidR="003776F0" w:rsidRDefault="00C577C6">
      <w:pPr>
        <w:pStyle w:val="Compact"/>
        <w:numPr>
          <w:ilvl w:val="0"/>
          <w:numId w:val="11"/>
        </w:numPr>
        <w:rPr>
          <w:lang w:eastAsia="zh-CN"/>
        </w:rPr>
      </w:pPr>
      <w:r>
        <w:rPr>
          <w:lang w:eastAsia="zh-CN"/>
        </w:rPr>
        <w:t>关键</w:t>
      </w:r>
      <w:r>
        <w:rPr>
          <w:lang w:eastAsia="zh-CN"/>
        </w:rPr>
        <w:t>人士（包括创办人、不同投票权受益人、执行董事及高级管理人员、负责特专科技公司技术营运及／或特专科技产品研发的主要人员）；及</w:t>
      </w:r>
    </w:p>
    <w:p w:rsidR="003776F0" w:rsidRDefault="00C577C6">
      <w:pPr>
        <w:pStyle w:val="Compact"/>
        <w:numPr>
          <w:ilvl w:val="0"/>
          <w:numId w:val="11"/>
        </w:numPr>
      </w:pPr>
      <w:r>
        <w:t>领航资深独立投资者。</w:t>
      </w:r>
    </w:p>
    <w:p w:rsidR="003776F0" w:rsidRDefault="00C577C6">
      <w:pPr>
        <w:pStyle w:val="FirstParagraph"/>
      </w:pPr>
      <w:r>
        <w:t>联交所建议：</w:t>
      </w:r>
    </w:p>
    <w:p w:rsidR="003776F0" w:rsidRDefault="00C577C6">
      <w:pPr>
        <w:pStyle w:val="Compact"/>
        <w:numPr>
          <w:ilvl w:val="0"/>
          <w:numId w:val="12"/>
        </w:numPr>
        <w:rPr>
          <w:lang w:eastAsia="zh-CN"/>
        </w:rPr>
      </w:pPr>
      <w:r>
        <w:rPr>
          <w:lang w:eastAsia="zh-CN"/>
        </w:rPr>
        <w:t>已商业化公司的控股股东有</w:t>
      </w:r>
      <w:r>
        <w:rPr>
          <w:lang w:eastAsia="zh-CN"/>
        </w:rPr>
        <w:t>12</w:t>
      </w:r>
      <w:r>
        <w:rPr>
          <w:lang w:eastAsia="zh-CN"/>
        </w:rPr>
        <w:t>个月的商业化公司的关键人士及其紧密联系人将受</w:t>
      </w:r>
      <w:r>
        <w:rPr>
          <w:lang w:eastAsia="zh-CN"/>
        </w:rPr>
        <w:t>12</w:t>
      </w:r>
      <w:r>
        <w:rPr>
          <w:lang w:eastAsia="zh-CN"/>
        </w:rPr>
        <w:t>个月的禁售期限制，而未商业化的公司的关键人士则受</w:t>
      </w:r>
      <w:r>
        <w:rPr>
          <w:lang w:eastAsia="zh-CN"/>
        </w:rPr>
        <w:t>24</w:t>
      </w:r>
      <w:r>
        <w:rPr>
          <w:lang w:eastAsia="zh-CN"/>
        </w:rPr>
        <w:t>个月的禁售期限制。</w:t>
      </w:r>
    </w:p>
    <w:p w:rsidR="003776F0" w:rsidRDefault="00C577C6">
      <w:pPr>
        <w:pStyle w:val="Compact"/>
        <w:numPr>
          <w:ilvl w:val="0"/>
          <w:numId w:val="12"/>
        </w:numPr>
        <w:rPr>
          <w:lang w:eastAsia="zh-CN"/>
        </w:rPr>
      </w:pPr>
      <w:r>
        <w:rPr>
          <w:lang w:eastAsia="zh-CN"/>
        </w:rPr>
        <w:t>联交所保留视乎事实及情况而视乎任何人为关键人士的权利。作为一项反避税规定，关键人士所持股份的禁售期将会继续，尽管该人士已调职或辞任；</w:t>
      </w:r>
    </w:p>
    <w:p w:rsidR="003776F0" w:rsidRDefault="00C577C6">
      <w:pPr>
        <w:pStyle w:val="Compact"/>
        <w:numPr>
          <w:ilvl w:val="0"/>
          <w:numId w:val="12"/>
        </w:numPr>
        <w:rPr>
          <w:lang w:eastAsia="zh-CN"/>
        </w:rPr>
      </w:pPr>
      <w:r>
        <w:rPr>
          <w:lang w:eastAsia="zh-CN"/>
        </w:rPr>
        <w:t>领航资深独立投资者将会有</w:t>
      </w:r>
      <w:r>
        <w:rPr>
          <w:lang w:eastAsia="zh-CN"/>
        </w:rPr>
        <w:t>6</w:t>
      </w:r>
      <w:r>
        <w:rPr>
          <w:lang w:eastAsia="zh-CN"/>
        </w:rPr>
        <w:t>个月的禁售期（如为已商业化公司）或</w:t>
      </w:r>
      <w:r>
        <w:rPr>
          <w:lang w:eastAsia="zh-CN"/>
        </w:rPr>
        <w:t>12</w:t>
      </w:r>
      <w:r>
        <w:rPr>
          <w:lang w:eastAsia="zh-CN"/>
        </w:rPr>
        <w:t>个月的</w:t>
      </w:r>
      <w:r>
        <w:rPr>
          <w:lang w:eastAsia="zh-CN"/>
        </w:rPr>
        <w:t>禁售期（如为未商业化的公司）。</w:t>
      </w:r>
    </w:p>
    <w:p w:rsidR="003776F0" w:rsidRDefault="00C577C6">
      <w:pPr>
        <w:pStyle w:val="FirstParagraph"/>
        <w:rPr>
          <w:lang w:eastAsia="zh-CN"/>
        </w:rPr>
      </w:pPr>
      <w:r>
        <w:rPr>
          <w:lang w:eastAsia="zh-CN"/>
        </w:rPr>
        <w:t>禁售之证券</w:t>
      </w:r>
    </w:p>
    <w:p w:rsidR="003776F0" w:rsidRDefault="00C577C6">
      <w:pPr>
        <w:pStyle w:val="BodyText"/>
        <w:rPr>
          <w:lang w:eastAsia="zh-CN"/>
        </w:rPr>
      </w:pPr>
      <w:r>
        <w:rPr>
          <w:lang w:eastAsia="zh-CN"/>
        </w:rPr>
        <w:t>就须遵守禁售规定的股东而言，其只需遵守有关出售上市文件显示由其实益拥有的证券的限制。他们将不会被禁止在上市前出售所持股份，或将其作为首次公开招股的一部分出售。只有相关股东在上市后持有的证券才受禁售规定所限。</w:t>
      </w:r>
    </w:p>
    <w:p w:rsidR="003776F0" w:rsidRDefault="00C577C6">
      <w:pPr>
        <w:pStyle w:val="BodyText"/>
        <w:rPr>
          <w:lang w:eastAsia="zh-CN"/>
        </w:rPr>
      </w:pPr>
      <w:r>
        <w:rPr>
          <w:lang w:eastAsia="zh-CN"/>
        </w:rPr>
        <w:t>须遵守禁售规定的股东将可在首次公开招股时购买额外证券然后在禁售期内出售这些证券，前提是发行人须遵守联交所《上市规则》</w:t>
      </w:r>
      <w:r>
        <w:rPr>
          <w:lang w:eastAsia="zh-CN"/>
        </w:rPr>
        <w:t>8.08</w:t>
      </w:r>
      <w:r>
        <w:rPr>
          <w:lang w:eastAsia="zh-CN"/>
        </w:rPr>
        <w:t>的规定，维持公开证券市场及有足够的公众持股量。</w:t>
      </w:r>
    </w:p>
    <w:p w:rsidR="003776F0" w:rsidRDefault="00C577C6">
      <w:pPr>
        <w:pStyle w:val="BodyText"/>
        <w:rPr>
          <w:lang w:eastAsia="zh-CN"/>
        </w:rPr>
      </w:pPr>
      <w:r>
        <w:rPr>
          <w:lang w:eastAsia="zh-CN"/>
        </w:rPr>
        <w:t>现有股东在上市前如持有特专科技公司</w:t>
      </w:r>
      <w:r>
        <w:rPr>
          <w:lang w:eastAsia="zh-CN"/>
        </w:rPr>
        <w:t>10%</w:t>
      </w:r>
      <w:r>
        <w:rPr>
          <w:lang w:eastAsia="zh-CN"/>
        </w:rPr>
        <w:t>或以上的股份，并拟在首次公开招股中认购股份，应以基石投资者身份作出认购。现有股东须遵守</w:t>
      </w:r>
      <w:hyperlink r:id="rId11">
        <w:r>
          <w:rPr>
            <w:lang w:eastAsia="zh-CN"/>
          </w:rPr>
          <w:t>指引信</w:t>
        </w:r>
        <w:r>
          <w:rPr>
            <w:lang w:eastAsia="zh-CN"/>
          </w:rPr>
          <w:t>HKEX--GL51-13</w:t>
        </w:r>
      </w:hyperlink>
      <w:r>
        <w:rPr>
          <w:lang w:eastAsia="zh-CN"/>
        </w:rPr>
        <w:t>第</w:t>
      </w:r>
      <w:r>
        <w:rPr>
          <w:lang w:eastAsia="zh-CN"/>
        </w:rPr>
        <w:t>2.2(b)</w:t>
      </w:r>
      <w:r>
        <w:rPr>
          <w:lang w:eastAsia="zh-CN"/>
        </w:rPr>
        <w:t>段基石投资者适用的一般为期六个月的禁售规定。</w:t>
      </w:r>
    </w:p>
    <w:p w:rsidR="003776F0" w:rsidRDefault="00C577C6">
      <w:pPr>
        <w:pStyle w:val="BodyText"/>
        <w:rPr>
          <w:lang w:eastAsia="zh-CN"/>
        </w:rPr>
      </w:pPr>
      <w:r>
        <w:rPr>
          <w:lang w:eastAsia="zh-CN"/>
        </w:rPr>
        <w:t>视作出售证券</w:t>
      </w:r>
    </w:p>
    <w:p w:rsidR="003776F0" w:rsidRDefault="00C577C6">
      <w:pPr>
        <w:pStyle w:val="BodyText"/>
        <w:rPr>
          <w:lang w:eastAsia="zh-CN"/>
        </w:rPr>
      </w:pPr>
      <w:r>
        <w:rPr>
          <w:lang w:eastAsia="zh-CN"/>
        </w:rPr>
        <w:t>联交所建议，受禁售期所限</w:t>
      </w:r>
      <w:r>
        <w:rPr>
          <w:lang w:eastAsia="zh-CN"/>
        </w:rPr>
        <w:t>的任何人如因特专科技公司在禁售期内配发、授予或发行新证券而被视作出售证券，均不会被视为违反禁售规定。该建议认为特专科技公司有庞大的资金需求，它们在上市后首六个月《上市规则》适用的禁售规定期满后便可能希望发行新证券筹集资金。</w:t>
      </w:r>
      <w:hyperlink w:anchor="footnote-598-3">
        <w:r>
          <w:rPr>
            <w:vertAlign w:val="superscript"/>
            <w:lang w:eastAsia="zh-CN"/>
          </w:rPr>
          <w:t>3</w:t>
        </w:r>
      </w:hyperlink>
    </w:p>
    <w:p w:rsidR="003776F0" w:rsidRDefault="00C577C6">
      <w:pPr>
        <w:pStyle w:val="BodyText"/>
        <w:rPr>
          <w:lang w:eastAsia="zh-CN"/>
        </w:rPr>
      </w:pPr>
      <w:r>
        <w:rPr>
          <w:lang w:eastAsia="zh-CN"/>
        </w:rPr>
        <w:t>除去未商业化公司身份后仍须遵守禁售规定</w:t>
      </w:r>
    </w:p>
    <w:p w:rsidR="003776F0" w:rsidRDefault="00C577C6">
      <w:pPr>
        <w:pStyle w:val="BodyText"/>
        <w:rPr>
          <w:lang w:eastAsia="zh-CN"/>
        </w:rPr>
      </w:pPr>
      <w:r>
        <w:rPr>
          <w:lang w:eastAsia="zh-CN"/>
        </w:rPr>
        <w:t>任何在除去未商业化公司身份时有效的禁售规定全部继续适用。</w:t>
      </w:r>
    </w:p>
    <w:p w:rsidR="003776F0" w:rsidRDefault="00C577C6">
      <w:pPr>
        <w:pStyle w:val="BodyText"/>
        <w:rPr>
          <w:lang w:eastAsia="zh-CN"/>
        </w:rPr>
      </w:pPr>
      <w:r>
        <w:rPr>
          <w:lang w:eastAsia="zh-CN"/>
        </w:rPr>
        <w:t>披露受禁售期所限的人士的资料</w:t>
      </w:r>
    </w:p>
    <w:p w:rsidR="003776F0" w:rsidRDefault="00C577C6">
      <w:pPr>
        <w:pStyle w:val="BodyText"/>
        <w:rPr>
          <w:lang w:eastAsia="zh-CN"/>
        </w:rPr>
      </w:pPr>
      <w:r>
        <w:rPr>
          <w:lang w:eastAsia="zh-CN"/>
        </w:rPr>
        <w:t>特专科技公司必须在其上市文件、中期报告及年报中披露须遵守《上市规则》下的禁售规定的人</w:t>
      </w:r>
      <w:r>
        <w:rPr>
          <w:lang w:eastAsia="zh-CN"/>
        </w:rPr>
        <w:t>士持有的发行人证券总数。只要相关人士仍是股东，无论其是否不再担任相关职位（即作为关键人士），其仍须履行此持续披露责任。</w:t>
      </w:r>
    </w:p>
    <w:p w:rsidR="003776F0" w:rsidRDefault="00C577C6">
      <w:pPr>
        <w:pStyle w:val="BodyText"/>
        <w:rPr>
          <w:lang w:eastAsia="zh-CN"/>
        </w:rPr>
      </w:pPr>
      <w:r>
        <w:rPr>
          <w:lang w:eastAsia="zh-CN"/>
        </w:rPr>
        <w:t>未商业化公司的额外持续责任</w:t>
      </w:r>
    </w:p>
    <w:p w:rsidR="003776F0" w:rsidRDefault="00C577C6">
      <w:pPr>
        <w:pStyle w:val="BodyText"/>
        <w:rPr>
          <w:lang w:eastAsia="zh-CN"/>
        </w:rPr>
      </w:pPr>
      <w:r>
        <w:rPr>
          <w:lang w:eastAsia="zh-CN"/>
        </w:rPr>
        <w:t>未商业化公司在达至商业化收益门槛之前将有以下额外的持续责任：</w:t>
      </w:r>
    </w:p>
    <w:p w:rsidR="003776F0" w:rsidRDefault="00C577C6">
      <w:pPr>
        <w:pStyle w:val="Compact"/>
        <w:numPr>
          <w:ilvl w:val="0"/>
          <w:numId w:val="13"/>
        </w:numPr>
        <w:rPr>
          <w:lang w:eastAsia="zh-CN"/>
        </w:rPr>
      </w:pPr>
      <w:r>
        <w:rPr>
          <w:lang w:eastAsia="zh-CN"/>
        </w:rPr>
        <w:t>于中期报告及年报中作出额外披露，包括发行人达到商业化收益门槛的时间表及任何进展；</w:t>
      </w:r>
    </w:p>
    <w:p w:rsidR="003776F0" w:rsidRDefault="00C577C6">
      <w:pPr>
        <w:pStyle w:val="Compact"/>
        <w:numPr>
          <w:ilvl w:val="0"/>
          <w:numId w:val="13"/>
        </w:numPr>
        <w:rPr>
          <w:lang w:eastAsia="zh-CN"/>
        </w:rPr>
      </w:pPr>
      <w:r>
        <w:rPr>
          <w:lang w:eastAsia="zh-CN"/>
        </w:rPr>
        <w:t>于除牌前重新符合有足够业务运作规定的补救期至</w:t>
      </w:r>
      <w:r>
        <w:rPr>
          <w:lang w:eastAsia="zh-CN"/>
        </w:rPr>
        <w:t>12</w:t>
      </w:r>
      <w:r>
        <w:rPr>
          <w:lang w:eastAsia="zh-CN"/>
        </w:rPr>
        <w:t>个月（一般为</w:t>
      </w:r>
      <w:r>
        <w:rPr>
          <w:lang w:eastAsia="zh-CN"/>
        </w:rPr>
        <w:t>18</w:t>
      </w:r>
      <w:r>
        <w:rPr>
          <w:lang w:eastAsia="zh-CN"/>
        </w:rPr>
        <w:t>个月）；</w:t>
      </w:r>
    </w:p>
    <w:p w:rsidR="003776F0" w:rsidRDefault="00C577C6">
      <w:pPr>
        <w:pStyle w:val="Compact"/>
        <w:numPr>
          <w:ilvl w:val="0"/>
          <w:numId w:val="13"/>
        </w:numPr>
        <w:rPr>
          <w:lang w:eastAsia="zh-CN"/>
        </w:rPr>
      </w:pPr>
      <w:r>
        <w:rPr>
          <w:lang w:eastAsia="zh-CN"/>
        </w:rPr>
        <w:t>未经联交所事先同意，不得进行任何会对业务造成重大变动的交易；</w:t>
      </w:r>
    </w:p>
    <w:p w:rsidR="003776F0" w:rsidRDefault="00C577C6">
      <w:pPr>
        <w:pStyle w:val="Compact"/>
        <w:numPr>
          <w:ilvl w:val="0"/>
          <w:numId w:val="13"/>
        </w:numPr>
        <w:rPr>
          <w:lang w:eastAsia="zh-CN"/>
        </w:rPr>
      </w:pPr>
      <w:r>
        <w:rPr>
          <w:lang w:eastAsia="zh-CN"/>
        </w:rPr>
        <w:lastRenderedPageBreak/>
        <w:t>在股份代号的结尾以股份标记「</w:t>
      </w:r>
      <w:r>
        <w:rPr>
          <w:lang w:eastAsia="zh-CN"/>
        </w:rPr>
        <w:t>PC</w:t>
      </w:r>
      <w:r>
        <w:rPr>
          <w:lang w:eastAsia="zh-CN"/>
        </w:rPr>
        <w:t>」辨识。</w:t>
      </w:r>
    </w:p>
    <w:p w:rsidR="003776F0" w:rsidRDefault="00C577C6">
      <w:pPr>
        <w:pStyle w:val="FirstParagraph"/>
        <w:rPr>
          <w:lang w:eastAsia="zh-CN"/>
        </w:rPr>
      </w:pPr>
      <w:r>
        <w:rPr>
          <w:lang w:eastAsia="zh-CN"/>
        </w:rPr>
        <w:t>除去未商业化公司身份</w:t>
      </w:r>
    </w:p>
    <w:p w:rsidR="003776F0" w:rsidRDefault="00C577C6">
      <w:pPr>
        <w:pStyle w:val="BodyText"/>
        <w:rPr>
          <w:lang w:eastAsia="zh-CN"/>
        </w:rPr>
      </w:pPr>
      <w:r>
        <w:rPr>
          <w:lang w:eastAsia="zh-CN"/>
        </w:rPr>
        <w:t>待未商业化公司能向联交所证明已达到商业化收益门槛或至少一项主板资格测试，未商业化公司的所有额外持续责任即不再适用。在除去未商业化公司身份时，未商业化公司须向联交所申请除去未商业化身份，须提交已刊发之经审计财务报表作证。其在收到联交所除去其未商业化公司身份的通知后，必须就此刊发公告。届时，联交所将删除股份标记「</w:t>
      </w:r>
      <w:r>
        <w:rPr>
          <w:lang w:eastAsia="zh-CN"/>
        </w:rPr>
        <w:t>PC</w:t>
      </w:r>
      <w:r>
        <w:rPr>
          <w:lang w:eastAsia="zh-CN"/>
        </w:rPr>
        <w:t>」。</w:t>
      </w:r>
    </w:p>
    <w:p w:rsidR="003776F0" w:rsidRDefault="00C577C6">
      <w:pPr>
        <w:pStyle w:val="BodyText"/>
        <w:rPr>
          <w:lang w:eastAsia="zh-CN"/>
        </w:rPr>
      </w:pPr>
      <w:r>
        <w:rPr>
          <w:lang w:eastAsia="zh-CN"/>
        </w:rPr>
        <w:t>回应谘询</w:t>
      </w:r>
    </w:p>
    <w:p w:rsidR="003776F0" w:rsidRDefault="00C577C6">
      <w:pPr>
        <w:pStyle w:val="BodyText"/>
      </w:pPr>
      <w:r>
        <w:t>有兴趣参与谘询的人士可于香港交易所网页</w:t>
      </w:r>
      <w:hyperlink r:id="rId12">
        <w:r>
          <w:t>https://surveys.hkex.com.hk/jfe/form/SV_41SJbQrjgDz54qO</w:t>
        </w:r>
      </w:hyperlink>
      <w:r>
        <w:t>填写及递交问卷。</w:t>
      </w:r>
    </w:p>
    <w:p w:rsidR="00C577C6" w:rsidRDefault="00C577C6">
      <w:pPr>
        <w:pStyle w:val="BodyText"/>
      </w:pPr>
      <w:bookmarkStart w:id="0" w:name="_GoBack"/>
      <w:bookmarkEnd w:id="0"/>
    </w:p>
    <w:p w:rsidR="003776F0" w:rsidRDefault="00C577C6">
      <w:pPr>
        <w:pStyle w:val="BodyText"/>
        <w:rPr>
          <w:lang w:eastAsia="zh-CN"/>
        </w:rPr>
      </w:pPr>
      <w:hyperlink w:anchor="footnote-598-1-backlink">
        <w:r>
          <w:rPr>
            <w:lang w:eastAsia="zh-CN"/>
          </w:rPr>
          <w:t>1</w:t>
        </w:r>
      </w:hyperlink>
      <w:r>
        <w:rPr>
          <w:lang w:eastAsia="zh-CN"/>
        </w:rPr>
        <w:t xml:space="preserve"> “</w:t>
      </w:r>
      <w:r>
        <w:rPr>
          <w:lang w:eastAsia="zh-CN"/>
        </w:rPr>
        <w:t>投资组合</w:t>
      </w:r>
      <w:r>
        <w:rPr>
          <w:lang w:eastAsia="zh-CN"/>
        </w:rPr>
        <w:t>”</w:t>
      </w:r>
      <w:r>
        <w:rPr>
          <w:lang w:eastAsia="zh-CN"/>
        </w:rPr>
        <w:t>定义为在获投资的公司的投资总值（按现行会计准则釐定）。</w:t>
      </w:r>
    </w:p>
    <w:p w:rsidR="003776F0" w:rsidRDefault="00C577C6">
      <w:pPr>
        <w:pStyle w:val="BodyText"/>
        <w:rPr>
          <w:lang w:eastAsia="zh-CN"/>
        </w:rPr>
      </w:pPr>
      <w:hyperlink w:anchor="footnote-598-2-backlink">
        <w:r>
          <w:rPr>
            <w:lang w:eastAsia="zh-CN"/>
          </w:rPr>
          <w:t>2</w:t>
        </w:r>
      </w:hyperlink>
      <w:r>
        <w:rPr>
          <w:lang w:eastAsia="zh-CN"/>
        </w:rPr>
        <w:t xml:space="preserve"> </w:t>
      </w:r>
      <w:r>
        <w:rPr>
          <w:lang w:eastAsia="zh-CN"/>
        </w:rPr>
        <w:t>机构专业投资者是指符合《证券及期货条例》附表一第</w:t>
      </w:r>
      <w:r>
        <w:rPr>
          <w:lang w:eastAsia="zh-CN"/>
        </w:rPr>
        <w:t>1</w:t>
      </w:r>
      <w:r>
        <w:rPr>
          <w:lang w:eastAsia="zh-CN"/>
        </w:rPr>
        <w:t>部第</w:t>
      </w:r>
      <w:r>
        <w:rPr>
          <w:lang w:eastAsia="zh-CN"/>
        </w:rPr>
        <w:t>1</w:t>
      </w:r>
      <w:r>
        <w:rPr>
          <w:lang w:eastAsia="zh-CN"/>
        </w:rPr>
        <w:t>条「专业投资者」的定义第</w:t>
      </w:r>
      <w:r>
        <w:rPr>
          <w:lang w:eastAsia="zh-CN"/>
        </w:rPr>
        <w:t>(a)</w:t>
      </w:r>
      <w:r>
        <w:rPr>
          <w:lang w:eastAsia="zh-CN"/>
        </w:rPr>
        <w:t>至</w:t>
      </w:r>
      <w:r>
        <w:rPr>
          <w:lang w:eastAsia="zh-CN"/>
        </w:rPr>
        <w:t>(i)</w:t>
      </w:r>
      <w:r>
        <w:rPr>
          <w:lang w:eastAsia="zh-CN"/>
        </w:rPr>
        <w:t>段的人士</w:t>
      </w:r>
    </w:p>
    <w:p w:rsidR="003776F0" w:rsidRDefault="00C577C6">
      <w:pPr>
        <w:pStyle w:val="BodyText"/>
        <w:rPr>
          <w:lang w:eastAsia="zh-CN"/>
        </w:rPr>
      </w:pPr>
      <w:hyperlink w:anchor="footnote-598-3-backlink">
        <w:r>
          <w:rPr>
            <w:lang w:eastAsia="zh-CN"/>
          </w:rPr>
          <w:t>3</w:t>
        </w:r>
      </w:hyperlink>
      <w:r>
        <w:rPr>
          <w:lang w:eastAsia="zh-CN"/>
        </w:rPr>
        <w:t xml:space="preserve"> </w:t>
      </w:r>
      <w:r>
        <w:rPr>
          <w:lang w:eastAsia="zh-CN"/>
        </w:rPr>
        <w:t>《主板上市规则》</w:t>
      </w:r>
      <w:r>
        <w:rPr>
          <w:lang w:eastAsia="zh-CN"/>
        </w:rPr>
        <w:t>10.08</w:t>
      </w:r>
    </w:p>
    <w:p w:rsidR="003776F0" w:rsidRDefault="00C577C6">
      <w:pPr>
        <w:pStyle w:val="DisclaimerBold"/>
        <w:rPr>
          <w:lang w:eastAsia="zh-CN"/>
        </w:rPr>
      </w:pPr>
      <w:r>
        <w:rPr>
          <w:lang w:eastAsia="zh-CN"/>
        </w:rPr>
        <w:t>此法讯仅为提供相关资料信息之用，其内容并</w:t>
      </w:r>
    </w:p>
    <w:p w:rsidR="003776F0" w:rsidRDefault="00C577C6">
      <w:pPr>
        <w:pStyle w:val="Disclaimer"/>
        <w:rPr>
          <w:lang w:eastAsia="zh-CN"/>
        </w:rPr>
      </w:pPr>
      <w:r>
        <w:rPr>
          <w:lang w:eastAsia="zh-CN"/>
        </w:rPr>
        <w:t>不构成法律建议及个案的法律分析。</w:t>
      </w:r>
    </w:p>
    <w:p w:rsidR="003776F0" w:rsidRDefault="00C577C6">
      <w:pPr>
        <w:pStyle w:val="Disclaimer"/>
        <w:rPr>
          <w:lang w:eastAsia="zh-CN"/>
        </w:rPr>
      </w:pPr>
      <w:r>
        <w:rPr>
          <w:lang w:eastAsia="zh-CN"/>
        </w:rPr>
        <w:t>此法讯的发送并不是为了在易周律师行与用户或浏览者之间建立一种律师与客户之关系。</w:t>
      </w:r>
    </w:p>
    <w:p w:rsidR="003776F0" w:rsidRDefault="00C577C6">
      <w:pPr>
        <w:pStyle w:val="Disclaimer"/>
        <w:rPr>
          <w:lang w:eastAsia="zh-CN"/>
        </w:rPr>
      </w:pPr>
      <w:r>
        <w:rPr>
          <w:lang w:eastAsia="zh-CN"/>
        </w:rPr>
        <w:t>易周律师行并不对可从互联网获得的任何第三方内容负责。</w:t>
      </w:r>
    </w:p>
    <w:p w:rsidR="003776F0" w:rsidRDefault="00C577C6">
      <w:pPr>
        <w:pStyle w:val="Disclaimer"/>
        <w:rPr>
          <w:lang w:eastAsia="zh-CN"/>
        </w:rPr>
      </w:pPr>
      <w:r>
        <w:rPr>
          <w:lang w:eastAsia="zh-CN"/>
        </w:rPr>
        <w:t>如你不希望再收到易周法讯，请发送电邮至</w:t>
      </w:r>
      <w:r>
        <w:rPr>
          <w:lang w:eastAsia="zh-CN"/>
        </w:rPr>
        <w:t xml:space="preserve">  </w:t>
      </w:r>
      <w:hyperlink r:id="rId13">
        <w:r>
          <w:rPr>
            <w:lang w:eastAsia="zh-CN"/>
          </w:rPr>
          <w:t>unsubscribe@charltonslaw.com</w:t>
        </w:r>
      </w:hyperlink>
    </w:p>
    <w:p w:rsidR="003776F0" w:rsidRDefault="00C577C6">
      <w:pPr>
        <w:pStyle w:val="BlackStrips"/>
      </w:pPr>
      <w:r>
        <w:t xml:space="preserve">Charltons - </w:t>
      </w:r>
      <w:r>
        <w:t>香港法律</w:t>
      </w:r>
      <w:r>
        <w:t xml:space="preserve"> - 2023</w:t>
      </w:r>
      <w:r>
        <w:t>年</w:t>
      </w:r>
      <w:r>
        <w:t>6</w:t>
      </w:r>
      <w:r>
        <w:t>月</w:t>
      </w:r>
      <w:r>
        <w:t>5</w:t>
      </w:r>
      <w:r>
        <w:t>日</w:t>
      </w:r>
    </w:p>
    <w:sectPr w:rsidR="003776F0">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577C6">
      <w:pPr>
        <w:spacing w:after="0"/>
      </w:pPr>
      <w:r>
        <w:separator/>
      </w:r>
    </w:p>
  </w:endnote>
  <w:endnote w:type="continuationSeparator" w:id="0">
    <w:p w:rsidR="00000000" w:rsidRDefault="00C57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F0" w:rsidRDefault="00C577C6">
      <w:r>
        <w:separator/>
      </w:r>
    </w:p>
  </w:footnote>
  <w:footnote w:type="continuationSeparator" w:id="0">
    <w:p w:rsidR="003776F0" w:rsidRDefault="00C57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2483D2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9F836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CA2235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98B6E4B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776F0"/>
    <w:rsid w:val="004E29B3"/>
    <w:rsid w:val="00590D07"/>
    <w:rsid w:val="00784D58"/>
    <w:rsid w:val="008D6863"/>
    <w:rsid w:val="00B61968"/>
    <w:rsid w:val="00B86B75"/>
    <w:rsid w:val="00BC48D5"/>
    <w:rsid w:val="00C36279"/>
    <w:rsid w:val="00C577C6"/>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68D4"/>
  <w15:docId w15:val="{068A5F4B-0B35-40AA-877E-7C77FFC1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October-2022-Specialist-Technology-Co/Consultation-Paper/cp202210.pdf"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jiao-yi-suo-jiu-te-zhuan-ke-ji-gong-si-shang-shi-zhi-du-fa-chu-zi-xun" TargetMode="External"/><Relationship Id="rId12" Type="http://schemas.openxmlformats.org/officeDocument/2006/relationships/hyperlink" Target="https://surveys.hkex.com.hk/jfe/form/SV_41SJbQrjgDz54q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n-rules.hkex.com.hk/pdf-manipulate?/sites/default/files/net_file_store/HKEXCN_TC_10631_VER1029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rules.hkex.com.hk/pdf-manipulate?/sites/default/files/net_file_store/gl4312.pdf" TargetMode="External"/><Relationship Id="rId4" Type="http://schemas.openxmlformats.org/officeDocument/2006/relationships/webSettings" Target="webSettings.xml"/><Relationship Id="rId9" Type="http://schemas.openxmlformats.org/officeDocument/2006/relationships/hyperlink" Target="https://en-rules.hkex.com.hk/pdf-manipulate?/sites/default/files/net_file_store/gl85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1270</Words>
  <Characters>7241</Characters>
  <Application>Microsoft Office Word</Application>
  <DocSecurity>0</DocSecurity>
  <Lines>60</Lines>
  <Paragraphs>16</Paragraphs>
  <ScaleCrop>false</ScaleCrop>
  <Company>Charltons</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5</cp:revision>
  <dcterms:created xsi:type="dcterms:W3CDTF">2023-06-05T08:01:00Z</dcterms:created>
  <dcterms:modified xsi:type="dcterms:W3CDTF">2023-06-05T08:05:00Z</dcterms:modified>
</cp:coreProperties>
</file>