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901" w:rsidRDefault="00733B88">
      <w:pPr>
        <w:pStyle w:val="BlackStrips"/>
      </w:pPr>
      <w:r>
        <w:t xml:space="preserve">Charltons - </w:t>
      </w:r>
      <w:r>
        <w:t>香港法律</w:t>
      </w:r>
      <w:r>
        <w:t xml:space="preserve"> - 2023</w:t>
      </w:r>
      <w:r>
        <w:t>年</w:t>
      </w:r>
      <w:r>
        <w:t>11</w:t>
      </w:r>
      <w:r>
        <w:t>月</w:t>
      </w:r>
      <w:r>
        <w:t>10</w:t>
      </w:r>
      <w:r>
        <w:t>日</w:t>
      </w:r>
    </w:p>
    <w:p w:rsidR="00D52901" w:rsidRDefault="00733B88">
      <w:pPr>
        <w:pStyle w:val="ReadOnline"/>
        <w:rPr>
          <w:lang w:eastAsia="zh-CN"/>
        </w:rPr>
      </w:pPr>
      <w:hyperlink r:id="rId7">
        <w:r>
          <w:rPr>
            <w:lang w:eastAsia="zh-CN"/>
          </w:rPr>
          <w:t>online version</w:t>
        </w:r>
      </w:hyperlink>
    </w:p>
    <w:p w:rsidR="00D52901" w:rsidRDefault="00733B88">
      <w:pPr>
        <w:pStyle w:val="Title"/>
        <w:rPr>
          <w:lang w:eastAsia="zh-CN"/>
        </w:rPr>
      </w:pPr>
      <w:r>
        <w:rPr>
          <w:lang w:eastAsia="zh-CN"/>
        </w:rPr>
        <w:t>香港金管局将于</w:t>
      </w:r>
      <w:r>
        <w:rPr>
          <w:lang w:eastAsia="zh-CN"/>
        </w:rPr>
        <w:t>2023/24</w:t>
      </w:r>
      <w:r>
        <w:rPr>
          <w:lang w:eastAsia="zh-CN"/>
        </w:rPr>
        <w:t>采纳稳定币发牌制度</w:t>
      </w:r>
    </w:p>
    <w:p w:rsidR="00D52901" w:rsidRDefault="00733B88">
      <w:pPr>
        <w:pStyle w:val="FirstParagraph"/>
        <w:rPr>
          <w:lang w:eastAsia="zh-CN"/>
        </w:rPr>
      </w:pPr>
      <w:r>
        <w:rPr>
          <w:lang w:eastAsia="zh-CN"/>
        </w:rPr>
        <w:t>2023</w:t>
      </w:r>
      <w:r>
        <w:rPr>
          <w:lang w:eastAsia="zh-CN"/>
        </w:rPr>
        <w:t>年</w:t>
      </w:r>
      <w:r>
        <w:rPr>
          <w:lang w:eastAsia="zh-CN"/>
        </w:rPr>
        <w:t>1</w:t>
      </w:r>
      <w:r>
        <w:rPr>
          <w:lang w:eastAsia="zh-CN"/>
        </w:rPr>
        <w:t>月</w:t>
      </w:r>
      <w:r>
        <w:rPr>
          <w:lang w:eastAsia="zh-CN"/>
        </w:rPr>
        <w:t>31</w:t>
      </w:r>
      <w:r>
        <w:rPr>
          <w:lang w:eastAsia="zh-CN"/>
        </w:rPr>
        <w:t>日，香港金融管理局（</w:t>
      </w:r>
      <w:r>
        <w:rPr>
          <w:b/>
          <w:lang w:eastAsia="zh-CN"/>
        </w:rPr>
        <w:t>金管局</w:t>
      </w:r>
      <w:r>
        <w:rPr>
          <w:lang w:eastAsia="zh-CN"/>
        </w:rPr>
        <w:t>）就其在一年前刊发的《</w:t>
      </w:r>
      <w:hyperlink r:id="rId8">
        <w:r>
          <w:rPr>
            <w:lang w:eastAsia="zh-CN"/>
          </w:rPr>
          <w:t>加密资产和稳定币讨论文件</w:t>
        </w:r>
      </w:hyperlink>
      <w:r>
        <w:rPr>
          <w:lang w:eastAsia="zh-CN"/>
        </w:rPr>
        <w:t>》中载列的</w:t>
      </w:r>
      <w:hyperlink r:id="rId9">
        <w:r>
          <w:rPr>
            <w:lang w:eastAsia="zh-CN"/>
          </w:rPr>
          <w:t>监管支付相关稳定币的若干建议</w:t>
        </w:r>
      </w:hyperlink>
      <w:r>
        <w:rPr>
          <w:lang w:eastAsia="zh-CN"/>
        </w:rPr>
        <w:t>刊发了一份《</w:t>
      </w:r>
      <w:hyperlink r:id="rId10">
        <w:r>
          <w:rPr>
            <w:lang w:eastAsia="zh-CN"/>
          </w:rPr>
          <w:t>咨询总结</w:t>
        </w:r>
      </w:hyperlink>
      <w:r>
        <w:rPr>
          <w:lang w:eastAsia="zh-CN"/>
        </w:rPr>
        <w:t>》</w:t>
      </w:r>
      <w:r>
        <w:rPr>
          <w:lang w:eastAsia="zh-CN"/>
        </w:rPr>
        <w:t xml:space="preserve"> </w:t>
      </w:r>
      <w:r>
        <w:rPr>
          <w:lang w:eastAsia="zh-CN"/>
        </w:rPr>
        <w:t>。该咨询文件中指出从回应者处收到的意见总体上是积极的，将收集到的意见进行了归纳并列出针对稳定币的一份建议监管制度的关键参数（</w:t>
      </w:r>
      <w:r>
        <w:rPr>
          <w:b/>
          <w:lang w:eastAsia="zh-CN"/>
        </w:rPr>
        <w:t>金管局建议的稳定币发牌制度</w:t>
      </w:r>
      <w:r>
        <w:rPr>
          <w:lang w:eastAsia="zh-CN"/>
        </w:rPr>
        <w:t>）。</w:t>
      </w:r>
    </w:p>
    <w:p w:rsidR="00D52901" w:rsidRDefault="00733B88" w:rsidP="00733B88">
      <w:pPr>
        <w:pStyle w:val="BodyText"/>
        <w:rPr>
          <w:lang w:eastAsia="zh-CN"/>
        </w:rPr>
      </w:pPr>
      <w:r>
        <w:rPr>
          <w:lang w:eastAsia="zh-CN"/>
        </w:rPr>
        <w:t>金管局注意到，自</w:t>
      </w:r>
      <w:r>
        <w:rPr>
          <w:lang w:eastAsia="zh-CN"/>
        </w:rPr>
        <w:t>2022</w:t>
      </w:r>
      <w:r>
        <w:rPr>
          <w:lang w:eastAsia="zh-CN"/>
        </w:rPr>
        <w:t>年</w:t>
      </w:r>
      <w:r>
        <w:rPr>
          <w:lang w:eastAsia="zh-CN"/>
        </w:rPr>
        <w:t>1</w:t>
      </w:r>
      <w:r>
        <w:rPr>
          <w:lang w:eastAsia="zh-CN"/>
        </w:rPr>
        <w:t>月份起加密资产市场已经出</w:t>
      </w:r>
      <w:r>
        <w:rPr>
          <w:lang w:eastAsia="zh-CN"/>
        </w:rPr>
        <w:t>现数轮价格波动，而截至</w:t>
      </w:r>
      <w:r>
        <w:rPr>
          <w:lang w:eastAsia="zh-CN"/>
        </w:rPr>
        <w:t>2022</w:t>
      </w:r>
      <w:r>
        <w:rPr>
          <w:lang w:eastAsia="zh-CN"/>
        </w:rPr>
        <w:t>年</w:t>
      </w:r>
      <w:r>
        <w:rPr>
          <w:lang w:eastAsia="zh-CN"/>
        </w:rPr>
        <w:t>12</w:t>
      </w:r>
      <w:r>
        <w:rPr>
          <w:lang w:eastAsia="zh-CN"/>
        </w:rPr>
        <w:t>月底其市值缩水超过一半。稳定币的市值在</w:t>
      </w:r>
      <w:r>
        <w:rPr>
          <w:lang w:eastAsia="zh-CN"/>
        </w:rPr>
        <w:t>2022</w:t>
      </w:r>
      <w:r>
        <w:rPr>
          <w:lang w:eastAsia="zh-CN"/>
        </w:rPr>
        <w:t>年</w:t>
      </w:r>
      <w:r>
        <w:rPr>
          <w:lang w:eastAsia="zh-CN"/>
        </w:rPr>
        <w:t>4</w:t>
      </w:r>
      <w:r>
        <w:rPr>
          <w:lang w:eastAsia="zh-CN"/>
        </w:rPr>
        <w:t>月份及之前一直保持增长态势，但是从</w:t>
      </w:r>
      <w:r>
        <w:rPr>
          <w:lang w:eastAsia="zh-CN"/>
        </w:rPr>
        <w:t>2022</w:t>
      </w:r>
      <w:r>
        <w:rPr>
          <w:lang w:eastAsia="zh-CN"/>
        </w:rPr>
        <w:t>年</w:t>
      </w:r>
      <w:r>
        <w:rPr>
          <w:lang w:eastAsia="zh-CN"/>
        </w:rPr>
        <w:t>5</w:t>
      </w:r>
      <w:r>
        <w:rPr>
          <w:lang w:eastAsia="zh-CN"/>
        </w:rPr>
        <w:t>月份起开始下降，与此同时加密资产市场却愈发广泛。以下事件刺激了国际组织，准则制订机构及其他主要司法权区，就各项政策发展提出建议，以应对虚拟资产的潜在风险：</w:t>
      </w:r>
      <w:r>
        <w:rPr>
          <w:lang w:eastAsia="zh-CN"/>
        </w:rPr>
        <w:t>TerraUSD</w:t>
      </w:r>
      <w:r>
        <w:rPr>
          <w:lang w:eastAsia="zh-CN"/>
        </w:rPr>
        <w:t>的稳定机制崩溃并失去其与美元的挂钩（触发</w:t>
      </w:r>
      <w:r>
        <w:rPr>
          <w:lang w:eastAsia="zh-CN"/>
        </w:rPr>
        <w:t>Tether</w:t>
      </w:r>
      <w:r>
        <w:rPr>
          <w:lang w:eastAsia="zh-CN"/>
        </w:rPr>
        <w:t>（</w:t>
      </w:r>
      <w:r>
        <w:rPr>
          <w:lang w:eastAsia="zh-CN"/>
        </w:rPr>
        <w:t>USDT</w:t>
      </w:r>
      <w:r>
        <w:rPr>
          <w:lang w:eastAsia="zh-CN"/>
        </w:rPr>
        <w:t>）价格下跌至</w:t>
      </w:r>
      <w:r>
        <w:rPr>
          <w:lang w:eastAsia="zh-CN"/>
        </w:rPr>
        <w:t>0.95</w:t>
      </w:r>
      <w:r>
        <w:rPr>
          <w:lang w:eastAsia="zh-CN"/>
        </w:rPr>
        <w:t>美元，然后恢复其</w:t>
      </w:r>
      <w:r>
        <w:rPr>
          <w:lang w:eastAsia="zh-CN"/>
        </w:rPr>
        <w:t>1.00</w:t>
      </w:r>
      <w:r>
        <w:rPr>
          <w:lang w:eastAsia="zh-CN"/>
        </w:rPr>
        <w:t>美元的挂钩），以及</w:t>
      </w:r>
      <w:r>
        <w:rPr>
          <w:lang w:eastAsia="zh-CN"/>
        </w:rPr>
        <w:t>FTX</w:t>
      </w:r>
      <w:r>
        <w:rPr>
          <w:lang w:eastAsia="zh-CN"/>
        </w:rPr>
        <w:t>在美国申请破产，随后发现其营运及管治失败以及其原生代币-</w:t>
      </w:r>
      <w:r>
        <w:rPr>
          <w:lang w:eastAsia="zh-CN"/>
        </w:rPr>
        <w:t>FTT</w:t>
      </w:r>
      <w:r>
        <w:rPr>
          <w:lang w:eastAsia="zh-CN"/>
        </w:rPr>
        <w:t>的崩溃等。有关</w:t>
      </w:r>
      <w:r>
        <w:rPr>
          <w:lang w:eastAsia="zh-CN"/>
        </w:rPr>
        <w:t>自</w:t>
      </w:r>
      <w:r>
        <w:rPr>
          <w:lang w:eastAsia="zh-CN"/>
        </w:rPr>
        <w:t>2022</w:t>
      </w:r>
      <w:r>
        <w:rPr>
          <w:lang w:eastAsia="zh-CN"/>
        </w:rPr>
        <w:t>年</w:t>
      </w:r>
      <w:r>
        <w:rPr>
          <w:lang w:eastAsia="zh-CN"/>
        </w:rPr>
        <w:t>1</w:t>
      </w:r>
      <w:r>
        <w:rPr>
          <w:lang w:eastAsia="zh-CN"/>
        </w:rPr>
        <w:t>月份起的政策发展请参阅该咨询总结文件附录</w:t>
      </w:r>
      <w:r>
        <w:rPr>
          <w:lang w:eastAsia="zh-CN"/>
        </w:rPr>
        <w:t>1</w:t>
      </w:r>
      <w:r>
        <w:rPr>
          <w:lang w:eastAsia="zh-CN"/>
        </w:rPr>
        <w:t>及附录</w:t>
      </w:r>
      <w:r>
        <w:rPr>
          <w:lang w:eastAsia="zh-CN"/>
        </w:rPr>
        <w:t>2</w:t>
      </w:r>
      <w:r>
        <w:rPr>
          <w:lang w:eastAsia="zh-CN"/>
        </w:rPr>
        <w:t>。</w:t>
      </w:r>
    </w:p>
    <w:p w:rsidR="00D52901" w:rsidRDefault="00733B88">
      <w:pPr>
        <w:pStyle w:val="BodyText"/>
        <w:rPr>
          <w:lang w:eastAsia="zh-CN"/>
        </w:rPr>
      </w:pPr>
      <w:r>
        <w:rPr>
          <w:lang w:eastAsia="zh-CN"/>
        </w:rPr>
        <w:t>金管局建议的稳定币发牌制度范围内的稳定币</w:t>
      </w:r>
    </w:p>
    <w:p w:rsidR="00D52901" w:rsidRDefault="00733B88">
      <w:pPr>
        <w:pStyle w:val="BodyText"/>
        <w:rPr>
          <w:lang w:eastAsia="zh-CN"/>
        </w:rPr>
      </w:pPr>
      <w:r>
        <w:rPr>
          <w:lang w:eastAsia="zh-CN"/>
        </w:rPr>
        <w:t>一方面金管局会保留将来必要的时候调整受规管稳定币范围的灵活性，另一方面金管局将采用一种风险为本的监管方式并优化对支付相关稳定币（即参考一种或者多种法定货币并有可能成为一种获广泛接纳支付方式的稳定币）的监管，而这一点会给货币及金融系统带来更大的风险。</w:t>
      </w:r>
    </w:p>
    <w:p w:rsidR="00D52901" w:rsidRDefault="00733B88">
      <w:pPr>
        <w:pStyle w:val="BodyText"/>
        <w:rPr>
          <w:lang w:eastAsia="zh-CN"/>
        </w:rPr>
      </w:pPr>
      <w:r>
        <w:rPr>
          <w:lang w:eastAsia="zh-CN"/>
        </w:rPr>
        <w:t>稳定币将须完全获支持并按面值赎回：储备资产将需要在任何时候都与未偿还稳定币的价值相对应，且储备资产本身应具有「高质量及流动性」特征。值得注意的是，基于套</w:t>
      </w:r>
      <w:r>
        <w:rPr>
          <w:lang w:eastAsia="zh-CN"/>
        </w:rPr>
        <w:t>利或算法获得价值的稳定币不会被视为获完全支持，也不会获接纳。稳定币的持有者应该能够在合理期限内将其持有的稳定币按面值兑换成参考法定货币。</w:t>
      </w:r>
    </w:p>
    <w:p w:rsidR="00D52901" w:rsidRDefault="00733B88">
      <w:pPr>
        <w:pStyle w:val="BodyText"/>
        <w:rPr>
          <w:lang w:eastAsia="zh-CN"/>
        </w:rPr>
      </w:pPr>
      <w:r>
        <w:rPr>
          <w:lang w:eastAsia="zh-CN"/>
        </w:rPr>
        <w:t>在金管局建议的稳定币发牌制度下受规管的活动</w:t>
      </w:r>
    </w:p>
    <w:p w:rsidR="00D52901" w:rsidRDefault="00733B88">
      <w:pPr>
        <w:pStyle w:val="BodyText"/>
        <w:rPr>
          <w:lang w:eastAsia="zh-CN"/>
        </w:rPr>
      </w:pPr>
      <w:r>
        <w:rPr>
          <w:lang w:eastAsia="zh-CN"/>
        </w:rPr>
        <w:t>金管局建议实施一种发牌制度，让不同牌照涵盖不同类型的受规管活动而非单一牌照涵盖多项活动。该强制性发牌制度将适用于以下受规管活动：</w:t>
      </w:r>
    </w:p>
    <w:p w:rsidR="00D52901" w:rsidRDefault="00733B88">
      <w:pPr>
        <w:pStyle w:val="Compact"/>
        <w:numPr>
          <w:ilvl w:val="0"/>
          <w:numId w:val="3"/>
        </w:numPr>
        <w:rPr>
          <w:lang w:eastAsia="zh-CN"/>
        </w:rPr>
      </w:pPr>
      <w:r>
        <w:rPr>
          <w:lang w:eastAsia="zh-CN"/>
        </w:rPr>
        <w:t>管治</w:t>
      </w:r>
      <w:r>
        <w:rPr>
          <w:lang w:eastAsia="zh-CN"/>
        </w:rPr>
        <w:t xml:space="preserve"> – </w:t>
      </w:r>
      <w:r>
        <w:rPr>
          <w:lang w:eastAsia="zh-CN"/>
        </w:rPr>
        <w:t>建立及维护管治范围内稳定币安排的规则；</w:t>
      </w:r>
    </w:p>
    <w:p w:rsidR="00D52901" w:rsidRDefault="00733B88">
      <w:pPr>
        <w:pStyle w:val="Compact"/>
        <w:numPr>
          <w:ilvl w:val="0"/>
          <w:numId w:val="3"/>
        </w:numPr>
        <w:rPr>
          <w:lang w:eastAsia="zh-CN"/>
        </w:rPr>
      </w:pPr>
      <w:r>
        <w:rPr>
          <w:lang w:eastAsia="zh-CN"/>
        </w:rPr>
        <w:t>发行</w:t>
      </w:r>
      <w:r>
        <w:rPr>
          <w:lang w:eastAsia="zh-CN"/>
        </w:rPr>
        <w:t xml:space="preserve"> – </w:t>
      </w:r>
      <w:r>
        <w:rPr>
          <w:lang w:eastAsia="zh-CN"/>
        </w:rPr>
        <w:t>发行、创建或销毁范围内的稳定币；</w:t>
      </w:r>
    </w:p>
    <w:p w:rsidR="00D52901" w:rsidRDefault="00733B88">
      <w:pPr>
        <w:pStyle w:val="Compact"/>
        <w:numPr>
          <w:ilvl w:val="0"/>
          <w:numId w:val="3"/>
        </w:numPr>
        <w:rPr>
          <w:lang w:eastAsia="zh-CN"/>
        </w:rPr>
      </w:pPr>
      <w:r>
        <w:rPr>
          <w:lang w:eastAsia="zh-CN"/>
        </w:rPr>
        <w:t>稳定</w:t>
      </w:r>
      <w:r>
        <w:rPr>
          <w:lang w:eastAsia="zh-CN"/>
        </w:rPr>
        <w:t xml:space="preserve"> – </w:t>
      </w:r>
      <w:r>
        <w:rPr>
          <w:lang w:eastAsia="zh-CN"/>
        </w:rPr>
        <w:t>范围内稳定币的稳定及储备管理安排，而不论该等安排是否由发行人提供；及</w:t>
      </w:r>
    </w:p>
    <w:p w:rsidR="00D52901" w:rsidRDefault="00733B88" w:rsidP="00733B88">
      <w:pPr>
        <w:pStyle w:val="Compact"/>
        <w:numPr>
          <w:ilvl w:val="0"/>
          <w:numId w:val="3"/>
        </w:numPr>
        <w:rPr>
          <w:lang w:eastAsia="zh-CN"/>
        </w:rPr>
      </w:pPr>
      <w:r>
        <w:rPr>
          <w:lang w:eastAsia="zh-CN"/>
        </w:rPr>
        <w:t>钱包</w:t>
      </w:r>
      <w:r>
        <w:rPr>
          <w:rFonts w:asciiTheme="minorEastAsia" w:eastAsiaTheme="minorEastAsia" w:hAnsiTheme="minorEastAsia" w:hint="eastAsia"/>
          <w:lang w:eastAsia="zh-CN"/>
        </w:rPr>
        <w:t>-</w:t>
      </w:r>
      <w:r>
        <w:rPr>
          <w:lang w:eastAsia="zh-CN"/>
        </w:rPr>
        <w:t>提供任何容许用户</w:t>
      </w:r>
      <w:r>
        <w:rPr>
          <w:lang w:eastAsia="zh-CN"/>
        </w:rPr>
        <w:t>存储其密钥的服务，这些密钥可用于访问用户持有的范围内稳定币及管理该等稳定币。</w:t>
      </w:r>
    </w:p>
    <w:p w:rsidR="00D52901" w:rsidRDefault="00733B88">
      <w:pPr>
        <w:pStyle w:val="FirstParagraph"/>
        <w:rPr>
          <w:lang w:eastAsia="zh-CN"/>
        </w:rPr>
      </w:pPr>
      <w:r>
        <w:rPr>
          <w:lang w:eastAsia="zh-CN"/>
        </w:rPr>
        <w:t>但是，该项新的监管制度将增添灵活性，从而容许金管局拓展受规管互动的范围，应对未受规管稳定币活动未来或可产生的风险。</w:t>
      </w:r>
      <w:bookmarkStart w:id="0" w:name="_GoBack"/>
      <w:bookmarkEnd w:id="0"/>
    </w:p>
    <w:p w:rsidR="00D52901" w:rsidRDefault="00733B88">
      <w:pPr>
        <w:pStyle w:val="BodyText"/>
        <w:rPr>
          <w:lang w:eastAsia="zh-CN"/>
        </w:rPr>
      </w:pPr>
      <w:r>
        <w:rPr>
          <w:lang w:eastAsia="zh-CN"/>
        </w:rPr>
        <w:t>根据一项建议的「主要业务限制」，持牌实体（获授权机构除外）将被禁止开展与其牌照准许的主要业务相偏离的活动。例如，持牌钱包运营商将不会获准许进行放贷活动。</w:t>
      </w:r>
    </w:p>
    <w:p w:rsidR="00D52901" w:rsidRDefault="00733B88">
      <w:pPr>
        <w:pStyle w:val="BodyText"/>
        <w:rPr>
          <w:lang w:eastAsia="zh-CN"/>
        </w:rPr>
      </w:pPr>
      <w:r>
        <w:rPr>
          <w:lang w:eastAsia="zh-CN"/>
        </w:rPr>
        <w:t>谁将需要金管局建议的稳定币发牌制度下的牌照？</w:t>
      </w:r>
    </w:p>
    <w:p w:rsidR="00D52901" w:rsidRDefault="00733B88">
      <w:pPr>
        <w:pStyle w:val="BodyText"/>
        <w:rPr>
          <w:lang w:eastAsia="zh-CN"/>
        </w:rPr>
      </w:pPr>
      <w:r>
        <w:rPr>
          <w:lang w:eastAsia="zh-CN"/>
        </w:rPr>
        <w:t>在以下情况下，实体将须获金管局发牌：</w:t>
      </w:r>
    </w:p>
    <w:p w:rsidR="00D52901" w:rsidRDefault="00733B88">
      <w:pPr>
        <w:pStyle w:val="Compact"/>
        <w:numPr>
          <w:ilvl w:val="0"/>
          <w:numId w:val="4"/>
        </w:numPr>
        <w:rPr>
          <w:lang w:eastAsia="zh-CN"/>
        </w:rPr>
      </w:pPr>
      <w:r>
        <w:rPr>
          <w:lang w:eastAsia="zh-CN"/>
        </w:rPr>
        <w:t>在香港开展一项受规管活动；</w:t>
      </w:r>
    </w:p>
    <w:p w:rsidR="00D52901" w:rsidRDefault="00733B88">
      <w:pPr>
        <w:pStyle w:val="Compact"/>
        <w:numPr>
          <w:ilvl w:val="0"/>
          <w:numId w:val="4"/>
        </w:numPr>
        <w:rPr>
          <w:lang w:eastAsia="zh-CN"/>
        </w:rPr>
      </w:pPr>
      <w:r>
        <w:rPr>
          <w:lang w:eastAsia="zh-CN"/>
        </w:rPr>
        <w:lastRenderedPageBreak/>
        <w:t>积极向香港公众推广一项受规管活动；</w:t>
      </w:r>
    </w:p>
    <w:p w:rsidR="00D52901" w:rsidRDefault="00733B88">
      <w:pPr>
        <w:pStyle w:val="Compact"/>
        <w:numPr>
          <w:ilvl w:val="0"/>
          <w:numId w:val="4"/>
        </w:numPr>
        <w:rPr>
          <w:lang w:eastAsia="zh-CN"/>
        </w:rPr>
      </w:pPr>
      <w:r>
        <w:rPr>
          <w:lang w:eastAsia="zh-CN"/>
        </w:rPr>
        <w:t>开展一项涉及提述</w:t>
      </w:r>
      <w:r>
        <w:rPr>
          <w:lang w:eastAsia="zh-CN"/>
        </w:rPr>
        <w:t>港币价值的稳定币的受规管活动，而不论相关受规管活动是否在香港进行或者是向香港普通公众积极推广；或</w:t>
      </w:r>
    </w:p>
    <w:p w:rsidR="00D52901" w:rsidRDefault="00733B88">
      <w:pPr>
        <w:pStyle w:val="Compact"/>
        <w:numPr>
          <w:ilvl w:val="0"/>
          <w:numId w:val="4"/>
        </w:numPr>
        <w:rPr>
          <w:lang w:eastAsia="zh-CN"/>
        </w:rPr>
      </w:pPr>
      <w:r>
        <w:rPr>
          <w:lang w:eastAsia="zh-CN"/>
        </w:rPr>
        <w:t>金管局考虑到「重大公共利益事项」认为其应该受规管，</w:t>
      </w:r>
    </w:p>
    <w:p w:rsidR="00D52901" w:rsidRDefault="00733B88">
      <w:pPr>
        <w:pStyle w:val="FirstParagraph"/>
        <w:rPr>
          <w:lang w:eastAsia="zh-CN"/>
        </w:rPr>
      </w:pPr>
      <w:r>
        <w:rPr>
          <w:lang w:eastAsia="zh-CN"/>
        </w:rPr>
        <w:t>持牌实体的监管要求</w:t>
      </w:r>
    </w:p>
    <w:p w:rsidR="00D52901" w:rsidRDefault="00733B88">
      <w:pPr>
        <w:pStyle w:val="BodyText"/>
        <w:rPr>
          <w:lang w:eastAsia="zh-CN"/>
        </w:rPr>
      </w:pPr>
      <w:r>
        <w:rPr>
          <w:lang w:eastAsia="zh-CN"/>
        </w:rPr>
        <w:t>有关监管框架将是综合性的，其中包括对所有权、管治及管理、财务资源要求、风险管理、反洗钱及反恐怖主义融资、用户保护、定期审计和披露规定等事项的监管要求。金管局将继续制订适用于持牌实体的详细监管规定，并会在适当时候就监管制度的更详细资料进行进一步谘询。</w:t>
      </w:r>
    </w:p>
    <w:p w:rsidR="00D52901" w:rsidRDefault="00733B88">
      <w:pPr>
        <w:pStyle w:val="BodyText"/>
        <w:rPr>
          <w:lang w:eastAsia="zh-CN"/>
        </w:rPr>
      </w:pPr>
      <w:r>
        <w:rPr>
          <w:lang w:eastAsia="zh-CN"/>
        </w:rPr>
        <w:t>谁能够发行金管局建议的稳定币发牌制度下的稳定币？</w:t>
      </w:r>
    </w:p>
    <w:p w:rsidR="00D52901" w:rsidRDefault="00733B88">
      <w:pPr>
        <w:pStyle w:val="BodyText"/>
        <w:rPr>
          <w:lang w:eastAsia="zh-CN"/>
        </w:rPr>
      </w:pPr>
      <w:r>
        <w:rPr>
          <w:lang w:eastAsia="zh-CN"/>
        </w:rPr>
        <w:t>根据金管局建议的稳定币发牌制度，获授权机构</w:t>
      </w:r>
      <w:r>
        <w:rPr>
          <w:lang w:eastAsia="zh-CN"/>
        </w:rPr>
        <w:t>及符合相关发牌及监管规定的未获授权机构均获准许发行稳定币。根据「相同风险，相同监管」原则，金管局将根据各类别发行人对金融系统带来的不同风险制定适用于获授权机构及未获授权机构的监管规定。</w:t>
      </w:r>
    </w:p>
    <w:p w:rsidR="00D52901" w:rsidRDefault="00733B88">
      <w:pPr>
        <w:pStyle w:val="BodyText"/>
        <w:rPr>
          <w:lang w:eastAsia="zh-CN"/>
        </w:rPr>
      </w:pPr>
      <w:r>
        <w:rPr>
          <w:lang w:eastAsia="zh-CN"/>
        </w:rPr>
        <w:t>金管局建议的稳定币发牌制度预定实施日期及金管局接下来的步骤</w:t>
      </w:r>
    </w:p>
    <w:p w:rsidR="00D52901" w:rsidRDefault="00733B88">
      <w:pPr>
        <w:pStyle w:val="BodyText"/>
        <w:rPr>
          <w:lang w:eastAsia="zh-CN"/>
        </w:rPr>
      </w:pPr>
      <w:r>
        <w:rPr>
          <w:lang w:eastAsia="zh-CN"/>
        </w:rPr>
        <w:t>实施金管局建议的稳定币发牌制度的预定日期是</w:t>
      </w:r>
      <w:r>
        <w:rPr>
          <w:lang w:eastAsia="zh-CN"/>
        </w:rPr>
        <w:t>2023/24</w:t>
      </w:r>
      <w:r>
        <w:rPr>
          <w:lang w:eastAsia="zh-CN"/>
        </w:rPr>
        <w:t>。如上文所述，金管局将在适当时候进行更详细的咨询，并提供更详细的信息。将予以涵盖的事项有：</w:t>
      </w:r>
      <w:r>
        <w:rPr>
          <w:lang w:eastAsia="zh-CN"/>
        </w:rPr>
        <w:t>(i)</w:t>
      </w:r>
      <w:r>
        <w:rPr>
          <w:lang w:eastAsia="zh-CN"/>
        </w:rPr>
        <w:t>金管局建议的稳定币发牌制度应透过新的立法引进或是透过修订现有法例引进；</w:t>
      </w:r>
      <w:r>
        <w:rPr>
          <w:lang w:eastAsia="zh-CN"/>
        </w:rPr>
        <w:t>(ii)</w:t>
      </w:r>
      <w:r>
        <w:rPr>
          <w:lang w:eastAsia="zh-CN"/>
        </w:rPr>
        <w:t>尽量减少监管重叠现象；</w:t>
      </w:r>
      <w:r>
        <w:rPr>
          <w:lang w:eastAsia="zh-CN"/>
        </w:rPr>
        <w:t>(iii)</w:t>
      </w:r>
      <w:r>
        <w:rPr>
          <w:lang w:eastAsia="zh-CN"/>
        </w:rPr>
        <w:t>应对附属实体提供多种或者捆绑金融服务可能造成的风险；及</w:t>
      </w:r>
      <w:r>
        <w:rPr>
          <w:lang w:eastAsia="zh-CN"/>
        </w:rPr>
        <w:t>(iv)</w:t>
      </w:r>
      <w:r>
        <w:rPr>
          <w:lang w:eastAsia="zh-CN"/>
        </w:rPr>
        <w:t>持牌实体是否应在香港注册成立。</w:t>
      </w:r>
    </w:p>
    <w:p w:rsidR="00D52901" w:rsidRDefault="00733B88">
      <w:pPr>
        <w:pStyle w:val="DisclaimerBold"/>
        <w:rPr>
          <w:lang w:eastAsia="zh-CN"/>
        </w:rPr>
      </w:pPr>
      <w:r>
        <w:rPr>
          <w:lang w:eastAsia="zh-CN"/>
        </w:rPr>
        <w:t>此法讯仅为提供相关资料信息之用，其内容并</w:t>
      </w:r>
    </w:p>
    <w:p w:rsidR="00D52901" w:rsidRDefault="00733B88">
      <w:pPr>
        <w:pStyle w:val="Disclaimer"/>
        <w:rPr>
          <w:lang w:eastAsia="zh-CN"/>
        </w:rPr>
      </w:pPr>
      <w:r>
        <w:rPr>
          <w:lang w:eastAsia="zh-CN"/>
        </w:rPr>
        <w:t>不构成法律建议及个案的法律分析。</w:t>
      </w:r>
    </w:p>
    <w:p w:rsidR="00D52901" w:rsidRDefault="00733B88">
      <w:pPr>
        <w:pStyle w:val="Disclaimer"/>
        <w:rPr>
          <w:lang w:eastAsia="zh-CN"/>
        </w:rPr>
      </w:pPr>
      <w:r>
        <w:rPr>
          <w:lang w:eastAsia="zh-CN"/>
        </w:rPr>
        <w:t>此法讯的发送并不是为了在易周律师行与用户或浏览者之间建立一种律师与客户之关系。</w:t>
      </w:r>
    </w:p>
    <w:p w:rsidR="00D52901" w:rsidRDefault="00733B88">
      <w:pPr>
        <w:pStyle w:val="Disclaimer"/>
        <w:rPr>
          <w:lang w:eastAsia="zh-CN"/>
        </w:rPr>
      </w:pPr>
      <w:r>
        <w:rPr>
          <w:lang w:eastAsia="zh-CN"/>
        </w:rPr>
        <w:t>易周律师行并不对可从互联网获得的任何第三方内容负责。</w:t>
      </w:r>
    </w:p>
    <w:p w:rsidR="00D52901" w:rsidRDefault="00733B88">
      <w:pPr>
        <w:pStyle w:val="Disclaimer"/>
        <w:rPr>
          <w:lang w:eastAsia="zh-CN"/>
        </w:rPr>
      </w:pPr>
      <w:r>
        <w:rPr>
          <w:lang w:eastAsia="zh-CN"/>
        </w:rPr>
        <w:t>如你不希望再收到易周法讯，请发送电邮至</w:t>
      </w:r>
      <w:r>
        <w:rPr>
          <w:lang w:eastAsia="zh-CN"/>
        </w:rPr>
        <w:t xml:space="preserve">  </w:t>
      </w:r>
      <w:hyperlink r:id="rId11">
        <w:r>
          <w:rPr>
            <w:lang w:eastAsia="zh-CN"/>
          </w:rPr>
          <w:t>unsubscribe@charltonslaw.com</w:t>
        </w:r>
      </w:hyperlink>
    </w:p>
    <w:p w:rsidR="00D52901" w:rsidRDefault="00733B88">
      <w:pPr>
        <w:pStyle w:val="BlackStrips"/>
      </w:pPr>
      <w:r>
        <w:t xml:space="preserve">Charltons - </w:t>
      </w:r>
      <w:r>
        <w:t>香港法律</w:t>
      </w:r>
      <w:r>
        <w:t xml:space="preserve"> - 2023</w:t>
      </w:r>
      <w:r>
        <w:t>年</w:t>
      </w:r>
      <w:r>
        <w:t>11</w:t>
      </w:r>
      <w:r>
        <w:t>月</w:t>
      </w:r>
      <w:r>
        <w:t>10</w:t>
      </w:r>
      <w:r>
        <w:t>日</w:t>
      </w:r>
    </w:p>
    <w:sectPr w:rsidR="00D52901">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33B88">
      <w:pPr>
        <w:spacing w:after="0"/>
      </w:pPr>
      <w:r>
        <w:separator/>
      </w:r>
    </w:p>
  </w:endnote>
  <w:endnote w:type="continuationSeparator" w:id="0">
    <w:p w:rsidR="00000000" w:rsidRDefault="00733B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901" w:rsidRDefault="00733B88">
      <w:r>
        <w:separator/>
      </w:r>
    </w:p>
  </w:footnote>
  <w:footnote w:type="continuationSeparator" w:id="0">
    <w:p w:rsidR="00D52901" w:rsidRDefault="00733B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EFC27220"/>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1" w15:restartNumberingAfterBreak="0">
    <w:nsid w:val="170CD2DE"/>
    <w:multiLevelType w:val="multilevel"/>
    <w:tmpl w:val="B8FE603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DEFA98F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4E29B3"/>
    <w:rsid w:val="00590D07"/>
    <w:rsid w:val="00733B88"/>
    <w:rsid w:val="00784D58"/>
    <w:rsid w:val="008D6863"/>
    <w:rsid w:val="00B86B75"/>
    <w:rsid w:val="00BC48D5"/>
    <w:rsid w:val="00C36279"/>
    <w:rsid w:val="00D52901"/>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A44DC"/>
  <w15:docId w15:val="{DA1B07B1-3987-437B-86C4-2F3DD70F6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ma.gov.hk/media/eng/doc/key-information/press-release/2022/20220112e3a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arltonslaw.com.cn/xiang-gang-jin-guan-ju-jiang-yu-202324cai-na-wen-ding-bi-fa-pai-zhi-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nsubscribe@charltonslaw.com?subject=unsubscribe%20-Hong%20Kong%20Law-" TargetMode="External"/><Relationship Id="rId5" Type="http://schemas.openxmlformats.org/officeDocument/2006/relationships/footnotes" Target="footnotes.xml"/><Relationship Id="rId10" Type="http://schemas.openxmlformats.org/officeDocument/2006/relationships/hyperlink" Target="https://www.hkma.gov.hk/media/eng/doc/key-information/press-release/2023/20230131e9a1.pdf" TargetMode="External"/><Relationship Id="rId4" Type="http://schemas.openxmlformats.org/officeDocument/2006/relationships/webSettings" Target="webSettings.xml"/><Relationship Id="rId9" Type="http://schemas.openxmlformats.org/officeDocument/2006/relationships/hyperlink" Target="https://www.charltonslaw.com.cn/xiang-gang-jin-rong-guan-li-ju-fa-bu-jian-guan-yong-zuo-zhi-fu-yong-tu-de-wen-ding-bi-de-jian-y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386</Words>
  <Characters>2206</Characters>
  <Application>Microsoft Office Word</Application>
  <DocSecurity>0</DocSecurity>
  <Lines>18</Lines>
  <Paragraphs>5</Paragraphs>
  <ScaleCrop>false</ScaleCrop>
  <Company>Charltons</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2023-11-10T06:37:00Z</dcterms:created>
  <dcterms:modified xsi:type="dcterms:W3CDTF">2023-11-10T06:40:00Z</dcterms:modified>
</cp:coreProperties>
</file>