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22" w:rsidRDefault="00F91F4B">
      <w:pPr>
        <w:pStyle w:val="BlackStrips"/>
      </w:pPr>
      <w:r>
        <w:t xml:space="preserve">Charltons - </w:t>
      </w:r>
      <w:r>
        <w:t>香港法律</w:t>
      </w:r>
      <w:r>
        <w:t xml:space="preserve"> - 2023</w:t>
      </w:r>
      <w:r>
        <w:t>年</w:t>
      </w:r>
      <w:r>
        <w:t>12</w:t>
      </w:r>
      <w:r>
        <w:t>月</w:t>
      </w:r>
      <w:r>
        <w:t>18</w:t>
      </w:r>
      <w:r>
        <w:t>日</w:t>
      </w:r>
    </w:p>
    <w:p w:rsidR="000A7B22" w:rsidRDefault="00F91F4B">
      <w:pPr>
        <w:pStyle w:val="ReadOnline"/>
        <w:rPr>
          <w:lang w:eastAsia="zh-CN"/>
        </w:rPr>
      </w:pPr>
      <w:hyperlink r:id="rId7">
        <w:r>
          <w:rPr>
            <w:lang w:eastAsia="zh-CN"/>
          </w:rPr>
          <w:t>online version</w:t>
        </w:r>
      </w:hyperlink>
    </w:p>
    <w:p w:rsidR="000A7B22" w:rsidRDefault="00F91F4B">
      <w:pPr>
        <w:pStyle w:val="Title"/>
        <w:rPr>
          <w:lang w:eastAsia="zh-CN"/>
        </w:rPr>
      </w:pPr>
      <w:r>
        <w:rPr>
          <w:lang w:eastAsia="zh-CN"/>
        </w:rPr>
        <w:t>香港交易所有关全球碳市场与香港市场的机遇的研究报告</w:t>
      </w:r>
    </w:p>
    <w:p w:rsidR="000A7B22" w:rsidRDefault="00F91F4B">
      <w:pPr>
        <w:pStyle w:val="FirstParagraph"/>
        <w:rPr>
          <w:lang w:eastAsia="zh-CN"/>
        </w:rPr>
      </w:pPr>
      <w:r>
        <w:rPr>
          <w:lang w:eastAsia="zh-CN"/>
        </w:rPr>
        <w:t>2023</w:t>
      </w:r>
      <w:r>
        <w:rPr>
          <w:lang w:eastAsia="zh-CN"/>
        </w:rPr>
        <w:t>年</w:t>
      </w:r>
      <w:r>
        <w:rPr>
          <w:lang w:eastAsia="zh-CN"/>
        </w:rPr>
        <w:t>1</w:t>
      </w:r>
      <w:r>
        <w:rPr>
          <w:lang w:eastAsia="zh-CN"/>
        </w:rPr>
        <w:t>月，香港交易所发布了一份《有关全球碳市场的发展与香港市场的机遇的研究报告》。该份报告强调全球碳市场与交易所的发展历程，并据此检视中国的情况，以及表明香港作为绿色金融枢纽及地区碳交易中心的潜在角色。</w:t>
      </w:r>
    </w:p>
    <w:p w:rsidR="000A7B22" w:rsidRDefault="00F91F4B">
      <w:pPr>
        <w:pStyle w:val="BodyText"/>
        <w:rPr>
          <w:lang w:eastAsia="zh-CN"/>
        </w:rPr>
      </w:pPr>
      <w:r>
        <w:rPr>
          <w:lang w:eastAsia="zh-CN"/>
        </w:rPr>
        <w:t>该份</w:t>
      </w:r>
      <w:hyperlink r:id="rId8">
        <w:r>
          <w:rPr>
            <w:lang w:eastAsia="zh-CN"/>
          </w:rPr>
          <w:t>研究报告</w:t>
        </w:r>
      </w:hyperlink>
      <w:r>
        <w:rPr>
          <w:lang w:eastAsia="zh-CN"/>
        </w:rPr>
        <w:t>载列于香港交</w:t>
      </w:r>
      <w:r>
        <w:rPr>
          <w:lang w:eastAsia="zh-CN"/>
        </w:rPr>
        <w:t>易所网站（</w:t>
      </w:r>
      <w:r>
        <w:rPr>
          <w:b/>
          <w:lang w:eastAsia="zh-CN"/>
        </w:rPr>
        <w:t>香港交易所研究报告</w:t>
      </w:r>
      <w:r>
        <w:rPr>
          <w:lang w:eastAsia="zh-CN"/>
        </w:rPr>
        <w:t>）。</w:t>
      </w:r>
    </w:p>
    <w:p w:rsidR="000A7B22" w:rsidRDefault="00F91F4B">
      <w:pPr>
        <w:pStyle w:val="BodyText"/>
      </w:pPr>
      <w:r>
        <w:t>碳市场简介</w:t>
      </w:r>
    </w:p>
    <w:p w:rsidR="000A7B22" w:rsidRDefault="00F91F4B">
      <w:pPr>
        <w:pStyle w:val="BodyText"/>
        <w:rPr>
          <w:lang w:eastAsia="zh-CN"/>
        </w:rPr>
      </w:pPr>
      <w:r>
        <w:rPr>
          <w:lang w:eastAsia="zh-CN"/>
        </w:rPr>
        <w:t>自</w:t>
      </w:r>
      <w:r>
        <w:rPr>
          <w:lang w:eastAsia="zh-CN"/>
        </w:rPr>
        <w:t>1997</w:t>
      </w:r>
      <w:r>
        <w:rPr>
          <w:lang w:eastAsia="zh-CN"/>
        </w:rPr>
        <w:t>年《京都议定书》制定了一套碳排放权交易的框架，旨在于</w:t>
      </w:r>
      <w:r>
        <w:rPr>
          <w:lang w:eastAsia="zh-CN"/>
        </w:rPr>
        <w:t>2012</w:t>
      </w:r>
      <w:r>
        <w:rPr>
          <w:lang w:eastAsia="zh-CN"/>
        </w:rPr>
        <w:t>年或之前将平均温室气体排放量减少</w:t>
      </w:r>
      <w:r>
        <w:rPr>
          <w:lang w:eastAsia="zh-CN"/>
        </w:rPr>
        <w:t>5%</w:t>
      </w:r>
      <w:r>
        <w:rPr>
          <w:lang w:eastAsia="zh-CN"/>
        </w:rPr>
        <w:t>起，联合国及其成员国一直持续根据《联合国气候变化框架公约》（</w:t>
      </w:r>
      <w:r>
        <w:rPr>
          <w:b/>
          <w:lang w:eastAsia="zh-CN"/>
        </w:rPr>
        <w:t>UNFCCC</w:t>
      </w:r>
      <w:r>
        <w:rPr>
          <w:lang w:eastAsia="zh-CN"/>
        </w:rPr>
        <w:t>）透过气候变化协议设置碳排放减排目标。</w:t>
      </w:r>
      <w:r>
        <w:rPr>
          <w:lang w:eastAsia="zh-CN"/>
        </w:rPr>
        <w:t>2015</w:t>
      </w:r>
      <w:r>
        <w:rPr>
          <w:lang w:eastAsia="zh-CN"/>
        </w:rPr>
        <w:t>年《巴黎协议》提倡联合国成员国设定「具约束力的程序性承诺」，从而于《京都议定书》2020</w:t>
      </w:r>
      <w:r>
        <w:rPr>
          <w:lang w:eastAsia="zh-CN"/>
        </w:rPr>
        <w:t>年第二个承诺期结束后设定自己的「国家自定贡献」。《巴黎协议》亦准许各国通过市场机制（包括交易系统）达到其减排目标。该等联合国协议反过来促进了欧盟碳排放权</w:t>
      </w:r>
      <w:r>
        <w:rPr>
          <w:lang w:eastAsia="zh-CN"/>
        </w:rPr>
        <w:t>交易体系（简称</w:t>
      </w:r>
      <w:r>
        <w:rPr>
          <w:b/>
          <w:lang w:eastAsia="zh-CN"/>
        </w:rPr>
        <w:t>EU</w:t>
      </w:r>
      <w:r>
        <w:rPr>
          <w:b/>
          <w:lang w:eastAsia="zh-CN"/>
        </w:rPr>
        <w:t>ETS</w:t>
      </w:r>
      <w:r>
        <w:rPr>
          <w:lang w:eastAsia="zh-CN"/>
        </w:rPr>
        <w:t>）（于</w:t>
      </w:r>
      <w:r>
        <w:rPr>
          <w:lang w:eastAsia="zh-CN"/>
        </w:rPr>
        <w:t>2005</w:t>
      </w:r>
      <w:r>
        <w:rPr>
          <w:lang w:eastAsia="zh-CN"/>
        </w:rPr>
        <w:t>年推出）下的碳排放权交易体系及自愿碳市场的发展扩大，直至在不同层面的司法权区出现自己的碳排放权交易体系，包括美国、加拿大、印度及中国，涉及城市、国家以至地区层面。随着碳排放权交易体系（简称</w:t>
      </w:r>
      <w:r>
        <w:rPr>
          <w:b/>
          <w:lang w:eastAsia="zh-CN"/>
        </w:rPr>
        <w:t>ETSs</w:t>
      </w:r>
      <w:r>
        <w:rPr>
          <w:lang w:eastAsia="zh-CN"/>
        </w:rPr>
        <w:t>）的该等总体发展，碳市场已拓展至包括碳衍生产品，例如可在交易所平台与场外交易（简称</w:t>
      </w:r>
      <w:r>
        <w:rPr>
          <w:b/>
          <w:lang w:eastAsia="zh-CN"/>
        </w:rPr>
        <w:t>OTC</w:t>
      </w:r>
      <w:r>
        <w:rPr>
          <w:lang w:eastAsia="zh-CN"/>
        </w:rPr>
        <w:t>）场所买卖的碳期货及期权，以及对冲工具等。</w:t>
      </w:r>
    </w:p>
    <w:p w:rsidR="000A7B22" w:rsidRDefault="00F91F4B">
      <w:pPr>
        <w:pStyle w:val="BodyText"/>
        <w:rPr>
          <w:lang w:eastAsia="zh-CN"/>
        </w:rPr>
      </w:pPr>
      <w:r>
        <w:rPr>
          <w:lang w:eastAsia="zh-CN"/>
        </w:rPr>
        <w:t>碳市场的类型</w:t>
      </w:r>
    </w:p>
    <w:p w:rsidR="000A7B22" w:rsidRDefault="00F91F4B">
      <w:pPr>
        <w:pStyle w:val="BodyText"/>
        <w:rPr>
          <w:lang w:eastAsia="zh-CN"/>
        </w:rPr>
      </w:pPr>
      <w:r>
        <w:rPr>
          <w:lang w:eastAsia="zh-CN"/>
        </w:rPr>
        <w:t>全球碳市场可分为以下两种主要类型：</w:t>
      </w:r>
    </w:p>
    <w:p w:rsidR="000A7B22" w:rsidRDefault="00F91F4B">
      <w:pPr>
        <w:pStyle w:val="BodyText"/>
        <w:rPr>
          <w:lang w:eastAsia="zh-CN"/>
        </w:rPr>
      </w:pPr>
      <w:r>
        <w:rPr>
          <w:b/>
          <w:lang w:eastAsia="zh-CN"/>
        </w:rPr>
        <w:t>配额制碳市场</w:t>
      </w:r>
    </w:p>
    <w:p w:rsidR="000A7B22" w:rsidRDefault="00F91F4B">
      <w:pPr>
        <w:pStyle w:val="BodyText"/>
        <w:rPr>
          <w:lang w:eastAsia="zh-CN"/>
        </w:rPr>
      </w:pPr>
      <w:r>
        <w:rPr>
          <w:lang w:eastAsia="zh-CN"/>
        </w:rPr>
        <w:t>配额制碳市场以「总量管制与交易」</w:t>
      </w:r>
      <w:hyperlink w:anchor="footnote-598-1">
        <w:r>
          <w:rPr>
            <w:vertAlign w:val="superscript"/>
            <w:lang w:eastAsia="zh-CN"/>
          </w:rPr>
          <w:t>1</w:t>
        </w:r>
      </w:hyperlink>
      <w:r>
        <w:rPr>
          <w:lang w:eastAsia="zh-CN"/>
        </w:rPr>
        <w:t>机制为基础，意味着监管机构会为指定合规期内设定温室气体排放（一般按一个单位的二氧化碳（</w:t>
      </w:r>
      <w:r>
        <w:rPr>
          <w:b/>
          <w:lang w:eastAsia="zh-CN"/>
        </w:rPr>
        <w:t>CO2e</w:t>
      </w:r>
      <w:r>
        <w:rPr>
          <w:lang w:eastAsia="zh-CN"/>
        </w:rPr>
        <w:t>）吨量计量）的限额或上限。限额要么属绝对性质的（固定数量的排放）要么属按密集度计量的（「相对于司法权区的投入或产出来预定排放率」），会随时间减少或设定合规期。设定限额后，碳排放权交易体系所覆盖的实体会在一级市场获免费分配碳排放配额或以拍卖方式获分配。公司亦可因应自己的合规需要在二级市场买卖其碳排放配额。</w:t>
      </w:r>
    </w:p>
    <w:p w:rsidR="000A7B22" w:rsidRDefault="00F91F4B">
      <w:pPr>
        <w:pStyle w:val="BodyText"/>
        <w:rPr>
          <w:lang w:eastAsia="zh-CN"/>
        </w:rPr>
      </w:pPr>
      <w:r>
        <w:rPr>
          <w:b/>
          <w:lang w:eastAsia="zh-CN"/>
        </w:rPr>
        <w:t>项目制碳市场</w:t>
      </w:r>
    </w:p>
    <w:p w:rsidR="000A7B22" w:rsidRDefault="00F91F4B">
      <w:pPr>
        <w:pStyle w:val="BodyText"/>
        <w:rPr>
          <w:lang w:eastAsia="zh-CN"/>
        </w:rPr>
      </w:pPr>
      <w:r>
        <w:rPr>
          <w:lang w:eastAsia="zh-CN"/>
        </w:rPr>
        <w:t>项目制碳市场一般采用「基线与碳信用」原则，即碳抵销机制。在此机制下，碳</w:t>
      </w:r>
      <w:r>
        <w:rPr>
          <w:lang w:eastAsia="zh-CN"/>
        </w:rPr>
        <w:t>排放权的设定并未对司法权区</w:t>
      </w:r>
      <w:r>
        <w:rPr>
          <w:lang w:eastAsia="zh-CN"/>
        </w:rPr>
        <w:t>/</w:t>
      </w:r>
      <w:r>
        <w:rPr>
          <w:lang w:eastAsia="zh-CN"/>
        </w:rPr>
        <w:t>公司的总排放量施加明确限额。温室气体排放可以降至低于第三方核证机构根据经由考虑行业部门及相应的技术限制因素而制定的基线情景设定的某个水平基线情景下。项目可以通过直接行动（例如重新造林）与技术（例如碳捕集），来避免或减少碳排放和实现碳移除</w:t>
      </w:r>
      <w:r>
        <w:rPr>
          <w:lang w:eastAsia="zh-CN"/>
        </w:rPr>
        <w:t>/</w:t>
      </w:r>
      <w:r>
        <w:rPr>
          <w:lang w:eastAsia="zh-CN"/>
        </w:rPr>
        <w:t>碳封存，以产生「碳抵销」（又称「</w:t>
      </w:r>
      <w:r>
        <w:rPr>
          <w:b/>
          <w:lang w:eastAsia="zh-CN"/>
        </w:rPr>
        <w:t>碳信用</w:t>
      </w:r>
      <w:r>
        <w:rPr>
          <w:lang w:eastAsia="zh-CN"/>
        </w:rPr>
        <w:t>」）。</w:t>
      </w:r>
    </w:p>
    <w:p w:rsidR="000A7B22" w:rsidRDefault="00F91F4B">
      <w:pPr>
        <w:pStyle w:val="BodyText"/>
        <w:rPr>
          <w:lang w:eastAsia="zh-CN"/>
        </w:rPr>
      </w:pPr>
      <w:r>
        <w:rPr>
          <w:lang w:eastAsia="zh-CN"/>
        </w:rPr>
        <w:t>可由独立核数师核证碳抵销项目的绩效或项目的计划，且该等核数师报告将会发送予标准制定者（通常为碳抵销证书的签发者）作进一步核查确认。对于碳排放国而言，有时候碳抵销可用于抵销在</w:t>
      </w:r>
      <w:r>
        <w:rPr>
          <w:lang w:eastAsia="zh-CN"/>
        </w:rPr>
        <w:t xml:space="preserve"> ETS </w:t>
      </w:r>
      <w:r>
        <w:rPr>
          <w:lang w:eastAsia="zh-CN"/>
        </w:rPr>
        <w:t>的碳排放限额或其自</w:t>
      </w:r>
      <w:r>
        <w:rPr>
          <w:lang w:eastAsia="zh-CN"/>
        </w:rPr>
        <w:t>愿承诺。</w:t>
      </w:r>
    </w:p>
    <w:p w:rsidR="000A7B22" w:rsidRDefault="00F91F4B">
      <w:pPr>
        <w:pStyle w:val="BodyText"/>
        <w:rPr>
          <w:lang w:eastAsia="zh-CN"/>
        </w:rPr>
      </w:pPr>
      <w:r>
        <w:rPr>
          <w:lang w:eastAsia="zh-CN"/>
        </w:rPr>
        <w:t>强制碳市场及自愿碳市场</w:t>
      </w:r>
    </w:p>
    <w:p w:rsidR="000A7B22" w:rsidRDefault="00F91F4B">
      <w:pPr>
        <w:pStyle w:val="BodyText"/>
        <w:rPr>
          <w:lang w:eastAsia="zh-CN"/>
        </w:rPr>
      </w:pPr>
      <w:r>
        <w:rPr>
          <w:lang w:eastAsia="zh-CN"/>
        </w:rPr>
        <w:t>碳市场可分为两类：强制碳市场及自愿碳市场</w:t>
      </w:r>
    </w:p>
    <w:p w:rsidR="000A7B22" w:rsidRDefault="00F91F4B">
      <w:pPr>
        <w:pStyle w:val="BodyText"/>
        <w:rPr>
          <w:lang w:eastAsia="zh-CN"/>
        </w:rPr>
      </w:pPr>
      <w:r>
        <w:rPr>
          <w:b/>
          <w:lang w:eastAsia="zh-CN"/>
        </w:rPr>
        <w:lastRenderedPageBreak/>
        <w:t>强制碳市场</w:t>
      </w:r>
    </w:p>
    <w:p w:rsidR="000A7B22" w:rsidRDefault="00F91F4B">
      <w:pPr>
        <w:pStyle w:val="BodyText"/>
        <w:rPr>
          <w:lang w:eastAsia="zh-CN"/>
        </w:rPr>
      </w:pPr>
      <w:r>
        <w:rPr>
          <w:lang w:eastAsia="zh-CN"/>
        </w:rPr>
        <w:t>强制碳市场一般属额度制碳市场，当中</w:t>
      </w:r>
      <w:r>
        <w:rPr>
          <w:lang w:eastAsia="zh-CN"/>
        </w:rPr>
        <w:t>ETS</w:t>
      </w:r>
      <w:r>
        <w:rPr>
          <w:lang w:eastAsia="zh-CN"/>
        </w:rPr>
        <w:t>所覆盖的实体会遵守有法律约束力的减排要求。该等实体被准许买卖其碳排放配额来应付其减排需要。不过，碳排放配额一般亦不得在强制碳市场之间交换，并能够引起「碳泄漏」（即有关实体故意移至碳价格较低的司法权区）。然而，存在一些机制（诸如碳边境调整机制（</w:t>
      </w:r>
      <w:r>
        <w:rPr>
          <w:lang w:eastAsia="zh-CN"/>
        </w:rPr>
        <w:t>carbon border adjustment mechanism</w:t>
      </w:r>
      <w:r>
        <w:rPr>
          <w:lang w:eastAsia="zh-CN"/>
        </w:rPr>
        <w:t>，简称</w:t>
      </w:r>
      <w:r>
        <w:rPr>
          <w:b/>
          <w:lang w:eastAsia="zh-CN"/>
        </w:rPr>
        <w:t>CBAM</w:t>
      </w:r>
      <w:r>
        <w:rPr>
          <w:lang w:eastAsia="zh-CN"/>
        </w:rPr>
        <w:t>）），该等机制寻求透过对出入口征收关税、税项及</w:t>
      </w:r>
      <w:r>
        <w:rPr>
          <w:lang w:eastAsia="zh-CN"/>
        </w:rPr>
        <w:t>/</w:t>
      </w:r>
      <w:r>
        <w:rPr>
          <w:lang w:eastAsia="zh-CN"/>
        </w:rPr>
        <w:t>或回扣堵住有</w:t>
      </w:r>
      <w:r>
        <w:rPr>
          <w:lang w:eastAsia="zh-CN"/>
        </w:rPr>
        <w:t>关漏洞，以图减轻以下监管制度较弱的发展中国家的潜在负担，由或者能源密集及出口型的行业可能获得一部分免费配额以覆盖其碳排放。</w:t>
      </w:r>
    </w:p>
    <w:p w:rsidR="000A7B22" w:rsidRDefault="00F91F4B">
      <w:pPr>
        <w:pStyle w:val="BodyText"/>
        <w:rPr>
          <w:lang w:eastAsia="zh-CN"/>
        </w:rPr>
      </w:pPr>
      <w:r>
        <w:rPr>
          <w:b/>
          <w:lang w:eastAsia="zh-CN"/>
        </w:rPr>
        <w:t>自愿碳市场</w:t>
      </w:r>
    </w:p>
    <w:p w:rsidR="000A7B22" w:rsidRDefault="00F91F4B">
      <w:pPr>
        <w:pStyle w:val="BodyText"/>
        <w:rPr>
          <w:lang w:eastAsia="zh-CN"/>
        </w:rPr>
      </w:pPr>
      <w:r>
        <w:rPr>
          <w:lang w:eastAsia="zh-CN"/>
        </w:rPr>
        <w:t>自愿碳市场一般拥有不具法律约束力的碳减排承诺，且主要处理参与者自愿向减排项目拥有人购买碳抵销权，以抵销其温室气体排放。由于相关项目的验证仍无统一标准，自愿碳市场亦与强制市场一样内部之间只有很少或者根本没有关连。</w:t>
      </w:r>
    </w:p>
    <w:p w:rsidR="000A7B22" w:rsidRDefault="00F91F4B">
      <w:pPr>
        <w:pStyle w:val="BodyText"/>
        <w:rPr>
          <w:lang w:eastAsia="zh-CN"/>
        </w:rPr>
      </w:pPr>
      <w:r>
        <w:rPr>
          <w:lang w:eastAsia="zh-CN"/>
        </w:rPr>
        <w:t>目前，强制碳市场与自愿碳市场之间的互操作性相当有限。现时强制与自愿碳市场之间的联系（透过使用自愿碳市场的信用额）仅包括覆盖的实体履行合规责任的</w:t>
      </w:r>
      <w:r>
        <w:rPr>
          <w:lang w:eastAsia="zh-CN"/>
        </w:rPr>
        <w:t>3%</w:t>
      </w:r>
      <w:r>
        <w:rPr>
          <w:lang w:eastAsia="zh-CN"/>
        </w:rPr>
        <w:t>至</w:t>
      </w:r>
      <w:r>
        <w:rPr>
          <w:lang w:eastAsia="zh-CN"/>
        </w:rPr>
        <w:t>10%</w:t>
      </w:r>
      <w:r>
        <w:rPr>
          <w:lang w:eastAsia="zh-CN"/>
        </w:rPr>
        <w:t>，且只有少</w:t>
      </w:r>
      <w:r>
        <w:rPr>
          <w:lang w:eastAsia="zh-CN"/>
        </w:rPr>
        <w:t>数强制市场</w:t>
      </w:r>
      <w:r>
        <w:rPr>
          <w:lang w:eastAsia="zh-CN"/>
        </w:rPr>
        <w:t xml:space="preserve"> ETS</w:t>
      </w:r>
      <w:r>
        <w:rPr>
          <w:lang w:eastAsia="zh-CN"/>
        </w:rPr>
        <w:t>会接纳以碳抵销方式履行合规责任，而且即使如此，其须属按「分类机制」须属高质量的碳抵销。</w:t>
      </w:r>
    </w:p>
    <w:p w:rsidR="000A7B22" w:rsidRDefault="00F91F4B">
      <w:pPr>
        <w:pStyle w:val="BodyText"/>
        <w:rPr>
          <w:lang w:eastAsia="zh-CN"/>
        </w:rPr>
      </w:pPr>
      <w:r>
        <w:rPr>
          <w:lang w:eastAsia="zh-CN"/>
        </w:rPr>
        <w:t>全球碳市场：事实和数字</w:t>
      </w:r>
    </w:p>
    <w:p w:rsidR="000A7B22" w:rsidRDefault="00F91F4B">
      <w:pPr>
        <w:pStyle w:val="BodyText"/>
        <w:rPr>
          <w:lang w:eastAsia="zh-CN"/>
        </w:rPr>
      </w:pPr>
      <w:r>
        <w:rPr>
          <w:lang w:eastAsia="zh-CN"/>
        </w:rPr>
        <w:t>主要的碳排放权交易体系</w:t>
      </w:r>
    </w:p>
    <w:p w:rsidR="000A7B22" w:rsidRDefault="00F91F4B">
      <w:pPr>
        <w:pStyle w:val="BodyText"/>
        <w:rPr>
          <w:lang w:eastAsia="zh-CN"/>
        </w:rPr>
      </w:pPr>
      <w:r>
        <w:rPr>
          <w:lang w:eastAsia="zh-CN"/>
        </w:rPr>
        <w:t>该份香港交易所研究报告指出，截至</w:t>
      </w:r>
      <w:r>
        <w:rPr>
          <w:lang w:eastAsia="zh-CN"/>
        </w:rPr>
        <w:t>2021</w:t>
      </w:r>
      <w:r>
        <w:rPr>
          <w:lang w:eastAsia="zh-CN"/>
        </w:rPr>
        <w:t>年年底，全世界一共存在</w:t>
      </w:r>
      <w:r>
        <w:rPr>
          <w:lang w:eastAsia="zh-CN"/>
        </w:rPr>
        <w:t>12</w:t>
      </w:r>
      <w:r>
        <w:rPr>
          <w:lang w:eastAsia="zh-CN"/>
        </w:rPr>
        <w:t>个主要的跨国性，国家性或者区域性</w:t>
      </w:r>
      <w:r>
        <w:rPr>
          <w:lang w:eastAsia="zh-CN"/>
        </w:rPr>
        <w:t>ETSs</w:t>
      </w:r>
      <w:hyperlink w:anchor="footnote-598-2">
        <w:r>
          <w:rPr>
            <w:vertAlign w:val="superscript"/>
            <w:lang w:eastAsia="zh-CN"/>
          </w:rPr>
          <w:t>2</w:t>
        </w:r>
      </w:hyperlink>
      <w:r>
        <w:rPr>
          <w:lang w:eastAsia="zh-CN"/>
        </w:rPr>
        <w:t>，其中前三名（就</w:t>
      </w:r>
      <w:r>
        <w:rPr>
          <w:lang w:eastAsia="zh-CN"/>
        </w:rPr>
        <w:t>2021</w:t>
      </w:r>
      <w:r>
        <w:rPr>
          <w:lang w:eastAsia="zh-CN"/>
        </w:rPr>
        <w:t>年所覆盖的碳排放比例而言）分别位于魁北克（</w:t>
      </w:r>
      <w:r>
        <w:rPr>
          <w:lang w:eastAsia="zh-CN"/>
        </w:rPr>
        <w:t>78%</w:t>
      </w:r>
      <w:r>
        <w:rPr>
          <w:lang w:eastAsia="zh-CN"/>
        </w:rPr>
        <w:t>）加州（美国）（</w:t>
      </w:r>
      <w:r>
        <w:rPr>
          <w:lang w:eastAsia="zh-CN"/>
        </w:rPr>
        <w:t>74%</w:t>
      </w:r>
      <w:r>
        <w:rPr>
          <w:lang w:eastAsia="zh-CN"/>
        </w:rPr>
        <w:t>）及韩国（</w:t>
      </w:r>
      <w:r>
        <w:rPr>
          <w:lang w:eastAsia="zh-CN"/>
        </w:rPr>
        <w:t>73%</w:t>
      </w:r>
      <w:r>
        <w:rPr>
          <w:lang w:eastAsia="zh-CN"/>
        </w:rPr>
        <w:t>）。但是，虽然</w:t>
      </w:r>
      <w:r>
        <w:rPr>
          <w:lang w:eastAsia="zh-CN"/>
        </w:rPr>
        <w:t xml:space="preserve">2022 </w:t>
      </w:r>
      <w:r>
        <w:rPr>
          <w:lang w:eastAsia="zh-CN"/>
        </w:rPr>
        <w:t>年全球</w:t>
      </w:r>
      <w:r>
        <w:rPr>
          <w:lang w:eastAsia="zh-CN"/>
        </w:rPr>
        <w:t>ETS</w:t>
      </w:r>
      <w:r>
        <w:rPr>
          <w:lang w:eastAsia="zh-CN"/>
        </w:rPr>
        <w:t>所覆盖的碳排放量增至约</w:t>
      </w:r>
      <w:r>
        <w:rPr>
          <w:lang w:eastAsia="zh-CN"/>
        </w:rPr>
        <w:t xml:space="preserve"> 89 </w:t>
      </w:r>
      <w:r>
        <w:rPr>
          <w:lang w:eastAsia="zh-CN"/>
        </w:rPr>
        <w:t>亿吨</w:t>
      </w:r>
      <w:r>
        <w:rPr>
          <w:lang w:eastAsia="zh-CN"/>
        </w:rPr>
        <w:t xml:space="preserve"> CO2e</w:t>
      </w:r>
      <w:r>
        <w:rPr>
          <w:lang w:eastAsia="zh-CN"/>
        </w:rPr>
        <w:t>（而</w:t>
      </w:r>
      <w:r>
        <w:rPr>
          <w:lang w:eastAsia="zh-CN"/>
        </w:rPr>
        <w:t>2005</w:t>
      </w:r>
      <w:r>
        <w:rPr>
          <w:lang w:eastAsia="zh-CN"/>
        </w:rPr>
        <w:t>年为</w:t>
      </w:r>
      <w:r>
        <w:rPr>
          <w:lang w:eastAsia="zh-CN"/>
        </w:rPr>
        <w:t>21</w:t>
      </w:r>
      <w:r>
        <w:rPr>
          <w:lang w:eastAsia="zh-CN"/>
        </w:rPr>
        <w:t>亿吨</w:t>
      </w:r>
      <w:r>
        <w:rPr>
          <w:lang w:eastAsia="zh-CN"/>
        </w:rPr>
        <w:t>CO2e</w:t>
      </w:r>
      <w:r>
        <w:rPr>
          <w:lang w:eastAsia="zh-CN"/>
        </w:rPr>
        <w:t>），但是</w:t>
      </w:r>
      <w:r>
        <w:rPr>
          <w:lang w:eastAsia="zh-CN"/>
        </w:rPr>
        <w:t>2021</w:t>
      </w:r>
      <w:r>
        <w:rPr>
          <w:lang w:eastAsia="zh-CN"/>
        </w:rPr>
        <w:t>年年底</w:t>
      </w:r>
      <w:r>
        <w:rPr>
          <w:lang w:eastAsia="zh-CN"/>
        </w:rPr>
        <w:t xml:space="preserve">ETS </w:t>
      </w:r>
      <w:r>
        <w:rPr>
          <w:lang w:eastAsia="zh-CN"/>
        </w:rPr>
        <w:t>所覆盖的全球碳排放比例仅为</w:t>
      </w:r>
      <w:r>
        <w:rPr>
          <w:lang w:eastAsia="zh-CN"/>
        </w:rPr>
        <w:t>17%</w:t>
      </w:r>
      <w:r>
        <w:rPr>
          <w:lang w:eastAsia="zh-CN"/>
        </w:rPr>
        <w:t>。</w:t>
      </w:r>
    </w:p>
    <w:p w:rsidR="000A7B22" w:rsidRDefault="00F91F4B">
      <w:pPr>
        <w:pStyle w:val="BodyText"/>
        <w:rPr>
          <w:lang w:eastAsia="zh-CN"/>
        </w:rPr>
      </w:pPr>
      <w:r>
        <w:rPr>
          <w:lang w:eastAsia="zh-CN"/>
        </w:rPr>
        <w:t>主要</w:t>
      </w:r>
      <w:r>
        <w:rPr>
          <w:lang w:eastAsia="zh-CN"/>
        </w:rPr>
        <w:t>ETS</w:t>
      </w:r>
      <w:r>
        <w:rPr>
          <w:lang w:eastAsia="zh-CN"/>
        </w:rPr>
        <w:t>所覆盖的排放比例差异甚大，最高的是加拿大魁北克</w:t>
      </w:r>
      <w:r>
        <w:rPr>
          <w:lang w:eastAsia="zh-CN"/>
        </w:rPr>
        <w:t>78%</w:t>
      </w:r>
      <w:r>
        <w:rPr>
          <w:lang w:eastAsia="zh-CN"/>
        </w:rPr>
        <w:t>，最低的是瑞士</w:t>
      </w:r>
      <w:r>
        <w:rPr>
          <w:lang w:eastAsia="zh-CN"/>
        </w:rPr>
        <w:t>10%</w:t>
      </w:r>
      <w:r>
        <w:rPr>
          <w:lang w:eastAsia="zh-CN"/>
        </w:rPr>
        <w:t>，原因是政策制定者在不同地区或者国家实施不同的碳减排政策。不过，香港交易所预期</w:t>
      </w:r>
      <w:r>
        <w:rPr>
          <w:lang w:eastAsia="zh-CN"/>
        </w:rPr>
        <w:t xml:space="preserve">ETS </w:t>
      </w:r>
      <w:r>
        <w:rPr>
          <w:lang w:eastAsia="zh-CN"/>
        </w:rPr>
        <w:t>所覆盖的碳排放量未来会增加。</w:t>
      </w:r>
    </w:p>
    <w:p w:rsidR="000A7B22" w:rsidRDefault="00F91F4B">
      <w:pPr>
        <w:pStyle w:val="BodyText"/>
        <w:rPr>
          <w:lang w:eastAsia="zh-CN"/>
        </w:rPr>
      </w:pPr>
      <w:r>
        <w:rPr>
          <w:lang w:eastAsia="zh-CN"/>
        </w:rPr>
        <w:t>碳排放配额拍卖</w:t>
      </w:r>
    </w:p>
    <w:p w:rsidR="000A7B22" w:rsidRDefault="00F91F4B">
      <w:pPr>
        <w:pStyle w:val="BodyText"/>
        <w:rPr>
          <w:lang w:eastAsia="zh-CN"/>
        </w:rPr>
      </w:pPr>
      <w:r>
        <w:rPr>
          <w:lang w:eastAsia="zh-CN"/>
        </w:rPr>
        <w:t>如上文所述，大部分碳排放配额要么免费分配，要么在「总量管制与交易」机制下拍卖分配，或两者并用。根据香港交易所研究报告，</w:t>
      </w:r>
      <w:r>
        <w:rPr>
          <w:lang w:eastAsia="zh-CN"/>
        </w:rPr>
        <w:t>2008</w:t>
      </w:r>
      <w:r>
        <w:rPr>
          <w:lang w:eastAsia="zh-CN"/>
        </w:rPr>
        <w:t>年至</w:t>
      </w:r>
      <w:r>
        <w:rPr>
          <w:lang w:eastAsia="zh-CN"/>
        </w:rPr>
        <w:t>2021</w:t>
      </w:r>
      <w:r>
        <w:rPr>
          <w:lang w:eastAsia="zh-CN"/>
        </w:rPr>
        <w:t>年期间，全球碳市场的碳排放配额拍卖已集得超过</w:t>
      </w:r>
      <w:r>
        <w:rPr>
          <w:lang w:eastAsia="zh-CN"/>
        </w:rPr>
        <w:t>1,</w:t>
      </w:r>
      <w:r>
        <w:rPr>
          <w:lang w:eastAsia="zh-CN"/>
        </w:rPr>
        <w:t>610</w:t>
      </w:r>
      <w:r>
        <w:rPr>
          <w:lang w:eastAsia="zh-CN"/>
        </w:rPr>
        <w:t>亿美元的资金，而且全球市场主要</w:t>
      </w:r>
      <w:r>
        <w:rPr>
          <w:lang w:eastAsia="zh-CN"/>
        </w:rPr>
        <w:t>ETS</w:t>
      </w:r>
      <w:r>
        <w:rPr>
          <w:lang w:eastAsia="zh-CN"/>
        </w:rPr>
        <w:t>的碳排放配额价格呈上升趋势。但是，应注意的是，尽管存在该上升趋势，目前的价格仍然远低于为达到《巴黎协议》将气温升幅限制在摄氏</w:t>
      </w:r>
      <w:r>
        <w:rPr>
          <w:lang w:eastAsia="zh-CN"/>
        </w:rPr>
        <w:t>2</w:t>
      </w:r>
      <w:r>
        <w:rPr>
          <w:lang w:eastAsia="zh-CN"/>
        </w:rPr>
        <w:t>度以内的目标而必要的每吨</w:t>
      </w:r>
      <w:r>
        <w:rPr>
          <w:lang w:eastAsia="zh-CN"/>
        </w:rPr>
        <w:t>CO2e 40</w:t>
      </w:r>
      <w:r>
        <w:rPr>
          <w:lang w:eastAsia="zh-CN"/>
        </w:rPr>
        <w:t>美元至</w:t>
      </w:r>
      <w:r>
        <w:rPr>
          <w:lang w:eastAsia="zh-CN"/>
        </w:rPr>
        <w:t>80</w:t>
      </w:r>
      <w:r>
        <w:rPr>
          <w:lang w:eastAsia="zh-CN"/>
        </w:rPr>
        <w:t>美元范围，原因是于</w:t>
      </w:r>
      <w:r>
        <w:rPr>
          <w:lang w:eastAsia="zh-CN"/>
        </w:rPr>
        <w:t>2020</w:t>
      </w:r>
      <w:r>
        <w:rPr>
          <w:lang w:eastAsia="zh-CN"/>
        </w:rPr>
        <w:t>年，全球</w:t>
      </w:r>
      <w:r>
        <w:rPr>
          <w:lang w:eastAsia="zh-CN"/>
        </w:rPr>
        <w:t>ETS</w:t>
      </w:r>
      <w:r>
        <w:rPr>
          <w:lang w:eastAsia="zh-CN"/>
        </w:rPr>
        <w:t>所覆涵盖的碳排放配额当中只有</w:t>
      </w:r>
      <w:r>
        <w:rPr>
          <w:lang w:eastAsia="zh-CN"/>
        </w:rPr>
        <w:t>3.76%</w:t>
      </w:r>
      <w:r>
        <w:rPr>
          <w:lang w:eastAsia="zh-CN"/>
        </w:rPr>
        <w:t>超过该范围。然而，全球主要</w:t>
      </w:r>
      <w:r>
        <w:rPr>
          <w:lang w:eastAsia="zh-CN"/>
        </w:rPr>
        <w:t>ETS</w:t>
      </w:r>
      <w:r>
        <w:rPr>
          <w:lang w:eastAsia="zh-CN"/>
        </w:rPr>
        <w:t>的总成交量由</w:t>
      </w:r>
      <w:r>
        <w:rPr>
          <w:lang w:eastAsia="zh-CN"/>
        </w:rPr>
        <w:t xml:space="preserve"> 2016</w:t>
      </w:r>
      <w:r>
        <w:rPr>
          <w:lang w:eastAsia="zh-CN"/>
        </w:rPr>
        <w:t>年的</w:t>
      </w:r>
      <w:r>
        <w:rPr>
          <w:lang w:eastAsia="zh-CN"/>
        </w:rPr>
        <w:t>58.50</w:t>
      </w:r>
      <w:r>
        <w:rPr>
          <w:lang w:eastAsia="zh-CN"/>
        </w:rPr>
        <w:t>亿吨</w:t>
      </w:r>
      <w:r>
        <w:rPr>
          <w:lang w:eastAsia="zh-CN"/>
        </w:rPr>
        <w:t>CO2e</w:t>
      </w:r>
      <w:r>
        <w:rPr>
          <w:lang w:eastAsia="zh-CN"/>
        </w:rPr>
        <w:t>增至</w:t>
      </w:r>
      <w:r>
        <w:rPr>
          <w:lang w:eastAsia="zh-CN"/>
        </w:rPr>
        <w:t>2021</w:t>
      </w:r>
      <w:r>
        <w:rPr>
          <w:lang w:eastAsia="zh-CN"/>
        </w:rPr>
        <w:t>年的</w:t>
      </w:r>
      <w:r>
        <w:rPr>
          <w:lang w:eastAsia="zh-CN"/>
        </w:rPr>
        <w:t>157.73</w:t>
      </w:r>
      <w:r>
        <w:rPr>
          <w:lang w:eastAsia="zh-CN"/>
        </w:rPr>
        <w:t>亿吨</w:t>
      </w:r>
      <w:r>
        <w:rPr>
          <w:lang w:eastAsia="zh-CN"/>
        </w:rPr>
        <w:t>CO2e</w:t>
      </w:r>
      <w:r>
        <w:rPr>
          <w:lang w:eastAsia="zh-CN"/>
        </w:rPr>
        <w:t>，五年间的年均复合增长率为</w:t>
      </w:r>
      <w:r>
        <w:rPr>
          <w:lang w:eastAsia="zh-CN"/>
        </w:rPr>
        <w:t xml:space="preserve">22% </w:t>
      </w:r>
      <w:r>
        <w:rPr>
          <w:lang w:eastAsia="zh-CN"/>
        </w:rPr>
        <w:t>。截至</w:t>
      </w:r>
      <w:r>
        <w:rPr>
          <w:lang w:eastAsia="zh-CN"/>
        </w:rPr>
        <w:t>2021</w:t>
      </w:r>
      <w:r>
        <w:rPr>
          <w:lang w:eastAsia="zh-CN"/>
        </w:rPr>
        <w:t>年，欧洲和北美洲买卖的全年成交量分别为</w:t>
      </w:r>
      <w:r>
        <w:rPr>
          <w:lang w:eastAsia="zh-CN"/>
        </w:rPr>
        <w:t>122.14</w:t>
      </w:r>
      <w:r>
        <w:rPr>
          <w:lang w:eastAsia="zh-CN"/>
        </w:rPr>
        <w:t>亿吨</w:t>
      </w:r>
      <w:r>
        <w:rPr>
          <w:lang w:eastAsia="zh-CN"/>
        </w:rPr>
        <w:t>CO2e</w:t>
      </w:r>
      <w:r>
        <w:rPr>
          <w:lang w:eastAsia="zh-CN"/>
        </w:rPr>
        <w:t>及</w:t>
      </w:r>
      <w:r>
        <w:rPr>
          <w:lang w:eastAsia="zh-CN"/>
        </w:rPr>
        <w:t>26.80</w:t>
      </w:r>
      <w:r>
        <w:rPr>
          <w:lang w:eastAsia="zh-CN"/>
        </w:rPr>
        <w:t>亿吨</w:t>
      </w:r>
      <w:r>
        <w:rPr>
          <w:lang w:eastAsia="zh-CN"/>
        </w:rPr>
        <w:t>CO2e</w:t>
      </w:r>
      <w:r>
        <w:rPr>
          <w:lang w:eastAsia="zh-CN"/>
        </w:rPr>
        <w:t>，拥有最大的</w:t>
      </w:r>
      <w:r>
        <w:rPr>
          <w:lang w:eastAsia="zh-CN"/>
        </w:rPr>
        <w:t>ETS</w:t>
      </w:r>
      <w:r>
        <w:rPr>
          <w:lang w:eastAsia="zh-CN"/>
        </w:rPr>
        <w:t>市场。</w:t>
      </w:r>
    </w:p>
    <w:p w:rsidR="000A7B22" w:rsidRDefault="00F91F4B">
      <w:pPr>
        <w:pStyle w:val="BodyText"/>
        <w:rPr>
          <w:lang w:eastAsia="zh-CN"/>
        </w:rPr>
      </w:pPr>
      <w:r>
        <w:rPr>
          <w:lang w:eastAsia="zh-CN"/>
        </w:rPr>
        <w:t>自愿碳市场</w:t>
      </w:r>
    </w:p>
    <w:p w:rsidR="000A7B22" w:rsidRDefault="00F91F4B">
      <w:pPr>
        <w:pStyle w:val="BodyText"/>
        <w:rPr>
          <w:lang w:eastAsia="zh-CN"/>
        </w:rPr>
      </w:pPr>
      <w:r>
        <w:rPr>
          <w:lang w:eastAsia="zh-CN"/>
        </w:rPr>
        <w:t>自愿碳市场方面，全球碳抵销的全年签发量在</w:t>
      </w:r>
      <w:r>
        <w:rPr>
          <w:lang w:eastAsia="zh-CN"/>
        </w:rPr>
        <w:t>2021</w:t>
      </w:r>
      <w:r>
        <w:rPr>
          <w:lang w:eastAsia="zh-CN"/>
        </w:rPr>
        <w:t>年首十个月内达致</w:t>
      </w:r>
      <w:r>
        <w:rPr>
          <w:lang w:eastAsia="zh-CN"/>
        </w:rPr>
        <w:t>3.04</w:t>
      </w:r>
      <w:r>
        <w:rPr>
          <w:lang w:eastAsia="zh-CN"/>
        </w:rPr>
        <w:t>亿吨</w:t>
      </w:r>
      <w:r>
        <w:rPr>
          <w:lang w:eastAsia="zh-CN"/>
        </w:rPr>
        <w:t>CO2e</w:t>
      </w:r>
      <w:r>
        <w:rPr>
          <w:lang w:eastAsia="zh-CN"/>
        </w:rPr>
        <w:t>，而</w:t>
      </w:r>
      <w:r>
        <w:rPr>
          <w:lang w:eastAsia="zh-CN"/>
        </w:rPr>
        <w:t>2007</w:t>
      </w:r>
      <w:r>
        <w:rPr>
          <w:lang w:eastAsia="zh-CN"/>
        </w:rPr>
        <w:t>年为</w:t>
      </w:r>
      <w:r>
        <w:rPr>
          <w:lang w:eastAsia="zh-CN"/>
        </w:rPr>
        <w:t>600</w:t>
      </w:r>
      <w:r>
        <w:rPr>
          <w:lang w:eastAsia="zh-CN"/>
        </w:rPr>
        <w:t>万吨</w:t>
      </w:r>
      <w:r>
        <w:rPr>
          <w:lang w:eastAsia="zh-CN"/>
        </w:rPr>
        <w:t>CO2e</w:t>
      </w:r>
      <w:r>
        <w:rPr>
          <w:lang w:eastAsia="zh-CN"/>
        </w:rPr>
        <w:t>，且碳抵销的交易金额于</w:t>
      </w:r>
      <w:r>
        <w:rPr>
          <w:lang w:eastAsia="zh-CN"/>
        </w:rPr>
        <w:t>2021</w:t>
      </w:r>
      <w:r>
        <w:rPr>
          <w:lang w:eastAsia="zh-CN"/>
        </w:rPr>
        <w:t>年达到</w:t>
      </w:r>
      <w:r>
        <w:rPr>
          <w:lang w:eastAsia="zh-CN"/>
        </w:rPr>
        <w:t>20</w:t>
      </w:r>
      <w:r>
        <w:rPr>
          <w:lang w:eastAsia="zh-CN"/>
        </w:rPr>
        <w:t>亿美元。但是，碳抵销的平均价格及成交</w:t>
      </w:r>
      <w:r>
        <w:rPr>
          <w:lang w:eastAsia="zh-CN"/>
        </w:rPr>
        <w:lastRenderedPageBreak/>
        <w:t>量一直要比强制碳市场低得多，近年维持在每吨</w:t>
      </w:r>
      <w:r>
        <w:rPr>
          <w:lang w:eastAsia="zh-CN"/>
        </w:rPr>
        <w:t xml:space="preserve"> CO2e</w:t>
      </w:r>
      <w:r>
        <w:rPr>
          <w:lang w:eastAsia="zh-CN"/>
        </w:rPr>
        <w:t>约</w:t>
      </w:r>
      <w:r>
        <w:rPr>
          <w:lang w:eastAsia="zh-CN"/>
        </w:rPr>
        <w:t>3</w:t>
      </w:r>
      <w:r>
        <w:rPr>
          <w:lang w:eastAsia="zh-CN"/>
        </w:rPr>
        <w:t>美元，且成交量仅于</w:t>
      </w:r>
      <w:r>
        <w:rPr>
          <w:lang w:eastAsia="zh-CN"/>
        </w:rPr>
        <w:t>2019</w:t>
      </w:r>
      <w:r>
        <w:rPr>
          <w:lang w:eastAsia="zh-CN"/>
        </w:rPr>
        <w:t>年达致</w:t>
      </w:r>
      <w:r>
        <w:rPr>
          <w:lang w:eastAsia="zh-CN"/>
        </w:rPr>
        <w:t>104</w:t>
      </w:r>
      <w:r>
        <w:rPr>
          <w:lang w:eastAsia="zh-CN"/>
        </w:rPr>
        <w:t>吨</w:t>
      </w:r>
      <w:r>
        <w:rPr>
          <w:lang w:eastAsia="zh-CN"/>
        </w:rPr>
        <w:t>CO2e</w:t>
      </w:r>
      <w:r>
        <w:rPr>
          <w:lang w:eastAsia="zh-CN"/>
        </w:rPr>
        <w:t>。</w:t>
      </w:r>
    </w:p>
    <w:p w:rsidR="000A7B22" w:rsidRDefault="00F91F4B" w:rsidP="00F91F4B">
      <w:pPr>
        <w:pStyle w:val="BodyText"/>
        <w:rPr>
          <w:lang w:eastAsia="zh-CN"/>
        </w:rPr>
      </w:pPr>
      <w:r>
        <w:rPr>
          <w:lang w:eastAsia="zh-CN"/>
        </w:rPr>
        <w:t>香港交易所研究报告亦指出不同项目的价格大不相同</w:t>
      </w:r>
      <w:r>
        <w:rPr>
          <w:lang w:eastAsia="zh-CN"/>
        </w:rPr>
        <w:t>——</w:t>
      </w:r>
      <w:r>
        <w:rPr>
          <w:lang w:eastAsia="zh-CN"/>
        </w:rPr>
        <w:t>于</w:t>
      </w:r>
      <w:r>
        <w:rPr>
          <w:lang w:eastAsia="zh-CN"/>
        </w:rPr>
        <w:t>2021</w:t>
      </w:r>
      <w:r>
        <w:rPr>
          <w:lang w:eastAsia="zh-CN"/>
        </w:rPr>
        <w:t>年</w:t>
      </w:r>
      <w:r>
        <w:rPr>
          <w:lang w:eastAsia="zh-CN"/>
        </w:rPr>
        <w:t>8</w:t>
      </w:r>
      <w:r>
        <w:rPr>
          <w:lang w:eastAsia="zh-CN"/>
        </w:rPr>
        <w:t>月，造林</w:t>
      </w:r>
      <w:r>
        <w:rPr>
          <w:lang w:eastAsia="zh-CN"/>
        </w:rPr>
        <w:t>/</w:t>
      </w:r>
      <w:r>
        <w:rPr>
          <w:lang w:eastAsia="zh-CN"/>
        </w:rPr>
        <w:t xml:space="preserve">再造林碳抵销的平均价格为每吨CO2e </w:t>
      </w:r>
      <w:r>
        <w:rPr>
          <w:lang w:eastAsia="zh-CN"/>
        </w:rPr>
        <w:t>8.10</w:t>
      </w:r>
      <w:r>
        <w:rPr>
          <w:lang w:eastAsia="zh-CN"/>
        </w:rPr>
        <w:t>美元，而可再生能源碳抵销的平均价格则仍为每吨</w:t>
      </w:r>
      <w:r>
        <w:rPr>
          <w:lang w:eastAsia="zh-CN"/>
        </w:rPr>
        <w:t>CO2e 1</w:t>
      </w:r>
      <w:r>
        <w:rPr>
          <w:lang w:eastAsia="zh-CN"/>
        </w:rPr>
        <w:t>至</w:t>
      </w:r>
      <w:r>
        <w:rPr>
          <w:lang w:eastAsia="zh-CN"/>
        </w:rPr>
        <w:t>2</w:t>
      </w:r>
      <w:r>
        <w:rPr>
          <w:lang w:eastAsia="zh-CN"/>
        </w:rPr>
        <w:t>美元。香港交易所研究报告中将该项差异归因于不同类型的减碳项目而产生的碳抵销标准化的困难以及对这些项目有不同偏好的潜在买方。研究报告中亦指出，自愿碳市场中的大多碳抵销仍然在场外市场进行的交易。</w:t>
      </w:r>
    </w:p>
    <w:p w:rsidR="000A7B22" w:rsidRDefault="00F91F4B">
      <w:pPr>
        <w:pStyle w:val="BodyText"/>
        <w:rPr>
          <w:lang w:eastAsia="zh-CN"/>
        </w:rPr>
      </w:pPr>
      <w:r>
        <w:rPr>
          <w:lang w:eastAsia="zh-CN"/>
        </w:rPr>
        <w:t>全球碳市场</w:t>
      </w:r>
    </w:p>
    <w:p w:rsidR="000A7B22" w:rsidRDefault="00F91F4B">
      <w:pPr>
        <w:pStyle w:val="BodyText"/>
        <w:rPr>
          <w:lang w:eastAsia="zh-CN"/>
        </w:rPr>
      </w:pPr>
      <w:r>
        <w:rPr>
          <w:lang w:eastAsia="zh-CN"/>
        </w:rPr>
        <w:t>欧盟碳排放权交易体系</w:t>
      </w:r>
    </w:p>
    <w:p w:rsidR="000A7B22" w:rsidRDefault="00F91F4B">
      <w:pPr>
        <w:pStyle w:val="BodyText"/>
        <w:rPr>
          <w:lang w:eastAsia="zh-CN"/>
        </w:rPr>
      </w:pPr>
      <w:r>
        <w:rPr>
          <w:lang w:eastAsia="zh-CN"/>
        </w:rPr>
        <w:t>欧盟碳排放权交易体系（简称</w:t>
      </w:r>
      <w:r>
        <w:rPr>
          <w:b/>
          <w:lang w:eastAsia="zh-CN"/>
        </w:rPr>
        <w:t>ETS</w:t>
      </w:r>
      <w:r>
        <w:rPr>
          <w:lang w:eastAsia="zh-CN"/>
        </w:rPr>
        <w:t>）于</w:t>
      </w:r>
      <w:r>
        <w:rPr>
          <w:lang w:eastAsia="zh-CN"/>
        </w:rPr>
        <w:t>2005</w:t>
      </w:r>
      <w:r>
        <w:rPr>
          <w:lang w:eastAsia="zh-CN"/>
        </w:rPr>
        <w:t>年推出，是全球首个</w:t>
      </w:r>
      <w:r>
        <w:rPr>
          <w:lang w:eastAsia="zh-CN"/>
        </w:rPr>
        <w:t>ETS</w:t>
      </w:r>
      <w:r>
        <w:rPr>
          <w:lang w:eastAsia="zh-CN"/>
        </w:rPr>
        <w:t>，以「总量管制与交易」机制为基础。自</w:t>
      </w:r>
      <w:r>
        <w:rPr>
          <w:lang w:eastAsia="zh-CN"/>
        </w:rPr>
        <w:t>2005</w:t>
      </w:r>
      <w:r>
        <w:rPr>
          <w:lang w:eastAsia="zh-CN"/>
        </w:rPr>
        <w:t>年起，欧盟</w:t>
      </w:r>
      <w:r>
        <w:rPr>
          <w:lang w:eastAsia="zh-CN"/>
        </w:rPr>
        <w:t>ETS</w:t>
      </w:r>
      <w:r>
        <w:rPr>
          <w:lang w:eastAsia="zh-CN"/>
        </w:rPr>
        <w:t>已历经四个发展阶段。</w:t>
      </w:r>
    </w:p>
    <w:p w:rsidR="000A7B22" w:rsidRDefault="00F91F4B">
      <w:pPr>
        <w:pStyle w:val="BodyText"/>
        <w:rPr>
          <w:lang w:eastAsia="zh-CN"/>
        </w:rPr>
      </w:pPr>
      <w:r>
        <w:rPr>
          <w:lang w:eastAsia="zh-CN"/>
        </w:rPr>
        <w:t>于第一阶段，欧盟</w:t>
      </w:r>
      <w:r>
        <w:rPr>
          <w:lang w:eastAsia="zh-CN"/>
        </w:rPr>
        <w:t>ETS</w:t>
      </w:r>
      <w:r>
        <w:rPr>
          <w:lang w:eastAsia="zh-CN"/>
        </w:rPr>
        <w:t>覆盖发电厂及能源密集型行业的二氧化碳排放量，其欧盟碳排放配额（简称</w:t>
      </w:r>
      <w:r>
        <w:rPr>
          <w:b/>
          <w:lang w:eastAsia="zh-CN"/>
        </w:rPr>
        <w:t>EUAs</w:t>
      </w:r>
      <w:r>
        <w:rPr>
          <w:lang w:eastAsia="zh-CN"/>
        </w:rPr>
        <w:t>）都是免费分配的。国家分配规划（</w:t>
      </w:r>
      <w:r>
        <w:rPr>
          <w:lang w:eastAsia="zh-CN"/>
        </w:rPr>
        <w:t>National Allocation Plan</w:t>
      </w:r>
      <w:r>
        <w:rPr>
          <w:lang w:eastAsia="zh-CN"/>
        </w:rPr>
        <w:t>，简称</w:t>
      </w:r>
      <w:r>
        <w:rPr>
          <w:b/>
          <w:lang w:eastAsia="zh-CN"/>
        </w:rPr>
        <w:t>NAP</w:t>
      </w:r>
      <w:r>
        <w:rPr>
          <w:lang w:eastAsia="zh-CN"/>
        </w:rPr>
        <w:t>）被用于分配</w:t>
      </w:r>
      <w:r>
        <w:rPr>
          <w:lang w:eastAsia="zh-CN"/>
        </w:rPr>
        <w:t>EUA</w:t>
      </w:r>
      <w:r>
        <w:rPr>
          <w:lang w:eastAsia="zh-CN"/>
        </w:rPr>
        <w:t>并准许各成员国在考虑欧盟的分配标准和原则以及遵守向欧盟</w:t>
      </w:r>
      <w:r>
        <w:rPr>
          <w:lang w:eastAsia="zh-CN"/>
        </w:rPr>
        <w:t>ETS</w:t>
      </w:r>
      <w:r>
        <w:rPr>
          <w:lang w:eastAsia="zh-CN"/>
        </w:rPr>
        <w:t>管理委员会汇报的规定的前提下自行规划其将予签发的</w:t>
      </w:r>
      <w:r>
        <w:rPr>
          <w:lang w:eastAsia="zh-CN"/>
        </w:rPr>
        <w:t>EUA</w:t>
      </w:r>
      <w:r>
        <w:rPr>
          <w:lang w:eastAsia="zh-CN"/>
        </w:rPr>
        <w:t>总额。由于免费配额大量过剩，</w:t>
      </w:r>
      <w:r>
        <w:rPr>
          <w:lang w:eastAsia="zh-CN"/>
        </w:rPr>
        <w:t>EUA</w:t>
      </w:r>
      <w:r>
        <w:rPr>
          <w:lang w:eastAsia="zh-CN"/>
        </w:rPr>
        <w:t>价格下跌，并于</w:t>
      </w:r>
      <w:r>
        <w:rPr>
          <w:lang w:eastAsia="zh-CN"/>
        </w:rPr>
        <w:t>2007</w:t>
      </w:r>
      <w:r>
        <w:rPr>
          <w:lang w:eastAsia="zh-CN"/>
        </w:rPr>
        <w:t>年归零，而</w:t>
      </w:r>
      <w:r>
        <w:rPr>
          <w:lang w:eastAsia="zh-CN"/>
        </w:rPr>
        <w:t xml:space="preserve">EUA </w:t>
      </w:r>
      <w:r>
        <w:rPr>
          <w:lang w:eastAsia="zh-CN"/>
        </w:rPr>
        <w:t>的成交量由</w:t>
      </w:r>
      <w:r>
        <w:rPr>
          <w:lang w:eastAsia="zh-CN"/>
        </w:rPr>
        <w:t>2005</w:t>
      </w:r>
      <w:r>
        <w:rPr>
          <w:lang w:eastAsia="zh-CN"/>
        </w:rPr>
        <w:t>年的</w:t>
      </w:r>
      <w:r>
        <w:rPr>
          <w:lang w:eastAsia="zh-CN"/>
        </w:rPr>
        <w:t>3.21</w:t>
      </w:r>
      <w:r>
        <w:rPr>
          <w:lang w:eastAsia="zh-CN"/>
        </w:rPr>
        <w:t>亿个增至</w:t>
      </w:r>
      <w:r>
        <w:rPr>
          <w:lang w:eastAsia="zh-CN"/>
        </w:rPr>
        <w:t>2007</w:t>
      </w:r>
      <w:r>
        <w:rPr>
          <w:lang w:eastAsia="zh-CN"/>
        </w:rPr>
        <w:t>年的</w:t>
      </w:r>
      <w:r>
        <w:rPr>
          <w:lang w:eastAsia="zh-CN"/>
        </w:rPr>
        <w:t>21</w:t>
      </w:r>
      <w:r>
        <w:rPr>
          <w:lang w:eastAsia="zh-CN"/>
        </w:rPr>
        <w:t>亿个。欧盟</w:t>
      </w:r>
      <w:r>
        <w:rPr>
          <w:lang w:eastAsia="zh-CN"/>
        </w:rPr>
        <w:t>ETS</w:t>
      </w:r>
      <w:r>
        <w:rPr>
          <w:lang w:eastAsia="zh-CN"/>
        </w:rPr>
        <w:t>管理委员会（</w:t>
      </w:r>
      <w:r>
        <w:rPr>
          <w:lang w:eastAsia="zh-CN"/>
        </w:rPr>
        <w:t>EU ETS Management Committee</w:t>
      </w:r>
      <w:r>
        <w:rPr>
          <w:lang w:eastAsia="zh-CN"/>
        </w:rPr>
        <w:t>）当时并无有效的工具可制约各国对</w:t>
      </w:r>
      <w:r>
        <w:rPr>
          <w:lang w:eastAsia="zh-CN"/>
        </w:rPr>
        <w:t>EUA</w:t>
      </w:r>
      <w:r>
        <w:rPr>
          <w:lang w:eastAsia="zh-CN"/>
        </w:rPr>
        <w:t>供应的估计。</w:t>
      </w:r>
    </w:p>
    <w:p w:rsidR="000A7B22" w:rsidRDefault="00F91F4B">
      <w:pPr>
        <w:pStyle w:val="BodyText"/>
        <w:rPr>
          <w:lang w:eastAsia="zh-CN"/>
        </w:rPr>
      </w:pPr>
      <w:r>
        <w:rPr>
          <w:lang w:eastAsia="zh-CN"/>
        </w:rPr>
        <w:t>于第二阶段，欧盟</w:t>
      </w:r>
      <w:r>
        <w:rPr>
          <w:lang w:eastAsia="zh-CN"/>
        </w:rPr>
        <w:t>ETS</w:t>
      </w:r>
      <w:r>
        <w:rPr>
          <w:lang w:eastAsia="zh-CN"/>
        </w:rPr>
        <w:t>将对碳排放的限制范围扩大至其他行业，例如航空业，以及</w:t>
      </w:r>
      <w:r>
        <w:rPr>
          <w:lang w:eastAsia="zh-CN"/>
        </w:rPr>
        <w:t>CO2</w:t>
      </w:r>
      <w:r>
        <w:rPr>
          <w:lang w:eastAsia="zh-CN"/>
        </w:rPr>
        <w:t>以外的温室气体排放（例如二氧化硫、氟等）。尽管大多数</w:t>
      </w:r>
      <w:r>
        <w:rPr>
          <w:lang w:eastAsia="zh-CN"/>
        </w:rPr>
        <w:t>EUA</w:t>
      </w:r>
      <w:r>
        <w:rPr>
          <w:lang w:eastAsia="zh-CN"/>
        </w:rPr>
        <w:t>仍是免费分配，但</w:t>
      </w:r>
      <w:r>
        <w:rPr>
          <w:lang w:eastAsia="zh-CN"/>
        </w:rPr>
        <w:t>EUA</w:t>
      </w:r>
      <w:r>
        <w:rPr>
          <w:lang w:eastAsia="zh-CN"/>
        </w:rPr>
        <w:t>的供应被设定反映经济情况，以避免释出的</w:t>
      </w:r>
      <w:r>
        <w:rPr>
          <w:lang w:eastAsia="zh-CN"/>
        </w:rPr>
        <w:t>EUA</w:t>
      </w:r>
      <w:r>
        <w:rPr>
          <w:lang w:eastAsia="zh-CN"/>
        </w:rPr>
        <w:t>数量高于实际碳需求时，对价格造成下行压力。</w:t>
      </w:r>
      <w:r>
        <w:rPr>
          <w:lang w:eastAsia="zh-CN"/>
        </w:rPr>
        <w:t>EUA</w:t>
      </w:r>
      <w:r>
        <w:rPr>
          <w:lang w:eastAsia="zh-CN"/>
        </w:rPr>
        <w:t>价格经历了另一次下降（由</w:t>
      </w:r>
      <w:r>
        <w:rPr>
          <w:lang w:eastAsia="zh-CN"/>
        </w:rPr>
        <w:t>2008</w:t>
      </w:r>
      <w:r>
        <w:rPr>
          <w:lang w:eastAsia="zh-CN"/>
        </w:rPr>
        <w:t>年的每吨</w:t>
      </w:r>
      <w:r>
        <w:rPr>
          <w:lang w:eastAsia="zh-CN"/>
        </w:rPr>
        <w:t>CO2e 30</w:t>
      </w:r>
      <w:r>
        <w:rPr>
          <w:lang w:eastAsia="zh-CN"/>
        </w:rPr>
        <w:t>美元降至</w:t>
      </w:r>
      <w:r>
        <w:rPr>
          <w:lang w:eastAsia="zh-CN"/>
        </w:rPr>
        <w:t>2012</w:t>
      </w:r>
      <w:r>
        <w:rPr>
          <w:lang w:eastAsia="zh-CN"/>
        </w:rPr>
        <w:t>年</w:t>
      </w:r>
      <w:r>
        <w:rPr>
          <w:lang w:eastAsia="zh-CN"/>
        </w:rPr>
        <w:t>的</w:t>
      </w:r>
      <w:r>
        <w:rPr>
          <w:lang w:eastAsia="zh-CN"/>
        </w:rPr>
        <w:t>8</w:t>
      </w:r>
      <w:r>
        <w:rPr>
          <w:lang w:eastAsia="zh-CN"/>
        </w:rPr>
        <w:t>美元），香港交易所研究报告中援引了</w:t>
      </w:r>
      <w:r>
        <w:rPr>
          <w:lang w:eastAsia="zh-CN"/>
        </w:rPr>
        <w:t>2008</w:t>
      </w:r>
      <w:r>
        <w:rPr>
          <w:lang w:eastAsia="zh-CN"/>
        </w:rPr>
        <w:t>年全球金融危机后的经济活动疲弱作为一个原因。不过，</w:t>
      </w:r>
      <w:r>
        <w:rPr>
          <w:lang w:eastAsia="zh-CN"/>
        </w:rPr>
        <w:t>EUA</w:t>
      </w:r>
      <w:r>
        <w:rPr>
          <w:lang w:eastAsia="zh-CN"/>
        </w:rPr>
        <w:t>的成交量持续上涨，跃升至</w:t>
      </w:r>
      <w:r>
        <w:rPr>
          <w:lang w:eastAsia="zh-CN"/>
        </w:rPr>
        <w:t>2012</w:t>
      </w:r>
      <w:r>
        <w:rPr>
          <w:lang w:eastAsia="zh-CN"/>
        </w:rPr>
        <w:t>年的</w:t>
      </w:r>
      <w:r>
        <w:rPr>
          <w:lang w:eastAsia="zh-CN"/>
        </w:rPr>
        <w:t>79</w:t>
      </w:r>
      <w:r>
        <w:rPr>
          <w:lang w:eastAsia="zh-CN"/>
        </w:rPr>
        <w:t>亿个，是</w:t>
      </w:r>
      <w:r>
        <w:rPr>
          <w:lang w:eastAsia="zh-CN"/>
        </w:rPr>
        <w:t>2008</w:t>
      </w:r>
      <w:r>
        <w:rPr>
          <w:lang w:eastAsia="zh-CN"/>
        </w:rPr>
        <w:t>年的</w:t>
      </w:r>
      <w:r>
        <w:rPr>
          <w:lang w:eastAsia="zh-CN"/>
        </w:rPr>
        <w:t>31</w:t>
      </w:r>
      <w:r>
        <w:rPr>
          <w:lang w:eastAsia="zh-CN"/>
        </w:rPr>
        <w:t>亿个的</w:t>
      </w:r>
      <w:r>
        <w:rPr>
          <w:lang w:eastAsia="zh-CN"/>
        </w:rPr>
        <w:t>2</w:t>
      </w:r>
      <w:r>
        <w:rPr>
          <w:lang w:eastAsia="zh-CN"/>
        </w:rPr>
        <w:t>倍多。</w:t>
      </w:r>
    </w:p>
    <w:p w:rsidR="000A7B22" w:rsidRDefault="00F91F4B">
      <w:pPr>
        <w:pStyle w:val="BodyText"/>
        <w:rPr>
          <w:lang w:eastAsia="zh-CN"/>
        </w:rPr>
      </w:pPr>
      <w:r>
        <w:rPr>
          <w:lang w:eastAsia="zh-CN"/>
        </w:rPr>
        <w:t>于欧盟</w:t>
      </w:r>
      <w:r>
        <w:rPr>
          <w:lang w:eastAsia="zh-CN"/>
        </w:rPr>
        <w:t>ETS</w:t>
      </w:r>
      <w:r>
        <w:rPr>
          <w:lang w:eastAsia="zh-CN"/>
        </w:rPr>
        <w:t>的第三阶段，</w:t>
      </w:r>
      <w:r>
        <w:rPr>
          <w:lang w:eastAsia="zh-CN"/>
        </w:rPr>
        <w:t>NAP</w:t>
      </w:r>
      <w:r>
        <w:rPr>
          <w:lang w:eastAsia="zh-CN"/>
        </w:rPr>
        <w:t>制度由适用于整个欧盟的单一排放上限所取代，且拍卖成为既定分配</w:t>
      </w:r>
      <w:r>
        <w:rPr>
          <w:lang w:eastAsia="zh-CN"/>
        </w:rPr>
        <w:t>EUA</w:t>
      </w:r>
      <w:r>
        <w:rPr>
          <w:lang w:eastAsia="zh-CN"/>
        </w:rPr>
        <w:t>的方法。于是，在第三阶段期间，</w:t>
      </w:r>
      <w:r>
        <w:rPr>
          <w:lang w:eastAsia="zh-CN"/>
        </w:rPr>
        <w:t>57%</w:t>
      </w:r>
      <w:r>
        <w:rPr>
          <w:lang w:eastAsia="zh-CN"/>
        </w:rPr>
        <w:t>的</w:t>
      </w:r>
      <w:r>
        <w:rPr>
          <w:lang w:eastAsia="zh-CN"/>
        </w:rPr>
        <w:t>EUAs</w:t>
      </w:r>
      <w:r>
        <w:rPr>
          <w:lang w:eastAsia="zh-CN"/>
        </w:rPr>
        <w:t>被拍卖，剩余的则被免费分配。欧洲委员会设立的市场稳定储备机制（</w:t>
      </w:r>
      <w:r>
        <w:rPr>
          <w:lang w:eastAsia="zh-CN"/>
        </w:rPr>
        <w:t>Market Stability Reserve</w:t>
      </w:r>
      <w:r>
        <w:rPr>
          <w:lang w:eastAsia="zh-CN"/>
        </w:rPr>
        <w:t>，简称</w:t>
      </w:r>
      <w:r>
        <w:rPr>
          <w:b/>
          <w:lang w:eastAsia="zh-CN"/>
        </w:rPr>
        <w:t>MSR</w:t>
      </w:r>
      <w:r>
        <w:rPr>
          <w:lang w:eastAsia="zh-CN"/>
        </w:rPr>
        <w:t>）亦于第三阶段予以实施，以解决</w:t>
      </w:r>
      <w:r>
        <w:rPr>
          <w:lang w:eastAsia="zh-CN"/>
        </w:rPr>
        <w:t>EUA</w:t>
      </w:r>
      <w:r>
        <w:rPr>
          <w:lang w:eastAsia="zh-CN"/>
        </w:rPr>
        <w:t>供求失衡的问题。欧盟</w:t>
      </w:r>
      <w:r>
        <w:rPr>
          <w:lang w:eastAsia="zh-CN"/>
        </w:rPr>
        <w:t>ETS</w:t>
      </w:r>
      <w:r>
        <w:rPr>
          <w:lang w:eastAsia="zh-CN"/>
        </w:rPr>
        <w:t>下固</w:t>
      </w:r>
      <w:r>
        <w:rPr>
          <w:lang w:eastAsia="zh-CN"/>
        </w:rPr>
        <w:t>定装置的</w:t>
      </w:r>
      <w:r>
        <w:rPr>
          <w:lang w:eastAsia="zh-CN"/>
        </w:rPr>
        <w:t>EUA</w:t>
      </w:r>
      <w:r>
        <w:rPr>
          <w:lang w:eastAsia="zh-CN"/>
        </w:rPr>
        <w:t>上限设为</w:t>
      </w:r>
      <w:r>
        <w:rPr>
          <w:lang w:eastAsia="zh-CN"/>
        </w:rPr>
        <w:t>2013</w:t>
      </w:r>
      <w:r>
        <w:rPr>
          <w:lang w:eastAsia="zh-CN"/>
        </w:rPr>
        <w:t>年可排放的水平，并设定从</w:t>
      </w:r>
      <w:r>
        <w:rPr>
          <w:lang w:eastAsia="zh-CN"/>
        </w:rPr>
        <w:t>2008</w:t>
      </w:r>
      <w:r>
        <w:rPr>
          <w:lang w:eastAsia="zh-CN"/>
        </w:rPr>
        <w:t>年至</w:t>
      </w:r>
      <w:r>
        <w:rPr>
          <w:lang w:eastAsia="zh-CN"/>
        </w:rPr>
        <w:t>2012</w:t>
      </w:r>
      <w:r>
        <w:rPr>
          <w:lang w:eastAsia="zh-CN"/>
        </w:rPr>
        <w:t>年的基准排放量按</w:t>
      </w:r>
      <w:r>
        <w:rPr>
          <w:lang w:eastAsia="zh-CN"/>
        </w:rPr>
        <w:t xml:space="preserve"> 1.74%</w:t>
      </w:r>
      <w:r>
        <w:rPr>
          <w:lang w:eastAsia="zh-CN"/>
        </w:rPr>
        <w:t>的线性减排因子（</w:t>
      </w:r>
      <w:r>
        <w:rPr>
          <w:lang w:eastAsia="zh-CN"/>
        </w:rPr>
        <w:t>linear reduction factor</w:t>
      </w:r>
      <w:r>
        <w:rPr>
          <w:lang w:eastAsia="zh-CN"/>
        </w:rPr>
        <w:t>，简称</w:t>
      </w:r>
      <w:r>
        <w:rPr>
          <w:b/>
          <w:lang w:eastAsia="zh-CN"/>
        </w:rPr>
        <w:t>LRF</w:t>
      </w:r>
      <w:r>
        <w:rPr>
          <w:lang w:eastAsia="zh-CN"/>
        </w:rPr>
        <w:t>）每年递减的目标。</w:t>
      </w:r>
      <w:r>
        <w:rPr>
          <w:lang w:eastAsia="zh-CN"/>
        </w:rPr>
        <w:t>2020</w:t>
      </w:r>
      <w:r>
        <w:rPr>
          <w:lang w:eastAsia="zh-CN"/>
        </w:rPr>
        <w:t>年</w:t>
      </w:r>
      <w:r>
        <w:rPr>
          <w:lang w:eastAsia="zh-CN"/>
        </w:rPr>
        <w:t>EUA</w:t>
      </w:r>
      <w:r>
        <w:rPr>
          <w:lang w:eastAsia="zh-CN"/>
        </w:rPr>
        <w:t>的价格成功地达致每吨</w:t>
      </w:r>
      <w:r>
        <w:rPr>
          <w:lang w:eastAsia="zh-CN"/>
        </w:rPr>
        <w:t>CO2e</w:t>
      </w:r>
      <w:r>
        <w:rPr>
          <w:lang w:eastAsia="zh-CN"/>
        </w:rPr>
        <w:t>约</w:t>
      </w:r>
      <w:r>
        <w:rPr>
          <w:lang w:eastAsia="zh-CN"/>
        </w:rPr>
        <w:t>30.1</w:t>
      </w:r>
      <w:r>
        <w:rPr>
          <w:lang w:eastAsia="zh-CN"/>
        </w:rPr>
        <w:t>美元。</w:t>
      </w:r>
    </w:p>
    <w:p w:rsidR="000A7B22" w:rsidRDefault="00F91F4B">
      <w:pPr>
        <w:pStyle w:val="BodyText"/>
        <w:rPr>
          <w:lang w:eastAsia="zh-CN"/>
        </w:rPr>
      </w:pPr>
      <w:r>
        <w:rPr>
          <w:lang w:eastAsia="zh-CN"/>
        </w:rPr>
        <w:t>到现时的第四阶段，拍卖及免费分配的</w:t>
      </w:r>
      <w:r>
        <w:rPr>
          <w:lang w:eastAsia="zh-CN"/>
        </w:rPr>
        <w:t>EUAs</w:t>
      </w:r>
      <w:r>
        <w:rPr>
          <w:lang w:eastAsia="zh-CN"/>
        </w:rPr>
        <w:t>比例与第三阶段保持一致，而且</w:t>
      </w:r>
      <w:r>
        <w:rPr>
          <w:lang w:eastAsia="zh-CN"/>
        </w:rPr>
        <w:t>MSA</w:t>
      </w:r>
      <w:r>
        <w:rPr>
          <w:lang w:eastAsia="zh-CN"/>
        </w:rPr>
        <w:t>仍然有效。但是，就于</w:t>
      </w:r>
      <w:r>
        <w:rPr>
          <w:lang w:eastAsia="zh-CN"/>
        </w:rPr>
        <w:t>2026</w:t>
      </w:r>
      <w:r>
        <w:rPr>
          <w:lang w:eastAsia="zh-CN"/>
        </w:rPr>
        <w:t>年后步减少碳泄漏风险较低的行业所获的免费配额（最高的</w:t>
      </w:r>
      <w:r>
        <w:rPr>
          <w:lang w:eastAsia="zh-CN"/>
        </w:rPr>
        <w:t>30%</w:t>
      </w:r>
      <w:r>
        <w:rPr>
          <w:lang w:eastAsia="zh-CN"/>
        </w:rPr>
        <w:t>减至</w:t>
      </w:r>
      <w:r>
        <w:rPr>
          <w:lang w:eastAsia="zh-CN"/>
        </w:rPr>
        <w:t>2030</w:t>
      </w:r>
      <w:r>
        <w:rPr>
          <w:lang w:eastAsia="zh-CN"/>
        </w:rPr>
        <w:t>全面取消）设定了更为进取的目标，即一次性减少</w:t>
      </w:r>
      <w:r>
        <w:rPr>
          <w:lang w:eastAsia="zh-CN"/>
        </w:rPr>
        <w:t>1.17</w:t>
      </w:r>
      <w:r>
        <w:rPr>
          <w:lang w:eastAsia="zh-CN"/>
        </w:rPr>
        <w:t>亿个配额，并调高</w:t>
      </w:r>
      <w:r>
        <w:rPr>
          <w:lang w:eastAsia="zh-CN"/>
        </w:rPr>
        <w:t>2021</w:t>
      </w:r>
      <w:r>
        <w:rPr>
          <w:lang w:eastAsia="zh-CN"/>
        </w:rPr>
        <w:t>年至</w:t>
      </w:r>
      <w:r>
        <w:rPr>
          <w:lang w:eastAsia="zh-CN"/>
        </w:rPr>
        <w:t>2</w:t>
      </w:r>
      <w:r>
        <w:rPr>
          <w:lang w:eastAsia="zh-CN"/>
        </w:rPr>
        <w:t>030</w:t>
      </w:r>
      <w:r>
        <w:rPr>
          <w:lang w:eastAsia="zh-CN"/>
        </w:rPr>
        <w:t>年的</w:t>
      </w:r>
      <w:r>
        <w:rPr>
          <w:lang w:eastAsia="zh-CN"/>
        </w:rPr>
        <w:t>LRF</w:t>
      </w:r>
      <w:r>
        <w:rPr>
          <w:lang w:eastAsia="zh-CN"/>
        </w:rPr>
        <w:t>至每年减少</w:t>
      </w:r>
      <w:r>
        <w:rPr>
          <w:lang w:eastAsia="zh-CN"/>
        </w:rPr>
        <w:t>4.2%</w:t>
      </w:r>
      <w:r>
        <w:rPr>
          <w:lang w:eastAsia="zh-CN"/>
        </w:rPr>
        <w:t>，以及</w:t>
      </w:r>
      <w:r>
        <w:rPr>
          <w:lang w:eastAsia="zh-CN"/>
        </w:rPr>
        <w:t>2021</w:t>
      </w:r>
      <w:r>
        <w:rPr>
          <w:lang w:eastAsia="zh-CN"/>
        </w:rPr>
        <w:t>年已设定的有关固定装置的「更为进取」的上限（</w:t>
      </w:r>
      <w:r>
        <w:rPr>
          <w:lang w:eastAsia="zh-CN"/>
        </w:rPr>
        <w:t>LRF</w:t>
      </w:r>
      <w:r>
        <w:rPr>
          <w:lang w:eastAsia="zh-CN"/>
        </w:rPr>
        <w:t>为每年</w:t>
      </w:r>
      <w:r>
        <w:rPr>
          <w:lang w:eastAsia="zh-CN"/>
        </w:rPr>
        <w:t>2.2%</w:t>
      </w:r>
      <w:r>
        <w:rPr>
          <w:lang w:eastAsia="zh-CN"/>
        </w:rPr>
        <w:t>）。</w:t>
      </w:r>
    </w:p>
    <w:p w:rsidR="000A7B22" w:rsidRDefault="00F91F4B">
      <w:pPr>
        <w:pStyle w:val="BodyText"/>
        <w:rPr>
          <w:lang w:eastAsia="zh-CN"/>
        </w:rPr>
      </w:pPr>
      <w:r>
        <w:rPr>
          <w:lang w:eastAsia="zh-CN"/>
        </w:rPr>
        <w:t>就欧盟</w:t>
      </w:r>
      <w:r>
        <w:rPr>
          <w:lang w:eastAsia="zh-CN"/>
        </w:rPr>
        <w:t>ETS</w:t>
      </w:r>
      <w:r>
        <w:rPr>
          <w:lang w:eastAsia="zh-CN"/>
        </w:rPr>
        <w:t>下能够提供的产品而言，自</w:t>
      </w:r>
      <w:r>
        <w:rPr>
          <w:lang w:eastAsia="zh-CN"/>
        </w:rPr>
        <w:t>2005</w:t>
      </w:r>
      <w:r>
        <w:rPr>
          <w:lang w:eastAsia="zh-CN"/>
        </w:rPr>
        <w:t>年起</w:t>
      </w:r>
      <w:r>
        <w:rPr>
          <w:lang w:eastAsia="zh-CN"/>
        </w:rPr>
        <w:t>EUA</w:t>
      </w:r>
      <w:r>
        <w:rPr>
          <w:lang w:eastAsia="zh-CN"/>
        </w:rPr>
        <w:t>现货交易及碳期货交易成为可能。</w:t>
      </w:r>
      <w:r>
        <w:rPr>
          <w:lang w:eastAsia="zh-CN"/>
        </w:rPr>
        <w:t>EUA</w:t>
      </w:r>
      <w:r>
        <w:rPr>
          <w:lang w:eastAsia="zh-CN"/>
        </w:rPr>
        <w:t>期货（包括现货合约）现时可于欧洲的欧洲能源交易所</w:t>
      </w:r>
      <w:r>
        <w:rPr>
          <w:lang w:eastAsia="zh-CN"/>
        </w:rPr>
        <w:t xml:space="preserve"> </w:t>
      </w:r>
      <w:r>
        <w:rPr>
          <w:lang w:eastAsia="zh-CN"/>
        </w:rPr>
        <w:t>（</w:t>
      </w:r>
      <w:r>
        <w:rPr>
          <w:lang w:eastAsia="zh-CN"/>
        </w:rPr>
        <w:t>European Energy Exchange</w:t>
      </w:r>
      <w:r>
        <w:rPr>
          <w:lang w:eastAsia="zh-CN"/>
        </w:rPr>
        <w:t>，简称</w:t>
      </w:r>
      <w:r>
        <w:rPr>
          <w:b/>
          <w:lang w:eastAsia="zh-CN"/>
        </w:rPr>
        <w:t>EEX</w:t>
      </w:r>
      <w:r>
        <w:rPr>
          <w:lang w:eastAsia="zh-CN"/>
        </w:rPr>
        <w:t>）与洲际交易所集团</w:t>
      </w:r>
      <w:r>
        <w:rPr>
          <w:lang w:eastAsia="zh-CN"/>
        </w:rPr>
        <w:t xml:space="preserve"> </w:t>
      </w:r>
      <w:r>
        <w:rPr>
          <w:lang w:eastAsia="zh-CN"/>
        </w:rPr>
        <w:t>（</w:t>
      </w:r>
      <w:r>
        <w:rPr>
          <w:lang w:eastAsia="zh-CN"/>
        </w:rPr>
        <w:t>Intercontinental Exchange</w:t>
      </w:r>
      <w:r>
        <w:rPr>
          <w:lang w:eastAsia="zh-CN"/>
        </w:rPr>
        <w:t>，简称</w:t>
      </w:r>
      <w:r>
        <w:rPr>
          <w:b/>
          <w:lang w:eastAsia="zh-CN"/>
        </w:rPr>
        <w:t>ICE</w:t>
      </w:r>
      <w:r>
        <w:rPr>
          <w:lang w:eastAsia="zh-CN"/>
        </w:rPr>
        <w:t>），以及</w:t>
      </w:r>
      <w:r>
        <w:rPr>
          <w:lang w:eastAsia="zh-CN"/>
        </w:rPr>
        <w:t xml:space="preserve">NASDAQ Commodities </w:t>
      </w:r>
      <w:r>
        <w:rPr>
          <w:lang w:eastAsia="zh-CN"/>
        </w:rPr>
        <w:t>与芝加哥商品交易所（</w:t>
      </w:r>
      <w:r>
        <w:rPr>
          <w:lang w:eastAsia="zh-CN"/>
        </w:rPr>
        <w:t>Chicago Mercantile Ex</w:t>
      </w:r>
      <w:r>
        <w:rPr>
          <w:lang w:eastAsia="zh-CN"/>
        </w:rPr>
        <w:t>change</w:t>
      </w:r>
      <w:r>
        <w:rPr>
          <w:lang w:eastAsia="zh-CN"/>
        </w:rPr>
        <w:t>，简称</w:t>
      </w:r>
      <w:r>
        <w:rPr>
          <w:b/>
          <w:lang w:eastAsia="zh-CN"/>
        </w:rPr>
        <w:t>CME</w:t>
      </w:r>
      <w:r>
        <w:rPr>
          <w:lang w:eastAsia="zh-CN"/>
        </w:rPr>
        <w:t>）买卖。</w:t>
      </w:r>
      <w:r>
        <w:rPr>
          <w:lang w:eastAsia="zh-CN"/>
        </w:rPr>
        <w:t>2021</w:t>
      </w:r>
      <w:r>
        <w:rPr>
          <w:lang w:eastAsia="zh-CN"/>
        </w:rPr>
        <w:t>年，欧洲</w:t>
      </w:r>
      <w:r>
        <w:rPr>
          <w:lang w:eastAsia="zh-CN"/>
        </w:rPr>
        <w:t>ICE</w:t>
      </w:r>
      <w:r>
        <w:rPr>
          <w:lang w:eastAsia="zh-CN"/>
        </w:rPr>
        <w:t>买卖的</w:t>
      </w:r>
      <w:r>
        <w:rPr>
          <w:lang w:eastAsia="zh-CN"/>
        </w:rPr>
        <w:t>EUA</w:t>
      </w:r>
      <w:r>
        <w:rPr>
          <w:lang w:eastAsia="zh-CN"/>
        </w:rPr>
        <w:t>期货合约超过</w:t>
      </w:r>
      <w:r>
        <w:rPr>
          <w:lang w:eastAsia="zh-CN"/>
        </w:rPr>
        <w:t>1000</w:t>
      </w:r>
      <w:r>
        <w:rPr>
          <w:lang w:eastAsia="zh-CN"/>
        </w:rPr>
        <w:t>万份，</w:t>
      </w:r>
      <w:r>
        <w:rPr>
          <w:lang w:eastAsia="zh-CN"/>
        </w:rPr>
        <w:t>EEX</w:t>
      </w:r>
      <w:r>
        <w:rPr>
          <w:lang w:eastAsia="zh-CN"/>
        </w:rPr>
        <w:t>买卖的期货合约超过</w:t>
      </w:r>
      <w:r>
        <w:rPr>
          <w:lang w:eastAsia="zh-CN"/>
        </w:rPr>
        <w:t>60</w:t>
      </w:r>
      <w:r>
        <w:rPr>
          <w:lang w:eastAsia="zh-CN"/>
        </w:rPr>
        <w:t>万份，而</w:t>
      </w:r>
      <w:r>
        <w:rPr>
          <w:lang w:eastAsia="zh-CN"/>
        </w:rPr>
        <w:t>Nasdaq Commodities</w:t>
      </w:r>
      <w:r>
        <w:rPr>
          <w:lang w:eastAsia="zh-CN"/>
        </w:rPr>
        <w:t>买卖的期货合约有</w:t>
      </w:r>
      <w:r>
        <w:rPr>
          <w:lang w:eastAsia="zh-CN"/>
        </w:rPr>
        <w:t>830</w:t>
      </w:r>
      <w:r>
        <w:rPr>
          <w:lang w:eastAsia="zh-CN"/>
        </w:rPr>
        <w:t>份。</w:t>
      </w:r>
    </w:p>
    <w:p w:rsidR="000A7B22" w:rsidRDefault="00F91F4B">
      <w:pPr>
        <w:pStyle w:val="BodyText"/>
        <w:rPr>
          <w:lang w:eastAsia="zh-CN"/>
        </w:rPr>
      </w:pPr>
      <w:r>
        <w:rPr>
          <w:lang w:eastAsia="zh-CN"/>
        </w:rPr>
        <w:lastRenderedPageBreak/>
        <w:t>美国碳市场</w:t>
      </w:r>
    </w:p>
    <w:p w:rsidR="000A7B22" w:rsidRDefault="00F91F4B">
      <w:pPr>
        <w:pStyle w:val="BodyText"/>
        <w:rPr>
          <w:lang w:eastAsia="zh-CN"/>
        </w:rPr>
      </w:pPr>
      <w:r>
        <w:rPr>
          <w:lang w:eastAsia="zh-CN"/>
        </w:rPr>
        <w:t>美国目前并无全国性的</w:t>
      </w:r>
      <w:r>
        <w:rPr>
          <w:lang w:eastAsia="zh-CN"/>
        </w:rPr>
        <w:t>ETS</w:t>
      </w:r>
      <w:r>
        <w:rPr>
          <w:lang w:eastAsia="zh-CN"/>
        </w:rPr>
        <w:t>。不过却存在若干个主要地区碳交易市场：</w:t>
      </w:r>
    </w:p>
    <w:p w:rsidR="000A7B22" w:rsidRDefault="00F91F4B">
      <w:pPr>
        <w:pStyle w:val="Compact"/>
        <w:numPr>
          <w:ilvl w:val="0"/>
          <w:numId w:val="3"/>
        </w:numPr>
        <w:rPr>
          <w:lang w:eastAsia="zh-CN"/>
        </w:rPr>
      </w:pPr>
      <w:r>
        <w:t>地区温室气体计划（</w:t>
      </w:r>
      <w:r>
        <w:t>Regional Greenhouse Gas Initiative</w:t>
      </w:r>
      <w:r>
        <w:t>，简称</w:t>
      </w:r>
      <w:r>
        <w:rPr>
          <w:b/>
        </w:rPr>
        <w:t>RGGI</w:t>
      </w:r>
      <w:r>
        <w:t>）</w:t>
      </w:r>
      <w:r>
        <w:t xml:space="preserve">– </w:t>
      </w:r>
      <w:r>
        <w:t>属基于</w:t>
      </w:r>
      <w:r>
        <w:t>2009</w:t>
      </w:r>
      <w:r>
        <w:t>年设立的拍卖机制的一个强制碳交易市场，且在香港交易所研究报告发出之时覆盖了</w:t>
      </w:r>
      <w:r>
        <w:t>11</w:t>
      </w:r>
      <w:r>
        <w:t>个参与州的</w:t>
      </w:r>
      <w:r>
        <w:t>225</w:t>
      </w:r>
      <w:r>
        <w:t>个发电站。</w:t>
      </w:r>
      <w:r>
        <w:t>RGGI</w:t>
      </w:r>
      <w:r>
        <w:t>从开始实施</w:t>
      </w:r>
      <w:r>
        <w:t>至</w:t>
      </w:r>
      <w:r>
        <w:t>2021</w:t>
      </w:r>
      <w:r>
        <w:t>年</w:t>
      </w:r>
      <w:r>
        <w:t>9</w:t>
      </w:r>
      <w:r>
        <w:t>月，其覆盖地区的排放量已减少</w:t>
      </w:r>
      <w:r>
        <w:t>50%</w:t>
      </w:r>
      <w:r>
        <w:t>，并集得</w:t>
      </w:r>
      <w:r>
        <w:t>40</w:t>
      </w:r>
      <w:r>
        <w:t>亿美元投资当地小区。</w:t>
      </w:r>
      <w:r>
        <w:rPr>
          <w:lang w:eastAsia="zh-CN"/>
        </w:rPr>
        <w:t>2020</w:t>
      </w:r>
      <w:r>
        <w:rPr>
          <w:lang w:eastAsia="zh-CN"/>
        </w:rPr>
        <w:t>年，</w:t>
      </w:r>
      <w:r>
        <w:rPr>
          <w:lang w:eastAsia="zh-CN"/>
        </w:rPr>
        <w:t>RGGI</w:t>
      </w:r>
      <w:r>
        <w:rPr>
          <w:lang w:eastAsia="zh-CN"/>
        </w:rPr>
        <w:t>的碳成交量与成交金额分别达到</w:t>
      </w:r>
      <w:r>
        <w:rPr>
          <w:lang w:eastAsia="zh-CN"/>
        </w:rPr>
        <w:t>2.70</w:t>
      </w:r>
      <w:r>
        <w:rPr>
          <w:lang w:eastAsia="zh-CN"/>
        </w:rPr>
        <w:t>亿吨</w:t>
      </w:r>
      <w:r>
        <w:rPr>
          <w:lang w:eastAsia="zh-CN"/>
        </w:rPr>
        <w:t>CO2e</w:t>
      </w:r>
      <w:r>
        <w:rPr>
          <w:lang w:eastAsia="zh-CN"/>
        </w:rPr>
        <w:t>与</w:t>
      </w:r>
      <w:r>
        <w:rPr>
          <w:lang w:eastAsia="zh-CN"/>
        </w:rPr>
        <w:t>16.95</w:t>
      </w:r>
      <w:r>
        <w:rPr>
          <w:lang w:eastAsia="zh-CN"/>
        </w:rPr>
        <w:t>亿欧元；</w:t>
      </w:r>
    </w:p>
    <w:p w:rsidR="000A7B22" w:rsidRDefault="00F91F4B">
      <w:pPr>
        <w:pStyle w:val="Compact"/>
        <w:numPr>
          <w:ilvl w:val="0"/>
          <w:numId w:val="3"/>
        </w:numPr>
      </w:pPr>
      <w:r>
        <w:t>西部气候行动（</w:t>
      </w:r>
      <w:r>
        <w:t>Western Climate Initiative</w:t>
      </w:r>
      <w:r>
        <w:t>，简称</w:t>
      </w:r>
      <w:r>
        <w:rPr>
          <w:b/>
        </w:rPr>
        <w:t>WCI</w:t>
      </w:r>
      <w:r>
        <w:t>）</w:t>
      </w:r>
      <w:r>
        <w:t xml:space="preserve">– </w:t>
      </w:r>
      <w:r>
        <w:t>于</w:t>
      </w:r>
      <w:r>
        <w:t>2007</w:t>
      </w:r>
      <w:r>
        <w:t>年推出，是首个跨境排放权交易市场。其由七个美国州份及与四个加拿大省份组成，且根据其最初的设计，覆盖上述州份与省份的总碳排放量的</w:t>
      </w:r>
      <w:r>
        <w:t xml:space="preserve">90% </w:t>
      </w:r>
      <w:r>
        <w:t>。</w:t>
      </w:r>
      <w:r>
        <w:t xml:space="preserve">2020 </w:t>
      </w:r>
      <w:r>
        <w:t>年，于</w:t>
      </w:r>
      <w:r>
        <w:t>WCI</w:t>
      </w:r>
      <w:r>
        <w:t>的成交量与成交金额分别达</w:t>
      </w:r>
      <w:r>
        <w:t>17.39</w:t>
      </w:r>
      <w:r>
        <w:t>亿吨</w:t>
      </w:r>
      <w:r>
        <w:t>CO2e</w:t>
      </w:r>
      <w:r>
        <w:t>与</w:t>
      </w:r>
      <w:r>
        <w:t>243</w:t>
      </w:r>
      <w:r>
        <w:t>亿欧元；及</w:t>
      </w:r>
    </w:p>
    <w:p w:rsidR="000A7B22" w:rsidRDefault="00F91F4B">
      <w:pPr>
        <w:pStyle w:val="Compact"/>
        <w:numPr>
          <w:ilvl w:val="0"/>
          <w:numId w:val="3"/>
        </w:numPr>
      </w:pPr>
      <w:r>
        <w:t>加州的总量管制与交易制度</w:t>
      </w:r>
      <w:r>
        <w:t>（</w:t>
      </w:r>
      <w:r>
        <w:t>California’s Cap-and-Trade Program</w:t>
      </w:r>
      <w:r>
        <w:t>，简称</w:t>
      </w:r>
      <w:r>
        <w:rPr>
          <w:b/>
        </w:rPr>
        <w:t>CCTP</w:t>
      </w:r>
      <w:r>
        <w:t>）</w:t>
      </w:r>
      <w:r>
        <w:t xml:space="preserve">– </w:t>
      </w:r>
      <w:r>
        <w:t>通过</w:t>
      </w:r>
      <w:r>
        <w:t xml:space="preserve"> WCI </w:t>
      </w:r>
      <w:r>
        <w:t>与加拿大魁北克省的总量管制与交易体系链接。</w:t>
      </w:r>
      <w:r>
        <w:t>CCTP</w:t>
      </w:r>
      <w:r>
        <w:t>设定了于</w:t>
      </w:r>
      <w:r>
        <w:t>2020</w:t>
      </w:r>
      <w:r>
        <w:t>年或之前将温室气体总排放减至</w:t>
      </w:r>
      <w:r>
        <w:t>1990</w:t>
      </w:r>
      <w:r>
        <w:t>年水平的目标，并已建议将</w:t>
      </w:r>
      <w:r>
        <w:t>2021</w:t>
      </w:r>
      <w:r>
        <w:t>年至</w:t>
      </w:r>
      <w:r>
        <w:t>2030</w:t>
      </w:r>
      <w:r>
        <w:t>年每年的减排幅度设为约</w:t>
      </w:r>
      <w:r>
        <w:t>4%</w:t>
      </w:r>
      <w:r>
        <w:t>。</w:t>
      </w:r>
    </w:p>
    <w:p w:rsidR="000A7B22" w:rsidRDefault="00F91F4B">
      <w:pPr>
        <w:pStyle w:val="FirstParagraph"/>
        <w:rPr>
          <w:lang w:eastAsia="zh-CN"/>
        </w:rPr>
      </w:pPr>
      <w:r>
        <w:rPr>
          <w:b/>
          <w:lang w:eastAsia="zh-CN"/>
        </w:rPr>
        <w:t>美国的碳衍生产品交易</w:t>
      </w:r>
    </w:p>
    <w:p w:rsidR="000A7B22" w:rsidRDefault="00F91F4B">
      <w:pPr>
        <w:pStyle w:val="BodyText"/>
        <w:rPr>
          <w:lang w:eastAsia="zh-CN"/>
        </w:rPr>
      </w:pPr>
      <w:r>
        <w:rPr>
          <w:lang w:eastAsia="zh-CN"/>
        </w:rPr>
        <w:t>美国的交易所就温室气体排放配额与抵销额提供标准化期货及期权合约。这些期货及期权的成交量于</w:t>
      </w:r>
      <w:r>
        <w:rPr>
          <w:lang w:eastAsia="zh-CN"/>
        </w:rPr>
        <w:t>2021</w:t>
      </w:r>
      <w:r>
        <w:rPr>
          <w:lang w:eastAsia="zh-CN"/>
        </w:rPr>
        <w:t>年第二季度合共达</w:t>
      </w:r>
      <w:r>
        <w:rPr>
          <w:lang w:eastAsia="zh-CN"/>
        </w:rPr>
        <w:t>641,100</w:t>
      </w:r>
      <w:r>
        <w:rPr>
          <w:lang w:eastAsia="zh-CN"/>
        </w:rPr>
        <w:t>手。</w:t>
      </w:r>
    </w:p>
    <w:p w:rsidR="000A7B22" w:rsidRDefault="00F91F4B">
      <w:pPr>
        <w:pStyle w:val="BodyText"/>
        <w:rPr>
          <w:lang w:eastAsia="zh-CN"/>
        </w:rPr>
      </w:pPr>
      <w:r>
        <w:rPr>
          <w:lang w:eastAsia="zh-CN"/>
        </w:rPr>
        <w:t>于</w:t>
      </w:r>
      <w:r>
        <w:rPr>
          <w:lang w:eastAsia="zh-CN"/>
        </w:rPr>
        <w:t>2003</w:t>
      </w:r>
      <w:r>
        <w:rPr>
          <w:lang w:eastAsia="zh-CN"/>
        </w:rPr>
        <w:t>年推出的</w:t>
      </w:r>
      <w:r>
        <w:rPr>
          <w:lang w:eastAsia="zh-CN"/>
        </w:rPr>
        <w:t>CCX</w:t>
      </w:r>
      <w:r>
        <w:rPr>
          <w:lang w:eastAsia="zh-CN"/>
        </w:rPr>
        <w:t>，是一个有合约约束力并以规则为基础的温室气体排放配额交</w:t>
      </w:r>
      <w:r>
        <w:rPr>
          <w:lang w:eastAsia="zh-CN"/>
        </w:rPr>
        <w:t>易系统。于</w:t>
      </w:r>
      <w:r>
        <w:rPr>
          <w:lang w:eastAsia="zh-CN"/>
        </w:rPr>
        <w:t>CCX</w:t>
      </w:r>
      <w:r>
        <w:rPr>
          <w:lang w:eastAsia="zh-CN"/>
        </w:rPr>
        <w:t>买卖的主要产品为碳金融工具（</w:t>
      </w:r>
      <w:r>
        <w:rPr>
          <w:lang w:eastAsia="zh-CN"/>
        </w:rPr>
        <w:t>Carbon Financial Instrument</w:t>
      </w:r>
      <w:r>
        <w:rPr>
          <w:lang w:eastAsia="zh-CN"/>
        </w:rPr>
        <w:t>，简称</w:t>
      </w:r>
      <w:r>
        <w:rPr>
          <w:b/>
          <w:lang w:eastAsia="zh-CN"/>
        </w:rPr>
        <w:t>CFI</w:t>
      </w:r>
      <w:r>
        <w:rPr>
          <w:lang w:eastAsia="zh-CN"/>
        </w:rPr>
        <w:t>）合约。</w:t>
      </w:r>
      <w:r>
        <w:rPr>
          <w:lang w:eastAsia="zh-CN"/>
        </w:rPr>
        <w:t>CFI</w:t>
      </w:r>
      <w:r>
        <w:rPr>
          <w:lang w:eastAsia="zh-CN"/>
        </w:rPr>
        <w:t>以现货合约的形式推出，每张合约代表</w:t>
      </w:r>
      <w:r>
        <w:rPr>
          <w:lang w:eastAsia="zh-CN"/>
        </w:rPr>
        <w:t>100</w:t>
      </w:r>
      <w:r>
        <w:rPr>
          <w:lang w:eastAsia="zh-CN"/>
        </w:rPr>
        <w:t>吨</w:t>
      </w:r>
      <w:r>
        <w:rPr>
          <w:lang w:eastAsia="zh-CN"/>
        </w:rPr>
        <w:t>CO2e</w:t>
      </w:r>
      <w:r>
        <w:rPr>
          <w:lang w:eastAsia="zh-CN"/>
        </w:rPr>
        <w:t>。</w:t>
      </w:r>
    </w:p>
    <w:p w:rsidR="000A7B22" w:rsidRDefault="00F91F4B">
      <w:pPr>
        <w:pStyle w:val="BodyText"/>
        <w:rPr>
          <w:lang w:eastAsia="zh-CN"/>
        </w:rPr>
      </w:pPr>
      <w:r>
        <w:rPr>
          <w:lang w:eastAsia="zh-CN"/>
        </w:rPr>
        <w:t>芝加哥气候期货交易所（</w:t>
      </w:r>
      <w:r>
        <w:rPr>
          <w:lang w:eastAsia="zh-CN"/>
        </w:rPr>
        <w:t>Chicago Climate Futures Exchange</w:t>
      </w:r>
      <w:r>
        <w:rPr>
          <w:lang w:eastAsia="zh-CN"/>
        </w:rPr>
        <w:t>，简称</w:t>
      </w:r>
      <w:r>
        <w:rPr>
          <w:b/>
          <w:lang w:eastAsia="zh-CN"/>
        </w:rPr>
        <w:t>CCFE</w:t>
      </w:r>
      <w:r>
        <w:rPr>
          <w:lang w:eastAsia="zh-CN"/>
        </w:rPr>
        <w:t>）负责处理</w:t>
      </w:r>
      <w:r>
        <w:rPr>
          <w:lang w:eastAsia="zh-CN"/>
        </w:rPr>
        <w:t xml:space="preserve"> CCX</w:t>
      </w:r>
      <w:r>
        <w:rPr>
          <w:lang w:eastAsia="zh-CN"/>
        </w:rPr>
        <w:t>的</w:t>
      </w:r>
      <w:r>
        <w:rPr>
          <w:lang w:eastAsia="zh-CN"/>
        </w:rPr>
        <w:t xml:space="preserve"> CFI </w:t>
      </w:r>
      <w:r>
        <w:rPr>
          <w:lang w:eastAsia="zh-CN"/>
        </w:rPr>
        <w:t>期货及期权交易。</w:t>
      </w:r>
      <w:r>
        <w:rPr>
          <w:lang w:eastAsia="zh-CN"/>
        </w:rPr>
        <w:t>CCFE</w:t>
      </w:r>
      <w:r>
        <w:rPr>
          <w:lang w:eastAsia="zh-CN"/>
        </w:rPr>
        <w:t>期货合约的相关资产包括二氧化碳以及其他温室气体排放信用额及核证减排额度（</w:t>
      </w:r>
      <w:r>
        <w:rPr>
          <w:lang w:eastAsia="zh-CN"/>
        </w:rPr>
        <w:t>Certified Emission Reduction</w:t>
      </w:r>
      <w:r>
        <w:rPr>
          <w:lang w:eastAsia="zh-CN"/>
        </w:rPr>
        <w:t>，简称</w:t>
      </w:r>
      <w:r>
        <w:rPr>
          <w:b/>
          <w:lang w:eastAsia="zh-CN"/>
        </w:rPr>
        <w:t>CER</w:t>
      </w:r>
      <w:r>
        <w:rPr>
          <w:lang w:eastAsia="zh-CN"/>
        </w:rPr>
        <w:t>）。</w:t>
      </w:r>
      <w:r>
        <w:rPr>
          <w:lang w:eastAsia="zh-CN"/>
        </w:rPr>
        <w:t>2010</w:t>
      </w:r>
      <w:r>
        <w:rPr>
          <w:lang w:eastAsia="zh-CN"/>
        </w:rPr>
        <w:t>年</w:t>
      </w:r>
      <w:r>
        <w:rPr>
          <w:lang w:eastAsia="zh-CN"/>
        </w:rPr>
        <w:t>ICE</w:t>
      </w:r>
      <w:r>
        <w:rPr>
          <w:lang w:eastAsia="zh-CN"/>
        </w:rPr>
        <w:t>收购了</w:t>
      </w:r>
      <w:r>
        <w:rPr>
          <w:lang w:eastAsia="zh-CN"/>
        </w:rPr>
        <w:t>CCX</w:t>
      </w:r>
      <w:r>
        <w:rPr>
          <w:lang w:eastAsia="zh-CN"/>
        </w:rPr>
        <w:t>及</w:t>
      </w:r>
      <w:r>
        <w:rPr>
          <w:lang w:eastAsia="zh-CN"/>
        </w:rPr>
        <w:t>CCF</w:t>
      </w:r>
      <w:r>
        <w:rPr>
          <w:lang w:eastAsia="zh-CN"/>
        </w:rPr>
        <w:t>E</w:t>
      </w:r>
      <w:r>
        <w:rPr>
          <w:lang w:eastAsia="zh-CN"/>
        </w:rPr>
        <w:t>。</w:t>
      </w:r>
    </w:p>
    <w:p w:rsidR="000A7B22" w:rsidRDefault="00F91F4B">
      <w:pPr>
        <w:pStyle w:val="BodyText"/>
        <w:rPr>
          <w:lang w:eastAsia="zh-CN"/>
        </w:rPr>
      </w:pPr>
      <w:r>
        <w:rPr>
          <w:lang w:eastAsia="zh-CN"/>
        </w:rPr>
        <w:t>CME</w:t>
      </w:r>
      <w:r>
        <w:rPr>
          <w:lang w:eastAsia="zh-CN"/>
        </w:rPr>
        <w:t>提供一系列可对冲欧洲及美国碳市场风险的排放权产品，包括</w:t>
      </w:r>
      <w:r>
        <w:rPr>
          <w:lang w:eastAsia="zh-CN"/>
        </w:rPr>
        <w:t>RGGI</w:t>
      </w:r>
      <w:r>
        <w:rPr>
          <w:lang w:eastAsia="zh-CN"/>
        </w:rPr>
        <w:t>配额期货及期权、交割月份</w:t>
      </w:r>
      <w:r>
        <w:rPr>
          <w:lang w:eastAsia="zh-CN"/>
        </w:rPr>
        <w:t>EUA</w:t>
      </w:r>
      <w:r>
        <w:rPr>
          <w:lang w:eastAsia="zh-CN"/>
        </w:rPr>
        <w:t>期货及期权，以及加州低碳燃料标准期货。香港交易所研究报告亦指出，</w:t>
      </w:r>
      <w:r>
        <w:rPr>
          <w:lang w:eastAsia="zh-CN"/>
        </w:rPr>
        <w:t>CME</w:t>
      </w:r>
      <w:r>
        <w:rPr>
          <w:lang w:eastAsia="zh-CN"/>
        </w:rPr>
        <w:t>最近推出了以下产品：</w:t>
      </w:r>
    </w:p>
    <w:p w:rsidR="000A7B22" w:rsidRDefault="00F91F4B">
      <w:pPr>
        <w:pStyle w:val="Compact"/>
        <w:numPr>
          <w:ilvl w:val="0"/>
          <w:numId w:val="4"/>
        </w:numPr>
      </w:pPr>
      <w:r>
        <w:t>天然类的全球排放抵销（</w:t>
      </w:r>
      <w:r>
        <w:t>nature-based global emissions offset</w:t>
      </w:r>
      <w:r>
        <w:t>，简称</w:t>
      </w:r>
      <w:r>
        <w:rPr>
          <w:b/>
        </w:rPr>
        <w:t>N-GEO</w:t>
      </w:r>
      <w:r>
        <w:t>）期货</w:t>
      </w:r>
      <w:r>
        <w:t xml:space="preserve"> – </w:t>
      </w:r>
      <w:r>
        <w:t>以农业、林业及其他土地使用项目的合资格自愿抵销额为基础，加入气候、小区与生物多样性认证；及</w:t>
      </w:r>
    </w:p>
    <w:p w:rsidR="000A7B22" w:rsidRDefault="00F91F4B">
      <w:pPr>
        <w:pStyle w:val="Compact"/>
        <w:numPr>
          <w:ilvl w:val="0"/>
          <w:numId w:val="4"/>
        </w:numPr>
      </w:pPr>
      <w:r>
        <w:t>全球排放抵销（简称</w:t>
      </w:r>
      <w:r>
        <w:rPr>
          <w:b/>
        </w:rPr>
        <w:t>GEO</w:t>
      </w:r>
      <w:r>
        <w:t>）期货</w:t>
      </w:r>
      <w:r>
        <w:t>–</w:t>
      </w:r>
      <w:r>
        <w:t>以国际航空业碳抵销及减量计划（</w:t>
      </w:r>
      <w:r>
        <w:t>Carbon Offsetting an</w:t>
      </w:r>
      <w:r>
        <w:t>d Reduction Scheme for International Aviation</w:t>
      </w:r>
      <w:r>
        <w:t>，简称</w:t>
      </w:r>
      <w:r>
        <w:t xml:space="preserve"> </w:t>
      </w:r>
      <w:r>
        <w:rPr>
          <w:b/>
        </w:rPr>
        <w:t>CORSIA</w:t>
      </w:r>
      <w:r>
        <w:t>））于三个登记处的合资格自愿碳抵销为基础。</w:t>
      </w:r>
      <w:hyperlink w:anchor="footnote-598-3">
        <w:r>
          <w:rPr>
            <w:vertAlign w:val="superscript"/>
          </w:rPr>
          <w:t>3</w:t>
        </w:r>
      </w:hyperlink>
    </w:p>
    <w:p w:rsidR="000A7B22" w:rsidRDefault="00F91F4B">
      <w:pPr>
        <w:pStyle w:val="FirstParagraph"/>
        <w:rPr>
          <w:lang w:eastAsia="zh-CN"/>
        </w:rPr>
      </w:pPr>
      <w:r>
        <w:rPr>
          <w:lang w:eastAsia="zh-CN"/>
        </w:rPr>
        <w:t>印度：发展中国家的碳交易</w:t>
      </w:r>
    </w:p>
    <w:p w:rsidR="000A7B22" w:rsidRDefault="00F91F4B">
      <w:pPr>
        <w:pStyle w:val="BodyText"/>
        <w:rPr>
          <w:lang w:eastAsia="zh-CN"/>
        </w:rPr>
      </w:pPr>
      <w:r>
        <w:rPr>
          <w:lang w:eastAsia="zh-CN"/>
        </w:rPr>
        <w:t>香港交易所研究报告中将印度视为发展中国家发展</w:t>
      </w:r>
      <w:r>
        <w:rPr>
          <w:lang w:eastAsia="zh-CN"/>
        </w:rPr>
        <w:t>ETSs</w:t>
      </w:r>
      <w:r>
        <w:rPr>
          <w:lang w:eastAsia="zh-CN"/>
        </w:rPr>
        <w:t>的一个潜在参考对象，印度无须于《京都议定书》第一阶段作出特定的承诺。因此，印度并无提供国内市场作碳排放配额交易。相反，印度采纳了「单边政策」，将已根据《联合国气候变化框架公约》登记的</w:t>
      </w:r>
      <w:r>
        <w:rPr>
          <w:lang w:eastAsia="zh-CN"/>
        </w:rPr>
        <w:t>CDM</w:t>
      </w:r>
      <w:r>
        <w:rPr>
          <w:lang w:eastAsia="zh-CN"/>
        </w:rPr>
        <w:t>项目所产生的</w:t>
      </w:r>
      <w:r>
        <w:rPr>
          <w:lang w:eastAsia="zh-CN"/>
        </w:rPr>
        <w:t>CE</w:t>
      </w:r>
      <w:r>
        <w:rPr>
          <w:lang w:eastAsia="zh-CN"/>
        </w:rPr>
        <w:t>R</w:t>
      </w:r>
      <w:r>
        <w:rPr>
          <w:lang w:eastAsia="zh-CN"/>
        </w:rPr>
        <w:t>存起来，以减低排放成本。</w:t>
      </w:r>
    </w:p>
    <w:p w:rsidR="000A7B22" w:rsidRDefault="00F91F4B">
      <w:pPr>
        <w:pStyle w:val="BodyText"/>
        <w:rPr>
          <w:lang w:eastAsia="zh-CN"/>
        </w:rPr>
      </w:pPr>
      <w:r>
        <w:rPr>
          <w:lang w:eastAsia="zh-CN"/>
        </w:rPr>
        <w:t>CER</w:t>
      </w:r>
      <w:r>
        <w:rPr>
          <w:lang w:eastAsia="zh-CN"/>
        </w:rPr>
        <w:t>期货目前可在印度当地的两家主要交易所交易</w:t>
      </w:r>
      <w:r>
        <w:rPr>
          <w:lang w:eastAsia="zh-CN"/>
        </w:rPr>
        <w:t>——</w:t>
      </w:r>
      <w:r>
        <w:rPr>
          <w:lang w:eastAsia="zh-CN"/>
        </w:rPr>
        <w:t>印度多种商品交易所和印度全国商品及衍生产品交易所。前者于</w:t>
      </w:r>
      <w:r>
        <w:rPr>
          <w:lang w:eastAsia="zh-CN"/>
        </w:rPr>
        <w:t>2005</w:t>
      </w:r>
      <w:r>
        <w:rPr>
          <w:lang w:eastAsia="zh-CN"/>
        </w:rPr>
        <w:t>年与</w:t>
      </w:r>
      <w:r>
        <w:rPr>
          <w:lang w:eastAsia="zh-CN"/>
        </w:rPr>
        <w:t>CCX</w:t>
      </w:r>
      <w:r>
        <w:rPr>
          <w:lang w:eastAsia="zh-CN"/>
        </w:rPr>
        <w:t>建立战略联盟，并开始买卖</w:t>
      </w:r>
      <w:r>
        <w:rPr>
          <w:lang w:eastAsia="zh-CN"/>
        </w:rPr>
        <w:t>CER</w:t>
      </w:r>
      <w:r>
        <w:rPr>
          <w:lang w:eastAsia="zh-CN"/>
        </w:rPr>
        <w:t>期货，而后者自</w:t>
      </w:r>
      <w:r>
        <w:rPr>
          <w:lang w:eastAsia="zh-CN"/>
        </w:rPr>
        <w:t>2008</w:t>
      </w:r>
      <w:r>
        <w:rPr>
          <w:lang w:eastAsia="zh-CN"/>
        </w:rPr>
        <w:t>年起推出数只不同年期的</w:t>
      </w:r>
      <w:r>
        <w:rPr>
          <w:lang w:eastAsia="zh-CN"/>
        </w:rPr>
        <w:t>CER</w:t>
      </w:r>
      <w:r>
        <w:rPr>
          <w:lang w:eastAsia="zh-CN"/>
        </w:rPr>
        <w:t>期货合约。印度的</w:t>
      </w:r>
      <w:r>
        <w:rPr>
          <w:lang w:eastAsia="zh-CN"/>
        </w:rPr>
        <w:t>CER</w:t>
      </w:r>
      <w:r>
        <w:rPr>
          <w:lang w:eastAsia="zh-CN"/>
        </w:rPr>
        <w:t>期货合约主要以印度卢比计价。</w:t>
      </w:r>
    </w:p>
    <w:p w:rsidR="000A7B22" w:rsidRDefault="00F91F4B">
      <w:pPr>
        <w:pStyle w:val="BodyText"/>
        <w:rPr>
          <w:lang w:eastAsia="zh-CN"/>
        </w:rPr>
      </w:pPr>
      <w:r>
        <w:rPr>
          <w:lang w:eastAsia="zh-CN"/>
        </w:rPr>
        <w:lastRenderedPageBreak/>
        <w:t>中国的碳市场开发</w:t>
      </w:r>
    </w:p>
    <w:p w:rsidR="000A7B22" w:rsidRDefault="00F91F4B">
      <w:pPr>
        <w:pStyle w:val="BodyText"/>
        <w:rPr>
          <w:lang w:eastAsia="zh-CN"/>
        </w:rPr>
      </w:pPr>
      <w:r>
        <w:rPr>
          <w:lang w:eastAsia="zh-CN"/>
        </w:rPr>
        <w:t>中国宣布力争「</w:t>
      </w:r>
      <w:r>
        <w:rPr>
          <w:lang w:eastAsia="zh-CN"/>
        </w:rPr>
        <w:t>2030</w:t>
      </w:r>
      <w:r>
        <w:rPr>
          <w:lang w:eastAsia="zh-CN"/>
        </w:rPr>
        <w:t>年前碳达峰，</w:t>
      </w:r>
      <w:r>
        <w:rPr>
          <w:lang w:eastAsia="zh-CN"/>
        </w:rPr>
        <w:t>2060</w:t>
      </w:r>
      <w:r>
        <w:rPr>
          <w:lang w:eastAsia="zh-CN"/>
        </w:rPr>
        <w:t>年前碳中和」后，在过去十年中透过在从地区试点实施</w:t>
      </w:r>
      <w:r>
        <w:rPr>
          <w:lang w:eastAsia="zh-CN"/>
        </w:rPr>
        <w:t>ETSs</w:t>
      </w:r>
      <w:r>
        <w:rPr>
          <w:lang w:eastAsia="zh-CN"/>
        </w:rPr>
        <w:t>然后再扩展至全国寻求发展国内碳市场。</w:t>
      </w:r>
    </w:p>
    <w:p w:rsidR="000A7B22" w:rsidRDefault="00F91F4B">
      <w:pPr>
        <w:pStyle w:val="BodyText"/>
        <w:rPr>
          <w:lang w:eastAsia="zh-CN"/>
        </w:rPr>
      </w:pPr>
      <w:r>
        <w:rPr>
          <w:b/>
          <w:lang w:eastAsia="zh-CN"/>
        </w:rPr>
        <w:t>中国地方碳交易试点市场</w:t>
      </w:r>
    </w:p>
    <w:p w:rsidR="000A7B22" w:rsidRDefault="00F91F4B">
      <w:pPr>
        <w:pStyle w:val="BodyText"/>
        <w:rPr>
          <w:lang w:eastAsia="zh-CN"/>
        </w:rPr>
      </w:pPr>
      <w:r>
        <w:rPr>
          <w:lang w:eastAsia="zh-CN"/>
        </w:rPr>
        <w:t>八大地区已获指定为国内碳交易试点地区（北京、上海、天津、深圳、广东、重庆、湖北及福建）。该等地区的碳排放交易系统试点的建立旨在：</w:t>
      </w:r>
    </w:p>
    <w:p w:rsidR="000A7B22" w:rsidRDefault="00F91F4B">
      <w:pPr>
        <w:pStyle w:val="Compact"/>
        <w:numPr>
          <w:ilvl w:val="0"/>
          <w:numId w:val="5"/>
        </w:numPr>
        <w:rPr>
          <w:lang w:eastAsia="zh-CN"/>
        </w:rPr>
      </w:pPr>
      <w:r>
        <w:rPr>
          <w:lang w:eastAsia="zh-CN"/>
        </w:rPr>
        <w:t>协助企业通过市场机制来管理环境风险与环境成本；</w:t>
      </w:r>
    </w:p>
    <w:p w:rsidR="000A7B22" w:rsidRDefault="00F91F4B">
      <w:pPr>
        <w:pStyle w:val="Compact"/>
        <w:numPr>
          <w:ilvl w:val="0"/>
          <w:numId w:val="5"/>
        </w:numPr>
        <w:rPr>
          <w:lang w:eastAsia="zh-CN"/>
        </w:rPr>
      </w:pPr>
      <w:r>
        <w:rPr>
          <w:lang w:eastAsia="zh-CN"/>
        </w:rPr>
        <w:t>标准化及具透明度的交易程序也会令企业更放心进行碳交易；及</w:t>
      </w:r>
    </w:p>
    <w:p w:rsidR="000A7B22" w:rsidRDefault="00F91F4B">
      <w:pPr>
        <w:pStyle w:val="Compact"/>
        <w:numPr>
          <w:ilvl w:val="0"/>
          <w:numId w:val="5"/>
        </w:numPr>
        <w:rPr>
          <w:lang w:eastAsia="zh-CN"/>
        </w:rPr>
      </w:pPr>
      <w:r>
        <w:rPr>
          <w:lang w:eastAsia="zh-CN"/>
        </w:rPr>
        <w:t>金融创新亦提升了市场流动性。</w:t>
      </w:r>
    </w:p>
    <w:p w:rsidR="000A7B22" w:rsidRDefault="00F91F4B">
      <w:pPr>
        <w:pStyle w:val="FirstParagraph"/>
        <w:rPr>
          <w:lang w:eastAsia="zh-CN"/>
        </w:rPr>
      </w:pPr>
      <w:r>
        <w:rPr>
          <w:lang w:eastAsia="zh-CN"/>
        </w:rPr>
        <w:t>各试点地区</w:t>
      </w:r>
      <w:r>
        <w:rPr>
          <w:lang w:eastAsia="zh-CN"/>
        </w:rPr>
        <w:t>ETSs</w:t>
      </w:r>
      <w:r>
        <w:rPr>
          <w:lang w:eastAsia="zh-CN"/>
        </w:rPr>
        <w:t>的详细内容包括所覆盖的行业、相关计划下合资格企业、衍生的碳产品及特定创新产品服务，载列于香港交易所研究报告表</w:t>
      </w:r>
      <w:r>
        <w:rPr>
          <w:lang w:eastAsia="zh-CN"/>
        </w:rPr>
        <w:t>4</w:t>
      </w:r>
      <w:r>
        <w:rPr>
          <w:lang w:eastAsia="zh-CN"/>
        </w:rPr>
        <w:t>中。</w:t>
      </w:r>
    </w:p>
    <w:p w:rsidR="000A7B22" w:rsidRDefault="00F91F4B">
      <w:pPr>
        <w:pStyle w:val="BodyText"/>
        <w:rPr>
          <w:lang w:eastAsia="zh-CN"/>
        </w:rPr>
      </w:pPr>
      <w:r>
        <w:rPr>
          <w:b/>
          <w:lang w:eastAsia="zh-CN"/>
        </w:rPr>
        <w:t>中国全国碳市场</w:t>
      </w:r>
    </w:p>
    <w:p w:rsidR="000A7B22" w:rsidRDefault="00F91F4B">
      <w:pPr>
        <w:pStyle w:val="BodyText"/>
        <w:rPr>
          <w:lang w:eastAsia="zh-CN"/>
        </w:rPr>
      </w:pPr>
      <w:r>
        <w:rPr>
          <w:lang w:eastAsia="zh-CN"/>
        </w:rPr>
        <w:t>中国</w:t>
      </w:r>
      <w:r>
        <w:rPr>
          <w:lang w:eastAsia="zh-CN"/>
        </w:rPr>
        <w:t>ETS</w:t>
      </w:r>
      <w:r>
        <w:rPr>
          <w:lang w:eastAsia="zh-CN"/>
        </w:rPr>
        <w:t>于</w:t>
      </w:r>
      <w:r>
        <w:rPr>
          <w:lang w:eastAsia="zh-CN"/>
        </w:rPr>
        <w:t>2021</w:t>
      </w:r>
      <w:r>
        <w:rPr>
          <w:lang w:eastAsia="zh-CN"/>
        </w:rPr>
        <w:t>年</w:t>
      </w:r>
      <w:r>
        <w:rPr>
          <w:lang w:eastAsia="zh-CN"/>
        </w:rPr>
        <w:t>7</w:t>
      </w:r>
      <w:r>
        <w:rPr>
          <w:lang w:eastAsia="zh-CN"/>
        </w:rPr>
        <w:t>月</w:t>
      </w:r>
      <w:r>
        <w:rPr>
          <w:lang w:eastAsia="zh-CN"/>
        </w:rPr>
        <w:t>16</w:t>
      </w:r>
      <w:r>
        <w:rPr>
          <w:lang w:eastAsia="zh-CN"/>
        </w:rPr>
        <w:t>日开始买卖碳排放配额。目前的初期阶段唯一覆盖行业为电力行业，包括一批遍布全国的</w:t>
      </w:r>
      <w:r>
        <w:rPr>
          <w:lang w:eastAsia="zh-CN"/>
        </w:rPr>
        <w:t>2,162</w:t>
      </w:r>
      <w:r>
        <w:rPr>
          <w:lang w:eastAsia="zh-CN"/>
        </w:rPr>
        <w:t>家发电厂。而预期在「十四五规划」期间会拓展至钢铁、石化、建材等重点行业，并最终将覆盖化工、钢铁、有色金属、造纸及航空。</w:t>
      </w:r>
    </w:p>
    <w:p w:rsidR="000A7B22" w:rsidRDefault="00F91F4B">
      <w:pPr>
        <w:pStyle w:val="BodyText"/>
        <w:rPr>
          <w:lang w:eastAsia="zh-CN"/>
        </w:rPr>
      </w:pPr>
      <w:r>
        <w:rPr>
          <w:lang w:eastAsia="zh-CN"/>
        </w:rPr>
        <w:t>《碳排放权交易管理办法（试行）》（</w:t>
      </w:r>
      <w:r>
        <w:rPr>
          <w:lang w:eastAsia="zh-CN"/>
        </w:rPr>
        <w:t>2021</w:t>
      </w:r>
      <w:r>
        <w:rPr>
          <w:lang w:eastAsia="zh-CN"/>
        </w:rPr>
        <w:t>年</w:t>
      </w:r>
      <w:r>
        <w:rPr>
          <w:lang w:eastAsia="zh-CN"/>
        </w:rPr>
        <w:t>2</w:t>
      </w:r>
      <w:r>
        <w:rPr>
          <w:lang w:eastAsia="zh-CN"/>
        </w:rPr>
        <w:t>月</w:t>
      </w:r>
      <w:r>
        <w:rPr>
          <w:lang w:eastAsia="zh-CN"/>
        </w:rPr>
        <w:t>1</w:t>
      </w:r>
      <w:r>
        <w:rPr>
          <w:lang w:eastAsia="zh-CN"/>
        </w:rPr>
        <w:t>日生效）表示，重点排放单位不再参与地方碳排放权交易试点市场，反而会转移至全国碳排放权交易市场。中国</w:t>
      </w:r>
      <w:r>
        <w:rPr>
          <w:lang w:eastAsia="zh-CN"/>
        </w:rPr>
        <w:t>ETS</w:t>
      </w:r>
      <w:r>
        <w:rPr>
          <w:lang w:eastAsia="zh-CN"/>
        </w:rPr>
        <w:t>的交易于上海环交所进行，而碳排放配额的全国注册处与登记及结算系统则在武汉。</w:t>
      </w:r>
    </w:p>
    <w:p w:rsidR="000A7B22" w:rsidRDefault="00F91F4B">
      <w:pPr>
        <w:pStyle w:val="BodyText"/>
        <w:rPr>
          <w:lang w:eastAsia="zh-CN"/>
        </w:rPr>
      </w:pPr>
      <w:r>
        <w:rPr>
          <w:b/>
          <w:lang w:eastAsia="zh-CN"/>
        </w:rPr>
        <w:t>并存的国家核证自愿减排量</w:t>
      </w:r>
    </w:p>
    <w:p w:rsidR="000A7B22" w:rsidRDefault="00F91F4B">
      <w:pPr>
        <w:pStyle w:val="BodyText"/>
        <w:rPr>
          <w:lang w:eastAsia="zh-CN"/>
        </w:rPr>
      </w:pPr>
      <w:r>
        <w:rPr>
          <w:lang w:eastAsia="zh-CN"/>
        </w:rPr>
        <w:t>中国于</w:t>
      </w:r>
      <w:r>
        <w:rPr>
          <w:lang w:eastAsia="zh-CN"/>
        </w:rPr>
        <w:t>2012</w:t>
      </w:r>
      <w:r>
        <w:rPr>
          <w:lang w:eastAsia="zh-CN"/>
        </w:rPr>
        <w:t>年发</w:t>
      </w:r>
      <w:r>
        <w:rPr>
          <w:lang w:eastAsia="zh-CN"/>
        </w:rPr>
        <w:t>布的《温室气体自愿减排交易管理暂行办法》允许中国实体备案及登记自愿减排项目。通过此等自愿减排项目减少的排放量将获认可为国家核证自愿减排量，可出售予高排放实体，用以抵销其超出获分配配额的排放量的若干百分比。</w:t>
      </w:r>
    </w:p>
    <w:p w:rsidR="000A7B22" w:rsidRDefault="00F91F4B">
      <w:pPr>
        <w:pStyle w:val="BodyText"/>
        <w:rPr>
          <w:lang w:eastAsia="zh-CN"/>
        </w:rPr>
      </w:pPr>
      <w:r>
        <w:rPr>
          <w:lang w:eastAsia="zh-CN"/>
        </w:rPr>
        <w:t>虽然强制性监管制度下的配额目前占去了中国碳市场交易量的大部分，但国家核证自愿减排量的自愿性交易仍能弥补强制性制度的不足。按内地现行的监管制度，公司每年使用国家核证自愿减排量抵销比例不得超过其强制碳排放配额的</w:t>
      </w:r>
      <w:r>
        <w:rPr>
          <w:lang w:eastAsia="zh-CN"/>
        </w:rPr>
        <w:t>5%</w:t>
      </w:r>
      <w:r>
        <w:rPr>
          <w:lang w:eastAsia="zh-CN"/>
        </w:rPr>
        <w:t>。香港交易所研究报告指出，两个交易模式相辅相成，将会大大提高碳减排工作的成效。</w:t>
      </w:r>
    </w:p>
    <w:p w:rsidR="000A7B22" w:rsidRDefault="00F91F4B">
      <w:pPr>
        <w:pStyle w:val="BodyText"/>
        <w:rPr>
          <w:lang w:eastAsia="zh-CN"/>
        </w:rPr>
      </w:pPr>
      <w:r>
        <w:rPr>
          <w:b/>
          <w:lang w:eastAsia="zh-CN"/>
        </w:rPr>
        <w:t>中国碳市场：展望</w:t>
      </w:r>
      <w:r>
        <w:rPr>
          <w:b/>
          <w:lang w:eastAsia="zh-CN"/>
        </w:rPr>
        <w:t>和发展</w:t>
      </w:r>
    </w:p>
    <w:p w:rsidR="000A7B22" w:rsidRDefault="00F91F4B">
      <w:pPr>
        <w:pStyle w:val="BodyText"/>
        <w:rPr>
          <w:lang w:eastAsia="zh-CN"/>
        </w:rPr>
      </w:pPr>
      <w:r>
        <w:rPr>
          <w:lang w:eastAsia="zh-CN"/>
        </w:rPr>
        <w:t>香港交易所研究报告指出碳排放配额的价格于</w:t>
      </w:r>
      <w:r>
        <w:rPr>
          <w:lang w:eastAsia="zh-CN"/>
        </w:rPr>
        <w:t>2021</w:t>
      </w:r>
      <w:r>
        <w:rPr>
          <w:lang w:eastAsia="zh-CN"/>
        </w:rPr>
        <w:t>年年底收报每吨</w:t>
      </w:r>
      <w:r>
        <w:rPr>
          <w:lang w:eastAsia="zh-CN"/>
        </w:rPr>
        <w:t>CO2e</w:t>
      </w:r>
      <w:r>
        <w:rPr>
          <w:lang w:eastAsia="zh-CN"/>
        </w:rPr>
        <w:t>人民币</w:t>
      </w:r>
      <w:r>
        <w:rPr>
          <w:lang w:eastAsia="zh-CN"/>
        </w:rPr>
        <w:t>54.22</w:t>
      </w:r>
      <w:r>
        <w:rPr>
          <w:lang w:eastAsia="zh-CN"/>
        </w:rPr>
        <w:t>元（</w:t>
      </w:r>
      <w:r>
        <w:rPr>
          <w:lang w:eastAsia="zh-CN"/>
        </w:rPr>
        <w:t>8.52</w:t>
      </w:r>
      <w:r>
        <w:rPr>
          <w:lang w:eastAsia="zh-CN"/>
        </w:rPr>
        <w:t>美元），较开始交易首日</w:t>
      </w:r>
      <w:r>
        <w:rPr>
          <w:lang w:eastAsia="zh-CN"/>
        </w:rPr>
        <w:t>2021</w:t>
      </w:r>
      <w:r>
        <w:rPr>
          <w:lang w:eastAsia="zh-CN"/>
        </w:rPr>
        <w:t>年</w:t>
      </w:r>
      <w:r>
        <w:rPr>
          <w:lang w:eastAsia="zh-CN"/>
        </w:rPr>
        <w:t>7</w:t>
      </w:r>
      <w:r>
        <w:rPr>
          <w:lang w:eastAsia="zh-CN"/>
        </w:rPr>
        <w:t>月</w:t>
      </w:r>
      <w:r>
        <w:rPr>
          <w:lang w:eastAsia="zh-CN"/>
        </w:rPr>
        <w:t>16</w:t>
      </w:r>
      <w:r>
        <w:rPr>
          <w:lang w:eastAsia="zh-CN"/>
        </w:rPr>
        <w:t>日的开市价增长了</w:t>
      </w:r>
      <w:r>
        <w:rPr>
          <w:lang w:eastAsia="zh-CN"/>
        </w:rPr>
        <w:t>13%</w:t>
      </w:r>
      <w:r>
        <w:rPr>
          <w:lang w:eastAsia="zh-CN"/>
        </w:rPr>
        <w:t>。</w:t>
      </w:r>
      <w:r>
        <w:rPr>
          <w:lang w:eastAsia="zh-CN"/>
        </w:rPr>
        <w:t>2021</w:t>
      </w:r>
      <w:r>
        <w:rPr>
          <w:lang w:eastAsia="zh-CN"/>
        </w:rPr>
        <w:t>年合共</w:t>
      </w:r>
      <w:r>
        <w:rPr>
          <w:lang w:eastAsia="zh-CN"/>
        </w:rPr>
        <w:t>114</w:t>
      </w:r>
      <w:r>
        <w:rPr>
          <w:lang w:eastAsia="zh-CN"/>
        </w:rPr>
        <w:t>个交易日内，碳排放配额累计成交共1.79</w:t>
      </w:r>
      <w:bookmarkStart w:id="0" w:name="_GoBack"/>
      <w:bookmarkEnd w:id="0"/>
      <w:r>
        <w:rPr>
          <w:lang w:eastAsia="zh-CN"/>
        </w:rPr>
        <w:t>亿吨。中国</w:t>
      </w:r>
      <w:r>
        <w:rPr>
          <w:lang w:eastAsia="zh-CN"/>
        </w:rPr>
        <w:t>ETS</w:t>
      </w:r>
      <w:r>
        <w:rPr>
          <w:lang w:eastAsia="zh-CN"/>
        </w:rPr>
        <w:t>和自愿性碳市场的覆盖率与准入预计将随着时间扩大，中国</w:t>
      </w:r>
      <w:r>
        <w:rPr>
          <w:lang w:eastAsia="zh-CN"/>
        </w:rPr>
        <w:t>ETS</w:t>
      </w:r>
      <w:r>
        <w:rPr>
          <w:lang w:eastAsia="zh-CN"/>
        </w:rPr>
        <w:t>于</w:t>
      </w:r>
      <w:r>
        <w:rPr>
          <w:lang w:eastAsia="zh-CN"/>
        </w:rPr>
        <w:t xml:space="preserve"> 2030</w:t>
      </w:r>
      <w:r>
        <w:rPr>
          <w:lang w:eastAsia="zh-CN"/>
        </w:rPr>
        <w:t>年所覆盖的碳排放量将达总量的</w:t>
      </w:r>
      <w:r>
        <w:rPr>
          <w:lang w:eastAsia="zh-CN"/>
        </w:rPr>
        <w:t xml:space="preserve"> 60%</w:t>
      </w:r>
      <w:r>
        <w:rPr>
          <w:lang w:eastAsia="zh-CN"/>
        </w:rPr>
        <w:t>，累计成交金额将达至</w:t>
      </w:r>
      <w:r>
        <w:rPr>
          <w:lang w:eastAsia="zh-CN"/>
        </w:rPr>
        <w:t xml:space="preserve"> 1,000</w:t>
      </w:r>
      <w:r>
        <w:rPr>
          <w:lang w:eastAsia="zh-CN"/>
        </w:rPr>
        <w:t>亿元人民币。</w:t>
      </w:r>
    </w:p>
    <w:p w:rsidR="000A7B22" w:rsidRDefault="00F91F4B">
      <w:pPr>
        <w:pStyle w:val="BodyText"/>
        <w:rPr>
          <w:lang w:eastAsia="zh-CN"/>
        </w:rPr>
      </w:pPr>
      <w:r>
        <w:rPr>
          <w:lang w:eastAsia="zh-CN"/>
        </w:rPr>
        <w:t>香港的机会</w:t>
      </w:r>
    </w:p>
    <w:p w:rsidR="000A7B22" w:rsidRDefault="00F91F4B">
      <w:pPr>
        <w:pStyle w:val="BodyText"/>
        <w:rPr>
          <w:lang w:eastAsia="zh-CN"/>
        </w:rPr>
      </w:pPr>
      <w:r>
        <w:rPr>
          <w:lang w:eastAsia="zh-CN"/>
        </w:rPr>
        <w:t>鉴于中国承诺于</w:t>
      </w:r>
      <w:r>
        <w:rPr>
          <w:lang w:eastAsia="zh-CN"/>
        </w:rPr>
        <w:t>2060</w:t>
      </w:r>
      <w:r>
        <w:rPr>
          <w:lang w:eastAsia="zh-CN"/>
        </w:rPr>
        <w:t>年或之前实现碳中和，香港交易所研究报告中强调将香港发展成为绿色金融枢纽及地</w:t>
      </w:r>
      <w:r>
        <w:rPr>
          <w:lang w:eastAsia="zh-CN"/>
        </w:rPr>
        <w:t>区碳交易中心的「庞大机遇」。具体而言，报告中预期：</w:t>
      </w:r>
    </w:p>
    <w:p w:rsidR="000A7B22" w:rsidRDefault="00F91F4B">
      <w:pPr>
        <w:pStyle w:val="Compact"/>
        <w:numPr>
          <w:ilvl w:val="0"/>
          <w:numId w:val="6"/>
        </w:numPr>
        <w:rPr>
          <w:lang w:eastAsia="zh-CN"/>
        </w:rPr>
      </w:pPr>
      <w:r>
        <w:rPr>
          <w:lang w:eastAsia="zh-CN"/>
        </w:rPr>
        <w:t>香港有能力透过提供参与中国</w:t>
      </w:r>
      <w:r>
        <w:rPr>
          <w:lang w:eastAsia="zh-CN"/>
        </w:rPr>
        <w:t>ETS</w:t>
      </w:r>
      <w:r>
        <w:rPr>
          <w:lang w:eastAsia="zh-CN"/>
        </w:rPr>
        <w:t>与大湾区内的碳市场的渠道填补国际投资者与中国碳市场之间的缺口；</w:t>
      </w:r>
    </w:p>
    <w:p w:rsidR="000A7B22" w:rsidRDefault="00F91F4B">
      <w:pPr>
        <w:pStyle w:val="Compact"/>
        <w:numPr>
          <w:ilvl w:val="0"/>
          <w:numId w:val="6"/>
        </w:numPr>
        <w:rPr>
          <w:lang w:eastAsia="zh-CN"/>
        </w:rPr>
      </w:pPr>
      <w:r>
        <w:rPr>
          <w:lang w:eastAsia="zh-CN"/>
        </w:rPr>
        <w:t>香港获国际认可的绿色认证服务，加上香港熟悉国际及内地市场，有能力协助通过碳交易市场平台来连系中国与国际的投资者与碳项目；及</w:t>
      </w:r>
    </w:p>
    <w:p w:rsidR="000A7B22" w:rsidRDefault="00F91F4B">
      <w:pPr>
        <w:pStyle w:val="Compact"/>
        <w:numPr>
          <w:ilvl w:val="0"/>
          <w:numId w:val="6"/>
        </w:numPr>
        <w:rPr>
          <w:lang w:eastAsia="zh-CN"/>
        </w:rPr>
      </w:pPr>
      <w:r>
        <w:rPr>
          <w:lang w:eastAsia="zh-CN"/>
        </w:rPr>
        <w:lastRenderedPageBreak/>
        <w:t>香港拥有将自身发展成为一个地区性碳交易中心和内地离岸风险管理中心，来支持内地的碳市场发展的潜能。</w:t>
      </w:r>
    </w:p>
    <w:p w:rsidR="000A7B22" w:rsidRDefault="00F91F4B">
      <w:pPr>
        <w:pStyle w:val="FirstParagraph"/>
        <w:rPr>
          <w:lang w:eastAsia="zh-CN"/>
        </w:rPr>
      </w:pPr>
      <w:r>
        <w:rPr>
          <w:lang w:eastAsia="zh-CN"/>
        </w:rPr>
        <w:t>2022</w:t>
      </w:r>
      <w:r>
        <w:rPr>
          <w:lang w:eastAsia="zh-CN"/>
        </w:rPr>
        <w:t>年，香港交易所推出了两项碳排放举措</w:t>
      </w:r>
      <w:r>
        <w:rPr>
          <w:lang w:eastAsia="zh-CN"/>
        </w:rPr>
        <w:t>–</w:t>
      </w:r>
      <w:r>
        <w:rPr>
          <w:lang w:eastAsia="zh-CN"/>
        </w:rPr>
        <w:t>成立香港国际碳市场委员会及</w:t>
      </w:r>
      <w:r>
        <w:rPr>
          <w:lang w:eastAsia="zh-CN"/>
        </w:rPr>
        <w:t>Core Climate</w:t>
      </w:r>
      <w:r>
        <w:rPr>
          <w:lang w:eastAsia="zh-CN"/>
        </w:rPr>
        <w:t>（提供一站式交易、托管及交收服务的新的香港国际</w:t>
      </w:r>
      <w:r>
        <w:rPr>
          <w:lang w:eastAsia="zh-CN"/>
        </w:rPr>
        <w:t>碳市场）。</w:t>
      </w:r>
    </w:p>
    <w:p w:rsidR="000A7B22" w:rsidRDefault="00F91F4B">
      <w:pPr>
        <w:pStyle w:val="BodyText"/>
        <w:rPr>
          <w:lang w:eastAsia="zh-CN"/>
        </w:rPr>
      </w:pPr>
      <w:r>
        <w:rPr>
          <w:lang w:eastAsia="zh-CN"/>
        </w:rPr>
        <w:t>该份报告总结到，透过将国际市场和内地碳市场连接起来，香港可发挥超级连系人的角色，连接双方的减碳项目。</w:t>
      </w:r>
    </w:p>
    <w:p w:rsidR="000A7B22" w:rsidRDefault="00F91F4B">
      <w:pPr>
        <w:pStyle w:val="BodyText"/>
        <w:rPr>
          <w:lang w:eastAsia="zh-CN"/>
        </w:rPr>
      </w:pPr>
      <w:hyperlink w:anchor="footnote-598-1-backlink">
        <w:r>
          <w:rPr>
            <w:lang w:eastAsia="zh-CN"/>
          </w:rPr>
          <w:t>1</w:t>
        </w:r>
      </w:hyperlink>
      <w:r>
        <w:rPr>
          <w:lang w:eastAsia="zh-CN"/>
        </w:rPr>
        <w:t xml:space="preserve"> </w:t>
      </w:r>
      <w:r>
        <w:rPr>
          <w:lang w:eastAsia="zh-CN"/>
        </w:rPr>
        <w:t>所有援引内容均来自香港交易所研究报告。</w:t>
      </w:r>
    </w:p>
    <w:p w:rsidR="000A7B22" w:rsidRDefault="00F91F4B">
      <w:pPr>
        <w:pStyle w:val="BodyText"/>
        <w:rPr>
          <w:lang w:eastAsia="zh-CN"/>
        </w:rPr>
      </w:pPr>
      <w:hyperlink w:anchor="footnote-598-2-backlink">
        <w:r>
          <w:rPr>
            <w:lang w:eastAsia="zh-CN"/>
          </w:rPr>
          <w:t>2</w:t>
        </w:r>
      </w:hyperlink>
      <w:r>
        <w:rPr>
          <w:lang w:eastAsia="zh-CN"/>
        </w:rPr>
        <w:t xml:space="preserve"> </w:t>
      </w:r>
      <w:r>
        <w:rPr>
          <w:lang w:eastAsia="zh-CN"/>
        </w:rPr>
        <w:t>参见香港交易所研究报告第</w:t>
      </w:r>
      <w:r>
        <w:rPr>
          <w:lang w:eastAsia="zh-CN"/>
        </w:rPr>
        <w:t>7</w:t>
      </w:r>
      <w:r>
        <w:rPr>
          <w:lang w:eastAsia="zh-CN"/>
        </w:rPr>
        <w:t>页表</w:t>
      </w:r>
      <w:r>
        <w:rPr>
          <w:lang w:eastAsia="zh-CN"/>
        </w:rPr>
        <w:t>1.</w:t>
      </w:r>
    </w:p>
    <w:p w:rsidR="000A7B22" w:rsidRDefault="00F91F4B">
      <w:pPr>
        <w:pStyle w:val="BodyText"/>
        <w:rPr>
          <w:lang w:eastAsia="zh-CN"/>
        </w:rPr>
      </w:pPr>
      <w:hyperlink w:anchor="footnote-598-3-backlink">
        <w:r>
          <w:rPr>
            <w:lang w:eastAsia="zh-CN"/>
          </w:rPr>
          <w:t>3</w:t>
        </w:r>
      </w:hyperlink>
      <w:r>
        <w:rPr>
          <w:lang w:eastAsia="zh-CN"/>
        </w:rPr>
        <w:t xml:space="preserve"> </w:t>
      </w:r>
      <w:r>
        <w:rPr>
          <w:lang w:eastAsia="zh-CN"/>
        </w:rPr>
        <w:t>参见香港交易所研究报告第</w:t>
      </w:r>
      <w:r>
        <w:rPr>
          <w:lang w:eastAsia="zh-CN"/>
        </w:rPr>
        <w:t>18</w:t>
      </w:r>
      <w:r>
        <w:rPr>
          <w:lang w:eastAsia="zh-CN"/>
        </w:rPr>
        <w:t>页第</w:t>
      </w:r>
      <w:r>
        <w:rPr>
          <w:lang w:eastAsia="zh-CN"/>
        </w:rPr>
        <w:t>2</w:t>
      </w:r>
      <w:r>
        <w:rPr>
          <w:lang w:eastAsia="zh-CN"/>
        </w:rPr>
        <w:t>.4</w:t>
      </w:r>
      <w:r>
        <w:rPr>
          <w:lang w:eastAsia="zh-CN"/>
        </w:rPr>
        <w:t>段</w:t>
      </w:r>
      <w:r>
        <w:rPr>
          <w:lang w:eastAsia="zh-CN"/>
        </w:rPr>
        <w:t>.</w:t>
      </w:r>
    </w:p>
    <w:p w:rsidR="000A7B22" w:rsidRDefault="00F91F4B">
      <w:pPr>
        <w:pStyle w:val="DisclaimerBold"/>
        <w:rPr>
          <w:lang w:eastAsia="zh-CN"/>
        </w:rPr>
      </w:pPr>
      <w:r>
        <w:rPr>
          <w:lang w:eastAsia="zh-CN"/>
        </w:rPr>
        <w:t>此法讯仅为提供相关资料信息之用，其内容并</w:t>
      </w:r>
    </w:p>
    <w:p w:rsidR="000A7B22" w:rsidRDefault="00F91F4B">
      <w:pPr>
        <w:pStyle w:val="Disclaimer"/>
        <w:rPr>
          <w:lang w:eastAsia="zh-CN"/>
        </w:rPr>
      </w:pPr>
      <w:r>
        <w:rPr>
          <w:lang w:eastAsia="zh-CN"/>
        </w:rPr>
        <w:t>不构成法律建议及个案的法律分析。</w:t>
      </w:r>
    </w:p>
    <w:p w:rsidR="000A7B22" w:rsidRDefault="00F91F4B">
      <w:pPr>
        <w:pStyle w:val="Disclaimer"/>
        <w:rPr>
          <w:lang w:eastAsia="zh-CN"/>
        </w:rPr>
      </w:pPr>
      <w:r>
        <w:rPr>
          <w:lang w:eastAsia="zh-CN"/>
        </w:rPr>
        <w:t>此法讯的发送并不是为了在易周律师行与用户或浏览者之间建立一种律师与客户之关系。</w:t>
      </w:r>
    </w:p>
    <w:p w:rsidR="000A7B22" w:rsidRDefault="00F91F4B">
      <w:pPr>
        <w:pStyle w:val="Disclaimer"/>
        <w:rPr>
          <w:lang w:eastAsia="zh-CN"/>
        </w:rPr>
      </w:pPr>
      <w:r>
        <w:rPr>
          <w:lang w:eastAsia="zh-CN"/>
        </w:rPr>
        <w:t>易周律师行并不对可从互联网获得的任何第三方内容负责。</w:t>
      </w:r>
    </w:p>
    <w:p w:rsidR="000A7B22" w:rsidRDefault="00F91F4B">
      <w:pPr>
        <w:pStyle w:val="Disclaimer"/>
        <w:rPr>
          <w:lang w:eastAsia="zh-CN"/>
        </w:rPr>
      </w:pPr>
      <w:r>
        <w:rPr>
          <w:lang w:eastAsia="zh-CN"/>
        </w:rPr>
        <w:t>如你不希望再收到易周法讯，请发送电邮至</w:t>
      </w:r>
      <w:r>
        <w:rPr>
          <w:lang w:eastAsia="zh-CN"/>
        </w:rPr>
        <w:t xml:space="preserve">  </w:t>
      </w:r>
      <w:hyperlink r:id="rId9">
        <w:r>
          <w:rPr>
            <w:lang w:eastAsia="zh-CN"/>
          </w:rPr>
          <w:t>unsubscribe@charltonslaw.com</w:t>
        </w:r>
      </w:hyperlink>
    </w:p>
    <w:p w:rsidR="000A7B22" w:rsidRDefault="00F91F4B">
      <w:pPr>
        <w:pStyle w:val="BlackStrips"/>
      </w:pPr>
      <w:r>
        <w:t xml:space="preserve">Charltons - </w:t>
      </w:r>
      <w:r>
        <w:t>香港法律</w:t>
      </w:r>
      <w:r>
        <w:t xml:space="preserve"> - 2023</w:t>
      </w:r>
      <w:r>
        <w:t>年</w:t>
      </w:r>
      <w:r>
        <w:t>12</w:t>
      </w:r>
      <w:r>
        <w:t>月</w:t>
      </w:r>
      <w:r>
        <w:t>18</w:t>
      </w:r>
      <w:r>
        <w:t>日</w:t>
      </w:r>
    </w:p>
    <w:sectPr w:rsidR="000A7B2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1F4B">
      <w:pPr>
        <w:spacing w:after="0"/>
      </w:pPr>
      <w:r>
        <w:separator/>
      </w:r>
    </w:p>
  </w:endnote>
  <w:endnote w:type="continuationSeparator" w:id="0">
    <w:p w:rsidR="00000000" w:rsidRDefault="00F91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B22" w:rsidRDefault="00F91F4B">
      <w:r>
        <w:separator/>
      </w:r>
    </w:p>
  </w:footnote>
  <w:footnote w:type="continuationSeparator" w:id="0">
    <w:p w:rsidR="000A7B22" w:rsidRDefault="00F9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8E4973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98F453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A885B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A7B22"/>
    <w:rsid w:val="004E29B3"/>
    <w:rsid w:val="00590D07"/>
    <w:rsid w:val="00784D58"/>
    <w:rsid w:val="008D6863"/>
    <w:rsid w:val="00B86B75"/>
    <w:rsid w:val="00BC48D5"/>
    <w:rsid w:val="00C36279"/>
    <w:rsid w:val="00E315A3"/>
    <w:rsid w:val="00F91F4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6D0B"/>
  <w15:docId w15:val="{B7C86333-B1C0-4A98-9BD7-4FD2649F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Research-Reports/HKEx-Research-Papers/2023/CCEO_CarbonMkt_202301_c.pdf" TargetMode="External"/><Relationship Id="rId3" Type="http://schemas.openxmlformats.org/officeDocument/2006/relationships/settings" Target="settings.xml"/><Relationship Id="rId7" Type="http://schemas.openxmlformats.org/officeDocument/2006/relationships/hyperlink" Target="http://www.charltonslaw.com.cn/xiang-gang-jiao-yi-suo-you-guan-quan-qiu-tan-shi-chang-yu-xiang-gang-shi-chang-de-ji-yu-de-yan-jiu-bao-g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1195</Words>
  <Characters>6812</Characters>
  <Application>Microsoft Office Word</Application>
  <DocSecurity>0</DocSecurity>
  <Lines>56</Lines>
  <Paragraphs>15</Paragraphs>
  <ScaleCrop>false</ScaleCrop>
  <Company>Charltons</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2023-12-18T09:21:00Z</dcterms:created>
  <dcterms:modified xsi:type="dcterms:W3CDTF">2023-12-18T09:23:00Z</dcterms:modified>
</cp:coreProperties>
</file>