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- 2024年1月25日</w:t>
      </w:r>
    </w:p>
    <w:p>
      <w:pPr>
        <w:pStyle w:val="ReadOnline"/>
      </w:pPr>
      <w:hyperlink r:id="rId9">
        <w:r>
          <w:rPr/>
          <w:t>online version</w:t>
        </w:r>
      </w:hyperlink>
    </w:p>
    <w:p>
      <w:pPr>
        <w:pStyle w:val="Title"/>
      </w:pPr>
      <w:r>
        <w:t>香港行政长官2023年施政报告</w:t>
      </w:r>
    </w:p>
    <w:p>
      <w:pPr>
        <w:pStyle w:val="FirstParagraph"/>
      </w:pPr>
      <w:r>
        <w:t xml:space="preserve">2023年10月25日，香港行政长官李家超发布第二份</w:t>
      </w:r>
      <w:hyperlink r:id="rId20">
        <w:r>
          <w:rPr>
            <w:rStyle w:val="Hyperlink"/>
          </w:rPr>
          <w:t xml:space="preserve">施政报告</w:t>
        </w:r>
      </w:hyperlink>
      <w:r>
        <w:t xml:space="preserve">（2023年香港施政报告），标题为“拼经济谋发展，惠民生添幸福”，以促进经济、促进发展、改善香港市民福祉和促进青年发展为主要目标。</w:t>
      </w:r>
    </w:p>
    <w:p>
      <w:pPr>
        <w:pStyle w:val="TextBody"/>
      </w:pPr>
      <w:r>
        <w:t xml:space="preserve">2023年香港施政报告涵盖的部分范畴简介:</w:t>
      </w:r>
    </w:p>
    <w:p>
      <w:pPr>
        <w:pStyle w:val="TextBody"/>
      </w:pPr>
      <w:r>
        <w:t xml:space="preserve">巩固股票市场竞争力</w:t>
      </w:r>
    </w:p>
    <w:p>
      <w:pPr>
        <w:pStyle w:val="Compact"/>
        <w:numPr>
          <w:numId w:val="1001"/>
          <w:ilvl w:val="0"/>
        </w:numPr>
      </w:pPr>
      <w:r>
        <w:t xml:space="preserve">将股票印花税税率由现时买卖双方各按交易金额支付0.13%，下调至0.1%。</w:t>
      </w:r>
    </w:p>
    <w:p>
      <w:pPr>
        <w:pStyle w:val="Compact"/>
        <w:numPr>
          <w:numId w:val="1001"/>
          <w:ilvl w:val="0"/>
        </w:numPr>
      </w:pPr>
      <w:r>
        <w:t xml:space="preserve">港交所和金融监管机构将展开检讨，透过探索缩窄最低上落价位，令有流动性但受限最低上落价位的股票价格可更反映市况，降低价差。</w:t>
      </w:r>
    </w:p>
    <w:p>
      <w:pPr>
        <w:pStyle w:val="Compact"/>
        <w:numPr>
          <w:numId w:val="1001"/>
          <w:ilvl w:val="0"/>
        </w:numPr>
      </w:pPr>
      <w:r>
        <w:t xml:space="preserve">港交所已就GEM市场改革提出建议并展开咨询。考虑公众意见后，港交所会在2024第一季实施经修订的上市规则。</w:t>
      </w:r>
    </w:p>
    <w:p>
      <w:pPr>
        <w:pStyle w:val="Compact"/>
        <w:numPr>
          <w:numId w:val="1001"/>
          <w:ilvl w:val="0"/>
        </w:numPr>
      </w:pPr>
      <w:r>
        <w:t xml:space="preserve">强化离岸人民币业务，推动落实离岸国债期货的措施，丰富人民币投资产品种类，强化香港离岸人民币中心地位。</w:t>
      </w:r>
    </w:p>
    <w:p>
      <w:pPr>
        <w:pStyle w:val="Compact"/>
        <w:numPr>
          <w:numId w:val="1001"/>
          <w:ilvl w:val="0"/>
        </w:numPr>
      </w:pPr>
      <w:r>
        <w:t xml:space="preserve">在明年内内设立全新的综合基金平台，扩阔香港的基金销售网络，提升市场效率及降低交易成本。</w:t>
      </w:r>
    </w:p>
    <w:p>
      <w:pPr>
        <w:pStyle w:val="FirstParagraph"/>
      </w:pPr>
      <w:r>
        <w:t xml:space="preserve">支援香港中小企业</w:t>
      </w:r>
    </w:p>
    <w:p>
      <w:pPr>
        <w:pStyle w:val="Compact"/>
        <w:numPr>
          <w:numId w:val="1002"/>
          <w:ilvl w:val="0"/>
        </w:numPr>
      </w:pPr>
      <w:r>
        <w:t xml:space="preserve">成立跨部门「电子商贸发展专责小组」，协助中小企业拓展电子贸易，落实协助中小企业在内地发展电子贸易的政策。</w:t>
      </w:r>
    </w:p>
    <w:p>
      <w:pPr>
        <w:pStyle w:val="Compact"/>
        <w:numPr>
          <w:numId w:val="1002"/>
          <w:ilvl w:val="0"/>
        </w:numPr>
      </w:pPr>
      <w:r>
        <w:t xml:space="preserve">在「中小企融资担保计划」下，提供更灵活的还款方式。</w:t>
      </w:r>
    </w:p>
    <w:p>
      <w:pPr>
        <w:pStyle w:val="Compact"/>
        <w:numPr>
          <w:numId w:val="1002"/>
          <w:ilvl w:val="0"/>
        </w:numPr>
      </w:pPr>
      <w:r>
        <w:t xml:space="preserve">支援中小企数码转型，为零售、餐饮等行业中小企业申请电子支付及其他数码配套方案提供补贴。</w:t>
      </w:r>
    </w:p>
    <w:p>
      <w:pPr>
        <w:pStyle w:val="FirstParagraph"/>
      </w:pPr>
      <w:r>
        <w:t xml:space="preserve">香港作为国际贸易中心的地位</w:t>
      </w:r>
    </w:p>
    <w:p>
      <w:pPr>
        <w:pStyle w:val="Compact"/>
        <w:numPr>
          <w:numId w:val="1003"/>
          <w:ilvl w:val="0"/>
        </w:numPr>
      </w:pPr>
      <w:r>
        <w:t xml:space="preserve">组织更多外访团，包括香港及内地企业，推广商机。</w:t>
      </w:r>
    </w:p>
    <w:p>
      <w:pPr>
        <w:pStyle w:val="Compact"/>
        <w:numPr>
          <w:numId w:val="1003"/>
          <w:ilvl w:val="0"/>
        </w:numPr>
      </w:pPr>
      <w:r>
        <w:t xml:space="preserve">开设更多「一带一路」沿线商贸办事处，在新兴国家加强贸易推广。</w:t>
      </w:r>
    </w:p>
    <w:p>
      <w:pPr>
        <w:pStyle w:val="Compact"/>
        <w:numPr>
          <w:numId w:val="1003"/>
          <w:ilvl w:val="0"/>
        </w:numPr>
      </w:pPr>
      <w:r>
        <w:t xml:space="preserve">会继续巩固与东盟、中东等市场的商贸合作，争取早日加入RCEP。</w:t>
      </w:r>
    </w:p>
    <w:p>
      <w:pPr>
        <w:pStyle w:val="FirstParagraph"/>
      </w:pPr>
      <w:r>
        <w:t xml:space="preserve">2023年香港施政报告，香港物业买家的印花税将获减免</w:t>
      </w:r>
    </w:p>
    <w:p>
      <w:pPr>
        <w:pStyle w:val="Compact"/>
        <w:numPr>
          <w:numId w:val="1004"/>
          <w:ilvl w:val="0"/>
        </w:numPr>
      </w:pPr>
      <w:r>
        <w:t xml:space="preserve">买家印花税和新住宅印花税的税率减半，两者均会由15%减至7.5%。这安排有助减轻已拥有住宅物业的香港永久性居民再购买住宅物业时的财政负担，以及非香港永久性居民购买住宅物业的成本。</w:t>
      </w:r>
    </w:p>
    <w:p>
      <w:pPr>
        <w:pStyle w:val="Compact"/>
        <w:numPr>
          <w:numId w:val="1004"/>
          <w:ilvl w:val="0"/>
        </w:numPr>
      </w:pPr>
      <w:r>
        <w:t xml:space="preserve">把额外印花税的适用年期由三年缩短至两年。</w:t>
      </w:r>
    </w:p>
    <w:p>
      <w:pPr>
        <w:pStyle w:val="Compact"/>
        <w:numPr>
          <w:numId w:val="1004"/>
          <w:ilvl w:val="0"/>
        </w:numPr>
      </w:pPr>
      <w:r>
        <w:t xml:space="preserve">为海外人才的置业印花税实施「先免后征」。</w:t>
      </w:r>
    </w:p>
    <w:p>
      <w:pPr>
        <w:pStyle w:val="FirstParagraph"/>
      </w:pPr>
      <w:r>
        <w:t xml:space="preserve">2023年香港施政报告之国家安全</w:t>
      </w:r>
    </w:p>
    <w:p>
      <w:pPr>
        <w:pStyle w:val="Compact"/>
        <w:numPr>
          <w:numId w:val="1005"/>
          <w:ilvl w:val="0"/>
        </w:numPr>
      </w:pPr>
      <w:r>
        <w:t xml:space="preserve">有关国家安全《基本法》第二十三条立法预计于2024年完成。</w:t>
      </w:r>
    </w:p>
    <w:p>
      <w:pPr>
        <w:pStyle w:val="Compact"/>
        <w:numPr>
          <w:numId w:val="1005"/>
          <w:ilvl w:val="0"/>
        </w:numPr>
      </w:pPr>
      <w:r>
        <w:t xml:space="preserve">为加强关键基础设施的网络安全，包括能源、通讯、交通运输、金融机构等以解决全球网络攻击风险。2024年内向立法会提交立法草案。</w:t>
      </w:r>
    </w:p>
    <w:p>
      <w:pPr>
        <w:pStyle w:val="FirstParagraph"/>
      </w:pPr>
      <w:r>
        <w:t xml:space="preserve">2023年香港施政报告之提升香港竞争力</w:t>
      </w:r>
    </w:p>
    <w:p>
      <w:pPr>
        <w:pStyle w:val="Compact"/>
        <w:numPr>
          <w:numId w:val="1006"/>
          <w:ilvl w:val="0"/>
        </w:numPr>
      </w:pPr>
      <w:r>
        <w:t xml:space="preserve">发展「总部经济」，吸引海内外公司到港设立总部╱分部业务。</w:t>
      </w:r>
    </w:p>
    <w:p>
      <w:pPr>
        <w:pStyle w:val="Compact"/>
        <w:numPr>
          <w:numId w:val="1006"/>
          <w:ilvl w:val="0"/>
        </w:numPr>
      </w:pPr>
      <w:r>
        <w:t xml:space="preserve">投资推广署和港交所会主动接触在外地注册的香港主要上市公司，鼓励它们迁册到香港。政府计划引入公司迁册机制，于2024年上半年提交立法建议。</w:t>
      </w:r>
    </w:p>
    <w:p>
      <w:pPr>
        <w:pStyle w:val="Compact"/>
        <w:numPr>
          <w:numId w:val="1006"/>
          <w:ilvl w:val="0"/>
        </w:numPr>
      </w:pPr>
      <w:r>
        <w:t xml:space="preserve">外国在港公司人员可「一签多行」到内地。</w:t>
      </w:r>
    </w:p>
    <w:p>
      <w:pPr>
        <w:pStyle w:val="Compact"/>
        <w:numPr>
          <w:numId w:val="1006"/>
          <w:ilvl w:val="0"/>
        </w:numPr>
      </w:pPr>
      <w:r>
        <w:t xml:space="preserve">放宽越南、老挝、尼泊尔人才就业签证政策。</w:t>
      </w:r>
    </w:p>
    <w:p>
      <w:pPr>
        <w:pStyle w:val="Compact"/>
        <w:numPr>
          <w:numId w:val="1006"/>
          <w:ilvl w:val="0"/>
        </w:numPr>
      </w:pPr>
      <w:r>
        <w:t xml:space="preserve">落实「资本投资者入境计划」，在香港投资于股票、基金、 债券等资产（房地产除外）3,000万元或以上的合资格投资者， 可以透过计划申请来港。</w:t>
      </w:r>
    </w:p>
    <w:p>
      <w:pPr>
        <w:pStyle w:val="Compact"/>
        <w:numPr>
          <w:numId w:val="1006"/>
          <w:ilvl w:val="0"/>
        </w:numPr>
      </w:pPr>
      <w:r>
        <w:t xml:space="preserve">建立「职专毕业生留港计划」，使符合条件的学生毕业后可留港一年，寻找工作。</w:t>
      </w:r>
    </w:p>
    <w:p>
      <w:pPr>
        <w:pStyle w:val="FirstParagraph"/>
      </w:pPr>
      <w:r>
        <w:t xml:space="preserve">香港“鼓励生育，缔造有利育儿环境”</w:t>
      </w:r>
    </w:p>
    <w:p>
      <w:pPr>
        <w:pStyle w:val="Compact"/>
        <w:numPr>
          <w:numId w:val="1007"/>
          <w:ilvl w:val="0"/>
        </w:numPr>
      </w:pPr>
      <w:r>
        <w:t xml:space="preserve">向每名于今日起在香港出生而其父或母为香港永久性居民的新生婴儿发放一笔过2万元现金奖励，为期三年。</w:t>
      </w:r>
    </w:p>
    <w:p>
      <w:pPr>
        <w:pStyle w:val="Compact"/>
        <w:numPr>
          <w:numId w:val="1007"/>
          <w:ilvl w:val="0"/>
        </w:numPr>
      </w:pPr>
      <w:r>
        <w:t xml:space="preserve">提高与「居所贷款利息扣除」或「住宅租金税项扣除」最高限额，如纳税人与在今日或之后首个出生的子女同住，其限额由10万元提高两成至12万元，直至该名同住子女满18岁为止。</w:t>
      </w:r>
    </w:p>
    <w:p>
      <w:pPr>
        <w:pStyle w:val="Compact"/>
        <w:numPr>
          <w:numId w:val="1007"/>
          <w:ilvl w:val="0"/>
        </w:numPr>
      </w:pPr>
      <w:r>
        <w:t xml:space="preserve">推出「家有初生优先选楼计划」，增加新生婴儿家庭成功购买资助出售单位的机会。</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- 2024年1月25日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www.policyaddress.gov.hk/2023/public/pdf/policy/policy-full_tc.pdf" TargetMode="External"/><Relationship Id="rId9" Type="http://schemas.openxmlformats.org/officeDocument/2006/relationships/hyperlink" Target="http://www.charltonslaw.com.cn/xiang-gang-xing-zheng-chang-guan-2023nian-shi-zheng-bao-g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w.policyaddress.gov.hk/2023/public/pdf/policy/policy-full_t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2024-01-25T07:29:07Z</dcterms:created>
  <dcterms:modified xsi:type="dcterms:W3CDTF">2024-01-25T07:29:07Z</dcterms:modified>
</cp:coreProperties>
</file>

<file path=docProps/custom.xml><?xml version="1.0" encoding="utf-8"?>
<Properties xmlns="http://schemas.openxmlformats.org/officeDocument/2006/custom-properties" xmlns:vt="http://schemas.openxmlformats.org/officeDocument/2006/docPropsVTypes"/>
</file>