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F3B" w:rsidRDefault="00F5313D">
      <w:pPr>
        <w:pStyle w:val="BlackStrips"/>
      </w:pPr>
      <w:r>
        <w:t xml:space="preserve">Charltons - </w:t>
      </w:r>
      <w:r>
        <w:t>香港法律</w:t>
      </w:r>
      <w:r>
        <w:t xml:space="preserve"> - 2024</w:t>
      </w:r>
      <w:r>
        <w:t>年</w:t>
      </w:r>
      <w:r>
        <w:t>2</w:t>
      </w:r>
      <w:r>
        <w:t>月</w:t>
      </w:r>
      <w:r>
        <w:t>28</w:t>
      </w:r>
      <w:r>
        <w:t>日</w:t>
      </w:r>
    </w:p>
    <w:p w:rsidR="00C57F3B" w:rsidRDefault="00F5313D">
      <w:pPr>
        <w:pStyle w:val="ReadOnline"/>
        <w:rPr>
          <w:lang w:eastAsia="zh-CN"/>
        </w:rPr>
      </w:pPr>
      <w:hyperlink r:id="rId7">
        <w:r>
          <w:rPr>
            <w:lang w:eastAsia="zh-CN"/>
          </w:rPr>
          <w:t>online version</w:t>
        </w:r>
      </w:hyperlink>
    </w:p>
    <w:p w:rsidR="00C57F3B" w:rsidRDefault="00F5313D">
      <w:pPr>
        <w:pStyle w:val="Title"/>
        <w:rPr>
          <w:lang w:eastAsia="zh-CN"/>
        </w:rPr>
      </w:pPr>
      <w:r>
        <w:rPr>
          <w:lang w:eastAsia="zh-CN"/>
        </w:rPr>
        <w:t>香港联交所就环境、社会及管治报告的强制性气候披露</w:t>
      </w:r>
    </w:p>
    <w:p w:rsidR="00C57F3B" w:rsidRDefault="00F5313D">
      <w:pPr>
        <w:pStyle w:val="FirstParagraph"/>
        <w:rPr>
          <w:lang w:eastAsia="zh-CN"/>
        </w:rPr>
      </w:pPr>
      <w:r>
        <w:rPr>
          <w:lang w:eastAsia="zh-CN"/>
        </w:rPr>
        <w:t>2023</w:t>
      </w:r>
      <w:r>
        <w:rPr>
          <w:lang w:eastAsia="zh-CN"/>
        </w:rPr>
        <w:t>年</w:t>
      </w:r>
      <w:r>
        <w:rPr>
          <w:lang w:eastAsia="zh-CN"/>
        </w:rPr>
        <w:t>4</w:t>
      </w:r>
      <w:r>
        <w:rPr>
          <w:lang w:eastAsia="zh-CN"/>
        </w:rPr>
        <w:t>月</w:t>
      </w:r>
      <w:r>
        <w:rPr>
          <w:lang w:eastAsia="zh-CN"/>
        </w:rPr>
        <w:t>14</w:t>
      </w:r>
      <w:r>
        <w:rPr>
          <w:lang w:eastAsia="zh-CN"/>
        </w:rPr>
        <w:t>日，香港联合交易所有限公司</w:t>
      </w:r>
      <w:r>
        <w:rPr>
          <w:lang w:eastAsia="zh-CN"/>
        </w:rPr>
        <w:t>(</w:t>
      </w:r>
      <w:r>
        <w:rPr>
          <w:b/>
          <w:lang w:eastAsia="zh-CN"/>
        </w:rPr>
        <w:t>联交所</w:t>
      </w:r>
      <w:r>
        <w:rPr>
          <w:lang w:eastAsia="zh-CN"/>
        </w:rPr>
        <w:t>)</w:t>
      </w:r>
      <w:r>
        <w:rPr>
          <w:lang w:eastAsia="zh-CN"/>
        </w:rPr>
        <w:t>刊发</w:t>
      </w:r>
      <w:hyperlink r:id="rId8">
        <w:r>
          <w:rPr>
            <w:lang w:eastAsia="zh-CN"/>
          </w:rPr>
          <w:t>谘询文件</w:t>
        </w:r>
      </w:hyperlink>
      <w:r>
        <w:rPr>
          <w:lang w:eastAsia="zh-CN"/>
        </w:rPr>
        <w:t>，拟议强制所有上市发行人在其年度环境、社会及管治报告中作出与气候有关的披露，并在《主板上市规则》附录</w:t>
      </w:r>
      <w:r>
        <w:rPr>
          <w:lang w:eastAsia="zh-CN"/>
        </w:rPr>
        <w:t>27</w:t>
      </w:r>
      <w:r>
        <w:rPr>
          <w:lang w:eastAsia="zh-CN"/>
        </w:rPr>
        <w:t>的新</w:t>
      </w:r>
      <w:r>
        <w:rPr>
          <w:lang w:eastAsia="zh-CN"/>
        </w:rPr>
        <w:t>D</w:t>
      </w:r>
      <w:r>
        <w:rPr>
          <w:lang w:eastAsia="zh-CN"/>
        </w:rPr>
        <w:t>部及《</w:t>
      </w:r>
      <w:r>
        <w:rPr>
          <w:lang w:eastAsia="zh-CN"/>
        </w:rPr>
        <w:t>GEM</w:t>
      </w:r>
      <w:r>
        <w:rPr>
          <w:lang w:eastAsia="zh-CN"/>
        </w:rPr>
        <w:t>上市规则》附录</w:t>
      </w:r>
      <w:r>
        <w:rPr>
          <w:lang w:eastAsia="zh-CN"/>
        </w:rPr>
        <w:t>20</w:t>
      </w:r>
      <w:r>
        <w:rPr>
          <w:lang w:eastAsia="zh-CN"/>
        </w:rPr>
        <w:t>中，根据国际可持续发展</w:t>
      </w:r>
      <w:r>
        <w:rPr>
          <w:lang w:eastAsia="zh-CN"/>
        </w:rPr>
        <w:t>标准委员会的气候标准</w:t>
      </w:r>
      <w:hyperlink w:anchor="footnote-598-1">
        <w:r>
          <w:rPr>
            <w:vertAlign w:val="superscript"/>
            <w:lang w:eastAsia="zh-CN"/>
          </w:rPr>
          <w:t>1</w:t>
        </w:r>
      </w:hyperlink>
      <w:r>
        <w:rPr>
          <w:lang w:eastAsia="zh-CN"/>
        </w:rPr>
        <w:t>，引入更多与气候有关的披露。两个附录将更名为</w:t>
      </w:r>
      <w:r>
        <w:rPr>
          <w:lang w:eastAsia="zh-CN"/>
        </w:rPr>
        <w:t>“</w:t>
      </w:r>
      <w:r>
        <w:rPr>
          <w:lang w:eastAsia="zh-CN"/>
        </w:rPr>
        <w:t>环境、社会及管治报告守则</w:t>
      </w:r>
      <w:r>
        <w:rPr>
          <w:lang w:eastAsia="zh-CN"/>
        </w:rPr>
        <w:t>”</w:t>
      </w:r>
      <w:r>
        <w:rPr>
          <w:lang w:eastAsia="zh-CN"/>
        </w:rPr>
        <w:t>。</w:t>
      </w:r>
    </w:p>
    <w:p w:rsidR="00C57F3B" w:rsidRDefault="00F5313D">
      <w:pPr>
        <w:pStyle w:val="BodyText"/>
      </w:pPr>
      <w:r>
        <w:rPr>
          <w:lang w:eastAsia="zh-CN"/>
        </w:rPr>
        <w:t>拟议的新的气候相关信息披露涵盖四个关键领域：治理、战略、风险管理和指标与目标。</w:t>
      </w:r>
      <w:r>
        <w:t>主要建议包括：</w:t>
      </w:r>
    </w:p>
    <w:p w:rsidR="00C57F3B" w:rsidRDefault="00F5313D">
      <w:pPr>
        <w:pStyle w:val="Compact"/>
        <w:numPr>
          <w:ilvl w:val="0"/>
          <w:numId w:val="3"/>
        </w:numPr>
        <w:rPr>
          <w:lang w:eastAsia="zh-CN"/>
        </w:rPr>
      </w:pPr>
      <w:r>
        <w:rPr>
          <w:lang w:eastAsia="zh-CN"/>
        </w:rPr>
        <w:t>管治：披露发行人用于监察及管理气候相关风险及机遇的管治流程、监控和程序；</w:t>
      </w:r>
    </w:p>
    <w:p w:rsidR="00C57F3B" w:rsidRDefault="00F5313D">
      <w:pPr>
        <w:pStyle w:val="Compact"/>
        <w:numPr>
          <w:ilvl w:val="0"/>
          <w:numId w:val="3"/>
        </w:numPr>
      </w:pPr>
      <w:r>
        <w:t>策略：</w:t>
      </w:r>
    </w:p>
    <w:p w:rsidR="00C57F3B" w:rsidRDefault="00F5313D">
      <w:pPr>
        <w:pStyle w:val="Compact"/>
        <w:numPr>
          <w:ilvl w:val="1"/>
          <w:numId w:val="4"/>
        </w:numPr>
        <w:rPr>
          <w:lang w:eastAsia="zh-CN"/>
        </w:rPr>
      </w:pPr>
      <w:r>
        <w:rPr>
          <w:lang w:eastAsia="zh-CN"/>
        </w:rPr>
        <w:t>披露发行人面临的气候相关风险及（如适用）机遇及其对发行人业务运营、业务模式和策略的影响；</w:t>
      </w:r>
    </w:p>
    <w:p w:rsidR="00C57F3B" w:rsidRDefault="00F5313D">
      <w:pPr>
        <w:pStyle w:val="Compact"/>
        <w:numPr>
          <w:ilvl w:val="1"/>
          <w:numId w:val="4"/>
        </w:numPr>
        <w:rPr>
          <w:lang w:eastAsia="zh-CN"/>
        </w:rPr>
      </w:pPr>
      <w:r>
        <w:rPr>
          <w:lang w:eastAsia="zh-CN"/>
        </w:rPr>
        <w:t>披露发行人就在上述中识别的气候相关风险及机遇的应对措施，包括发行人业务模式</w:t>
      </w:r>
      <w:r>
        <w:rPr>
          <w:lang w:eastAsia="zh-CN"/>
        </w:rPr>
        <w:t>和策略的任何变动以及为应对此类风险和机遇而采取的任何适应和减缓措施及设定的任何气候相关目标；</w:t>
      </w:r>
    </w:p>
    <w:p w:rsidR="00C57F3B" w:rsidRDefault="00F5313D">
      <w:pPr>
        <w:pStyle w:val="Compact"/>
        <w:numPr>
          <w:ilvl w:val="1"/>
          <w:numId w:val="4"/>
        </w:numPr>
        <w:rPr>
          <w:lang w:eastAsia="zh-CN"/>
        </w:rPr>
      </w:pPr>
      <w:r>
        <w:rPr>
          <w:lang w:eastAsia="zh-CN"/>
        </w:rPr>
        <w:t>披露发行人的策略及运营抵御气候相关变化、发展或不确定因素的能力；及</w:t>
      </w:r>
    </w:p>
    <w:p w:rsidR="00C57F3B" w:rsidRDefault="00F5313D">
      <w:pPr>
        <w:pStyle w:val="Compact"/>
        <w:numPr>
          <w:ilvl w:val="1"/>
          <w:numId w:val="4"/>
        </w:numPr>
        <w:rPr>
          <w:lang w:eastAsia="zh-CN"/>
        </w:rPr>
      </w:pPr>
      <w:r>
        <w:rPr>
          <w:lang w:eastAsia="zh-CN"/>
        </w:rPr>
        <w:t>披露与气候有关的风险和机遇</w:t>
      </w:r>
      <w:r>
        <w:rPr>
          <w:lang w:eastAsia="zh-CN"/>
        </w:rPr>
        <w:t>(</w:t>
      </w:r>
      <w:r>
        <w:rPr>
          <w:lang w:eastAsia="zh-CN"/>
        </w:rPr>
        <w:t>如有</w:t>
      </w:r>
      <w:r>
        <w:rPr>
          <w:lang w:eastAsia="zh-CN"/>
        </w:rPr>
        <w:t>)</w:t>
      </w:r>
      <w:r>
        <w:rPr>
          <w:lang w:eastAsia="zh-CN"/>
        </w:rPr>
        <w:t>对当前和预期的财务影响；</w:t>
      </w:r>
    </w:p>
    <w:p w:rsidR="00C57F3B" w:rsidRDefault="00F5313D">
      <w:pPr>
        <w:pStyle w:val="Compact"/>
        <w:numPr>
          <w:ilvl w:val="0"/>
          <w:numId w:val="3"/>
        </w:numPr>
        <w:rPr>
          <w:lang w:eastAsia="zh-CN"/>
        </w:rPr>
      </w:pPr>
      <w:r>
        <w:rPr>
          <w:lang w:eastAsia="zh-CN"/>
        </w:rPr>
        <w:t>风险管理：披露发行人用于识别、评估和管理气候相关风险及（如适用）机遇的流程；</w:t>
      </w:r>
    </w:p>
    <w:p w:rsidR="00C57F3B" w:rsidRDefault="00F5313D">
      <w:pPr>
        <w:pStyle w:val="Compact"/>
        <w:numPr>
          <w:ilvl w:val="0"/>
          <w:numId w:val="3"/>
        </w:numPr>
        <w:rPr>
          <w:lang w:eastAsia="zh-CN"/>
        </w:rPr>
      </w:pPr>
      <w:r>
        <w:rPr>
          <w:lang w:eastAsia="zh-CN"/>
        </w:rPr>
        <w:t>指标及目标：发行人应披露其用于衡量、监测和管理重大气候相关风险和机遇的指标和目标，以及如何评估业绩。这些指标包括温室气体</w:t>
      </w:r>
      <w:r>
        <w:rPr>
          <w:lang w:eastAsia="zh-CN"/>
        </w:rPr>
        <w:t>(</w:t>
      </w:r>
      <w:r>
        <w:rPr>
          <w:b/>
          <w:lang w:eastAsia="zh-CN"/>
        </w:rPr>
        <w:t>GHG</w:t>
      </w:r>
      <w:r>
        <w:rPr>
          <w:lang w:eastAsia="zh-CN"/>
        </w:rPr>
        <w:t>)</w:t>
      </w:r>
      <w:r>
        <w:rPr>
          <w:lang w:eastAsia="zh-CN"/>
        </w:rPr>
        <w:t>排放、其他跨行业指标和内部碳价。</w:t>
      </w:r>
    </w:p>
    <w:p w:rsidR="00C57F3B" w:rsidRDefault="00F5313D">
      <w:pPr>
        <w:pStyle w:val="FirstParagraph"/>
        <w:rPr>
          <w:lang w:eastAsia="zh-CN"/>
        </w:rPr>
      </w:pPr>
      <w:r>
        <w:rPr>
          <w:lang w:eastAsia="zh-CN"/>
        </w:rPr>
        <w:t>《上市规则》的拟议修订预计将于</w:t>
      </w:r>
      <w:r>
        <w:rPr>
          <w:lang w:eastAsia="zh-CN"/>
        </w:rPr>
        <w:t>2024</w:t>
      </w:r>
      <w:r>
        <w:rPr>
          <w:lang w:eastAsia="zh-CN"/>
        </w:rPr>
        <w:t>年</w:t>
      </w:r>
      <w:r>
        <w:rPr>
          <w:lang w:eastAsia="zh-CN"/>
        </w:rPr>
        <w:t>1</w:t>
      </w:r>
      <w:r>
        <w:rPr>
          <w:lang w:eastAsia="zh-CN"/>
        </w:rPr>
        <w:t>月</w:t>
      </w:r>
      <w:r>
        <w:rPr>
          <w:lang w:eastAsia="zh-CN"/>
        </w:rPr>
        <w:t>1</w:t>
      </w:r>
      <w:r>
        <w:rPr>
          <w:lang w:eastAsia="zh-CN"/>
        </w:rPr>
        <w:t>日</w:t>
      </w:r>
      <w:r>
        <w:rPr>
          <w:lang w:eastAsia="zh-CN"/>
        </w:rPr>
        <w:t>生效。鉴于发行人可能需要更多时间来符合某些披露要求</w:t>
      </w:r>
      <w:r>
        <w:rPr>
          <w:lang w:eastAsia="zh-CN"/>
        </w:rPr>
        <w:t>(</w:t>
      </w:r>
      <w:r>
        <w:rPr>
          <w:lang w:eastAsia="zh-CN"/>
        </w:rPr>
        <w:t>例如气候相关风险和机遇的财务影响、范围</w:t>
      </w:r>
      <w:r>
        <w:rPr>
          <w:lang w:eastAsia="zh-CN"/>
        </w:rPr>
        <w:t>3</w:t>
      </w:r>
      <w:r>
        <w:rPr>
          <w:lang w:eastAsia="zh-CN"/>
        </w:rPr>
        <w:t>排放及其他跨行业指标</w:t>
      </w:r>
      <w:r>
        <w:rPr>
          <w:lang w:eastAsia="zh-CN"/>
        </w:rPr>
        <w:t>)</w:t>
      </w:r>
      <w:r>
        <w:rPr>
          <w:lang w:eastAsia="zh-CN"/>
        </w:rPr>
        <w:t>，联交所建议在首两个报告年度就这些披露作出过渡规定。从</w:t>
      </w:r>
      <w:r>
        <w:rPr>
          <w:lang w:eastAsia="zh-CN"/>
        </w:rPr>
        <w:t>2026</w:t>
      </w:r>
      <w:r>
        <w:rPr>
          <w:lang w:eastAsia="zh-CN"/>
        </w:rPr>
        <w:t>年</w:t>
      </w:r>
      <w:r>
        <w:rPr>
          <w:lang w:eastAsia="zh-CN"/>
        </w:rPr>
        <w:t>1</w:t>
      </w:r>
      <w:r>
        <w:rPr>
          <w:lang w:eastAsia="zh-CN"/>
        </w:rPr>
        <w:t>月</w:t>
      </w:r>
      <w:r>
        <w:rPr>
          <w:lang w:eastAsia="zh-CN"/>
        </w:rPr>
        <w:t>1</w:t>
      </w:r>
      <w:r>
        <w:rPr>
          <w:lang w:eastAsia="zh-CN"/>
        </w:rPr>
        <w:t>日或之后开始的财政年度必须完全遵守。</w:t>
      </w:r>
    </w:p>
    <w:p w:rsidR="00C57F3B" w:rsidRDefault="00F5313D">
      <w:pPr>
        <w:pStyle w:val="BodyText"/>
        <w:rPr>
          <w:lang w:eastAsia="zh-CN"/>
        </w:rPr>
      </w:pPr>
      <w:r>
        <w:rPr>
          <w:lang w:eastAsia="zh-CN"/>
        </w:rPr>
        <w:t>回应谘询文件的截止日期为</w:t>
      </w:r>
      <w:r>
        <w:rPr>
          <w:lang w:eastAsia="zh-CN"/>
        </w:rPr>
        <w:t>2023</w:t>
      </w:r>
      <w:r>
        <w:rPr>
          <w:lang w:eastAsia="zh-CN"/>
        </w:rPr>
        <w:t>年</w:t>
      </w:r>
      <w:r>
        <w:rPr>
          <w:lang w:eastAsia="zh-CN"/>
        </w:rPr>
        <w:t>7</w:t>
      </w:r>
      <w:r>
        <w:rPr>
          <w:lang w:eastAsia="zh-CN"/>
        </w:rPr>
        <w:t>月</w:t>
      </w:r>
      <w:r>
        <w:rPr>
          <w:lang w:eastAsia="zh-CN"/>
        </w:rPr>
        <w:t>14</w:t>
      </w:r>
      <w:r>
        <w:rPr>
          <w:lang w:eastAsia="zh-CN"/>
        </w:rPr>
        <w:t>日。</w:t>
      </w:r>
    </w:p>
    <w:p w:rsidR="00C57F3B" w:rsidRDefault="00F5313D">
      <w:pPr>
        <w:pStyle w:val="BodyText"/>
        <w:rPr>
          <w:lang w:eastAsia="zh-CN"/>
        </w:rPr>
      </w:pPr>
      <w:r>
        <w:rPr>
          <w:lang w:eastAsia="zh-CN"/>
        </w:rPr>
        <w:t>香港环境、社会及管治报告规定的发展</w:t>
      </w:r>
    </w:p>
    <w:p w:rsidR="00C57F3B" w:rsidRDefault="00F5313D">
      <w:pPr>
        <w:pStyle w:val="BodyText"/>
        <w:rPr>
          <w:lang w:eastAsia="zh-CN"/>
        </w:rPr>
      </w:pPr>
      <w:r>
        <w:rPr>
          <w:lang w:eastAsia="zh-CN"/>
        </w:rPr>
        <w:t>在现有的报告框架下，汇报规定分为两个层面：强制披露规定及「不遵守就解释」条文，「不遵守就解释」条文现涵盖「环境」主要范畴下的四个层面</w:t>
      </w:r>
      <w:hyperlink w:anchor="footnote-598-2">
        <w:r>
          <w:rPr>
            <w:vertAlign w:val="superscript"/>
            <w:lang w:eastAsia="zh-CN"/>
          </w:rPr>
          <w:t>2</w:t>
        </w:r>
      </w:hyperlink>
      <w:r>
        <w:rPr>
          <w:lang w:eastAsia="zh-CN"/>
        </w:rPr>
        <w:t>及「社会」主要范畴下的八个层面。</w:t>
      </w:r>
      <w:hyperlink w:anchor="footnote-598-3">
        <w:r>
          <w:rPr>
            <w:vertAlign w:val="superscript"/>
            <w:lang w:eastAsia="zh-CN"/>
          </w:rPr>
          <w:t>3</w:t>
        </w:r>
      </w:hyperlink>
    </w:p>
    <w:p w:rsidR="00C57F3B" w:rsidRDefault="00F5313D">
      <w:pPr>
        <w:pStyle w:val="BodyText"/>
        <w:rPr>
          <w:lang w:eastAsia="zh-CN"/>
        </w:rPr>
      </w:pPr>
      <w:r>
        <w:rPr>
          <w:lang w:eastAsia="zh-CN"/>
        </w:rPr>
        <w:t>为配合气候相关披露准则的国际发展，联交所近年已多次改善其环境、社会及管治汇报架构。其中包括在</w:t>
      </w:r>
      <w:r>
        <w:rPr>
          <w:lang w:eastAsia="zh-CN"/>
        </w:rPr>
        <w:t>2020</w:t>
      </w:r>
      <w:r>
        <w:rPr>
          <w:lang w:eastAsia="zh-CN"/>
        </w:rPr>
        <w:t>年</w:t>
      </w:r>
      <w:r>
        <w:rPr>
          <w:lang w:eastAsia="zh-CN"/>
        </w:rPr>
        <w:t>7</w:t>
      </w:r>
      <w:r>
        <w:rPr>
          <w:lang w:eastAsia="zh-CN"/>
        </w:rPr>
        <w:t>月将气候变化相关财务信息披露指南工作小组</w:t>
      </w:r>
      <w:r>
        <w:rPr>
          <w:lang w:eastAsia="zh-CN"/>
        </w:rPr>
        <w:t>(</w:t>
      </w:r>
      <w:r>
        <w:rPr>
          <w:b/>
          <w:lang w:eastAsia="zh-CN"/>
        </w:rPr>
        <w:t>工作小组</w:t>
      </w:r>
      <w:r>
        <w:rPr>
          <w:lang w:eastAsia="zh-CN"/>
        </w:rPr>
        <w:t>)</w:t>
      </w:r>
      <w:r>
        <w:rPr>
          <w:lang w:eastAsia="zh-CN"/>
        </w:rPr>
        <w:t>建议的某些关键要素纳入其</w:t>
      </w:r>
      <w:r>
        <w:rPr>
          <w:lang w:eastAsia="zh-CN"/>
        </w:rPr>
        <w:t>ESG</w:t>
      </w:r>
      <w:r>
        <w:rPr>
          <w:lang w:eastAsia="zh-CN"/>
        </w:rPr>
        <w:t>报告框架。香港绿色和可持续金融跨机构督导小组</w:t>
      </w:r>
      <w:r>
        <w:rPr>
          <w:lang w:eastAsia="zh-CN"/>
        </w:rPr>
        <w:t>(</w:t>
      </w:r>
      <w:r>
        <w:rPr>
          <w:b/>
          <w:lang w:eastAsia="zh-CN"/>
        </w:rPr>
        <w:t>督导小组</w:t>
      </w:r>
      <w:r>
        <w:rPr>
          <w:lang w:eastAsia="zh-CN"/>
        </w:rPr>
        <w:t>)</w:t>
      </w:r>
      <w:r>
        <w:rPr>
          <w:lang w:eastAsia="zh-CN"/>
        </w:rPr>
        <w:t>亦宣布了一项目标，要求金融业在</w:t>
      </w:r>
      <w:r>
        <w:rPr>
          <w:lang w:eastAsia="zh-CN"/>
        </w:rPr>
        <w:t>2025</w:t>
      </w:r>
      <w:r>
        <w:rPr>
          <w:lang w:eastAsia="zh-CN"/>
        </w:rPr>
        <w:t>年之前实现与工作小组一致的强制性气候相关披露。</w:t>
      </w:r>
    </w:p>
    <w:p w:rsidR="00C57F3B" w:rsidRDefault="00F5313D">
      <w:pPr>
        <w:pStyle w:val="BodyText"/>
        <w:rPr>
          <w:lang w:eastAsia="zh-CN"/>
        </w:rPr>
      </w:pPr>
      <w:r>
        <w:rPr>
          <w:lang w:eastAsia="zh-CN"/>
        </w:rPr>
        <w:t>2022</w:t>
      </w:r>
      <w:r>
        <w:rPr>
          <w:lang w:eastAsia="zh-CN"/>
        </w:rPr>
        <w:t>年</w:t>
      </w:r>
      <w:r>
        <w:rPr>
          <w:lang w:eastAsia="zh-CN"/>
        </w:rPr>
        <w:t>3</w:t>
      </w:r>
      <w:r>
        <w:rPr>
          <w:lang w:eastAsia="zh-CN"/>
        </w:rPr>
        <w:t>月，国际可持续标准委员会</w:t>
      </w:r>
      <w:r>
        <w:rPr>
          <w:lang w:eastAsia="zh-CN"/>
        </w:rPr>
        <w:t>(</w:t>
      </w:r>
      <w:r>
        <w:rPr>
          <w:b/>
          <w:lang w:eastAsia="zh-CN"/>
        </w:rPr>
        <w:t>ISSB</w:t>
      </w:r>
      <w:r>
        <w:rPr>
          <w:lang w:eastAsia="zh-CN"/>
        </w:rPr>
        <w:t>)</w:t>
      </w:r>
      <w:r>
        <w:rPr>
          <w:lang w:eastAsia="zh-CN"/>
        </w:rPr>
        <w:t>发布了</w:t>
      </w:r>
      <w:r>
        <w:rPr>
          <w:lang w:eastAsia="zh-CN"/>
        </w:rPr>
        <w:t>ISSB</w:t>
      </w:r>
      <w:r>
        <w:rPr>
          <w:lang w:eastAsia="zh-CN"/>
        </w:rPr>
        <w:t>气候标准和</w:t>
      </w:r>
      <w:r>
        <w:rPr>
          <w:lang w:eastAsia="zh-CN"/>
        </w:rPr>
        <w:t>ISSB</w:t>
      </w:r>
      <w:r>
        <w:rPr>
          <w:lang w:eastAsia="zh-CN"/>
        </w:rPr>
        <w:t>通用标准的</w:t>
      </w:r>
      <w:hyperlink r:id="rId9">
        <w:r>
          <w:rPr>
            <w:lang w:eastAsia="zh-CN"/>
          </w:rPr>
          <w:t>征求意见稿</w:t>
        </w:r>
      </w:hyperlink>
      <w:r>
        <w:rPr>
          <w:lang w:eastAsia="zh-CN"/>
        </w:rPr>
        <w:t>。基于</w:t>
      </w:r>
      <w:r>
        <w:rPr>
          <w:lang w:eastAsia="zh-CN"/>
        </w:rPr>
        <w:t>TCFD</w:t>
      </w:r>
      <w:r>
        <w:rPr>
          <w:lang w:eastAsia="zh-CN"/>
        </w:rPr>
        <w:t>建议的原则，</w:t>
      </w:r>
      <w:r>
        <w:rPr>
          <w:lang w:eastAsia="zh-CN"/>
        </w:rPr>
        <w:t>ISSB</w:t>
      </w:r>
      <w:r>
        <w:rPr>
          <w:lang w:eastAsia="zh-CN"/>
        </w:rPr>
        <w:t>气候标准将成为可持续发展相关披露的全球基准，以满足企业对气候和其他</w:t>
      </w:r>
      <w:r>
        <w:rPr>
          <w:lang w:eastAsia="zh-CN"/>
        </w:rPr>
        <w:t>ESG</w:t>
      </w:r>
      <w:r>
        <w:rPr>
          <w:lang w:eastAsia="zh-CN"/>
        </w:rPr>
        <w:t>问题上透明、一致和可比较数据的日益增长的需求。在考虑了反馈意见并进行了一系</w:t>
      </w:r>
      <w:r>
        <w:rPr>
          <w:lang w:eastAsia="zh-CN"/>
        </w:rPr>
        <w:t>列审议后，最终标准预计将于</w:t>
      </w:r>
      <w:r>
        <w:rPr>
          <w:lang w:eastAsia="zh-CN"/>
        </w:rPr>
        <w:t>2023</w:t>
      </w:r>
      <w:r>
        <w:rPr>
          <w:lang w:eastAsia="zh-CN"/>
        </w:rPr>
        <w:t>年第二季度末发布。联交所对《上市规则》的最新修订建议主要采用国际标准理事会</w:t>
      </w:r>
      <w:r>
        <w:rPr>
          <w:lang w:eastAsia="zh-CN"/>
        </w:rPr>
        <w:t>(ISSB)</w:t>
      </w:r>
      <w:r>
        <w:rPr>
          <w:lang w:eastAsia="zh-CN"/>
        </w:rPr>
        <w:t>气候标准，旨在促进到</w:t>
      </w:r>
      <w:r>
        <w:rPr>
          <w:lang w:eastAsia="zh-CN"/>
        </w:rPr>
        <w:t>2025</w:t>
      </w:r>
      <w:r>
        <w:rPr>
          <w:lang w:eastAsia="zh-CN"/>
        </w:rPr>
        <w:t>年顺利过渡到强制性气候相关信息披露。</w:t>
      </w:r>
    </w:p>
    <w:p w:rsidR="00C57F3B" w:rsidRDefault="00F5313D">
      <w:pPr>
        <w:pStyle w:val="BodyText"/>
        <w:rPr>
          <w:lang w:eastAsia="zh-CN"/>
        </w:rPr>
      </w:pPr>
      <w:r>
        <w:rPr>
          <w:lang w:eastAsia="zh-CN"/>
        </w:rPr>
        <w:t>管治</w:t>
      </w:r>
    </w:p>
    <w:p w:rsidR="00C57F3B" w:rsidRDefault="00F5313D">
      <w:pPr>
        <w:pStyle w:val="BodyText"/>
        <w:rPr>
          <w:lang w:eastAsia="zh-CN"/>
        </w:rPr>
      </w:pPr>
      <w:r>
        <w:rPr>
          <w:lang w:eastAsia="zh-CN"/>
        </w:rPr>
        <w:lastRenderedPageBreak/>
        <w:t>在现行的</w:t>
      </w:r>
      <w:r>
        <w:rPr>
          <w:lang w:eastAsia="zh-CN"/>
        </w:rPr>
        <w:t>ESG</w:t>
      </w:r>
      <w:r>
        <w:rPr>
          <w:lang w:eastAsia="zh-CN"/>
        </w:rPr>
        <w:t>披露框架下，发行人需要披露董事会对</w:t>
      </w:r>
      <w:r>
        <w:rPr>
          <w:lang w:eastAsia="zh-CN"/>
        </w:rPr>
        <w:t>ESG</w:t>
      </w:r>
      <w:r>
        <w:rPr>
          <w:lang w:eastAsia="zh-CN"/>
        </w:rPr>
        <w:t>问题的监督和治理，董事会的</w:t>
      </w:r>
      <w:r>
        <w:rPr>
          <w:lang w:eastAsia="zh-CN"/>
        </w:rPr>
        <w:t>ESG</w:t>
      </w:r>
      <w:r>
        <w:rPr>
          <w:lang w:eastAsia="zh-CN"/>
        </w:rPr>
        <w:t>管理方法和战略，以及董事会如何根据</w:t>
      </w:r>
      <w:r>
        <w:rPr>
          <w:lang w:eastAsia="zh-CN"/>
        </w:rPr>
        <w:t>ESG</w:t>
      </w:r>
      <w:r>
        <w:rPr>
          <w:lang w:eastAsia="zh-CN"/>
        </w:rPr>
        <w:t>相关目标和指标评估进展情况。</w:t>
      </w:r>
    </w:p>
    <w:p w:rsidR="00C57F3B" w:rsidRDefault="00F5313D">
      <w:pPr>
        <w:pStyle w:val="BodyText"/>
        <w:rPr>
          <w:lang w:eastAsia="zh-CN"/>
        </w:rPr>
      </w:pPr>
      <w:r>
        <w:rPr>
          <w:lang w:eastAsia="zh-CN"/>
        </w:rPr>
        <w:t>鉴于董事会在推动可持续发展实践和监管气候相关风险和机遇方面的重要作用，联交所建议将</w:t>
      </w:r>
      <w:r>
        <w:rPr>
          <w:lang w:eastAsia="zh-CN"/>
        </w:rPr>
        <w:t>ISSB</w:t>
      </w:r>
      <w:r>
        <w:rPr>
          <w:lang w:eastAsia="zh-CN"/>
        </w:rPr>
        <w:t>气候标准下更详细的管治披露纳入其</w:t>
      </w:r>
      <w:r>
        <w:rPr>
          <w:lang w:eastAsia="zh-CN"/>
        </w:rPr>
        <w:t>ESG</w:t>
      </w:r>
      <w:r>
        <w:rPr>
          <w:lang w:eastAsia="zh-CN"/>
        </w:rPr>
        <w:t>披露框架。现有的</w:t>
      </w:r>
      <w:r>
        <w:rPr>
          <w:lang w:eastAsia="zh-CN"/>
        </w:rPr>
        <w:t>ESG</w:t>
      </w:r>
      <w:r>
        <w:rPr>
          <w:lang w:eastAsia="zh-CN"/>
        </w:rPr>
        <w:t>治理披露将保持</w:t>
      </w:r>
      <w:r>
        <w:rPr>
          <w:lang w:eastAsia="zh-CN"/>
        </w:rPr>
        <w:t>不变。</w:t>
      </w:r>
    </w:p>
    <w:p w:rsidR="00C57F3B" w:rsidRDefault="00F5313D">
      <w:pPr>
        <w:pStyle w:val="BodyText"/>
        <w:rPr>
          <w:lang w:eastAsia="zh-CN"/>
        </w:rPr>
      </w:pPr>
      <w:r>
        <w:rPr>
          <w:lang w:eastAsia="zh-CN"/>
        </w:rPr>
        <w:t>拟议的管治规定要求发行人披露：</w:t>
      </w:r>
    </w:p>
    <w:p w:rsidR="00C57F3B" w:rsidRDefault="00F5313D">
      <w:pPr>
        <w:pStyle w:val="Compact"/>
        <w:numPr>
          <w:ilvl w:val="0"/>
          <w:numId w:val="5"/>
        </w:numPr>
        <w:rPr>
          <w:lang w:eastAsia="zh-CN"/>
        </w:rPr>
      </w:pPr>
      <w:r>
        <w:rPr>
          <w:lang w:eastAsia="zh-CN"/>
        </w:rPr>
        <w:t>任何负责监督气候相关风险及机遇的董事委员会或董事会成员的身份；</w:t>
      </w:r>
    </w:p>
    <w:p w:rsidR="00C57F3B" w:rsidRDefault="00F5313D">
      <w:pPr>
        <w:pStyle w:val="Compact"/>
        <w:numPr>
          <w:ilvl w:val="0"/>
          <w:numId w:val="5"/>
        </w:numPr>
        <w:rPr>
          <w:lang w:eastAsia="zh-CN"/>
        </w:rPr>
      </w:pPr>
      <w:r>
        <w:rPr>
          <w:lang w:eastAsia="zh-CN"/>
        </w:rPr>
        <w:t>董事会如何确保有适当的技能和能力，以监督应对气候相关风险及机遇的策略；</w:t>
      </w:r>
    </w:p>
    <w:p w:rsidR="00C57F3B" w:rsidRDefault="00F5313D">
      <w:pPr>
        <w:pStyle w:val="Compact"/>
        <w:numPr>
          <w:ilvl w:val="0"/>
          <w:numId w:val="5"/>
        </w:numPr>
        <w:rPr>
          <w:lang w:eastAsia="zh-CN"/>
        </w:rPr>
      </w:pPr>
      <w:r>
        <w:rPr>
          <w:lang w:eastAsia="zh-CN"/>
        </w:rPr>
        <w:t>董事会及其委员会如何得知气候相关风险及机遇；</w:t>
      </w:r>
    </w:p>
    <w:p w:rsidR="00C57F3B" w:rsidRDefault="00F5313D">
      <w:pPr>
        <w:pStyle w:val="Compact"/>
        <w:numPr>
          <w:ilvl w:val="0"/>
          <w:numId w:val="5"/>
        </w:numPr>
        <w:rPr>
          <w:lang w:eastAsia="zh-CN"/>
        </w:rPr>
      </w:pPr>
      <w:r>
        <w:rPr>
          <w:lang w:eastAsia="zh-CN"/>
        </w:rPr>
        <w:t>董事会及其委员会在监督发行人的策略、其对主要交易的决策以及其风险管理政策时，如何衡量当中的气候相关风险及机遇；</w:t>
      </w:r>
    </w:p>
    <w:p w:rsidR="00C57F3B" w:rsidRDefault="00F5313D">
      <w:pPr>
        <w:pStyle w:val="Compact"/>
        <w:numPr>
          <w:ilvl w:val="0"/>
          <w:numId w:val="5"/>
        </w:numPr>
        <w:rPr>
          <w:lang w:eastAsia="zh-CN"/>
        </w:rPr>
      </w:pPr>
      <w:r>
        <w:rPr>
          <w:lang w:eastAsia="zh-CN"/>
        </w:rPr>
        <w:t>董事会及其委员会如何监督有关重大气候相关风险及机遇的目标的设定、并监察及检讨其进度，包括是否及如何将相关绩效指标纳入薪酬政策；及</w:t>
      </w:r>
    </w:p>
    <w:p w:rsidR="00C57F3B" w:rsidRDefault="00F5313D">
      <w:pPr>
        <w:pStyle w:val="Compact"/>
        <w:numPr>
          <w:ilvl w:val="0"/>
          <w:numId w:val="5"/>
        </w:numPr>
        <w:rPr>
          <w:lang w:eastAsia="zh-CN"/>
        </w:rPr>
      </w:pPr>
      <w:r>
        <w:rPr>
          <w:lang w:eastAsia="zh-CN"/>
        </w:rPr>
        <w:t>描述管理层在评估及管理气候相关风险及机遇方面的角色，包括：</w:t>
      </w:r>
    </w:p>
    <w:p w:rsidR="00C57F3B" w:rsidRDefault="00F5313D">
      <w:pPr>
        <w:pStyle w:val="Compact"/>
        <w:numPr>
          <w:ilvl w:val="1"/>
          <w:numId w:val="6"/>
        </w:numPr>
        <w:rPr>
          <w:lang w:eastAsia="zh-CN"/>
        </w:rPr>
      </w:pPr>
      <w:r>
        <w:rPr>
          <w:lang w:eastAsia="zh-CN"/>
        </w:rPr>
        <w:t>管理层或委员会履行的气候相关责任及职责范围；</w:t>
      </w:r>
    </w:p>
    <w:p w:rsidR="00C57F3B" w:rsidRDefault="00F5313D">
      <w:pPr>
        <w:pStyle w:val="Compact"/>
        <w:numPr>
          <w:ilvl w:val="1"/>
          <w:numId w:val="6"/>
        </w:numPr>
        <w:rPr>
          <w:lang w:eastAsia="zh-CN"/>
        </w:rPr>
      </w:pPr>
      <w:r>
        <w:rPr>
          <w:lang w:eastAsia="zh-CN"/>
        </w:rPr>
        <w:t>董事会如何监督上述管理层或委员会；及</w:t>
      </w:r>
    </w:p>
    <w:p w:rsidR="00C57F3B" w:rsidRDefault="00F5313D">
      <w:pPr>
        <w:pStyle w:val="Compact"/>
        <w:numPr>
          <w:ilvl w:val="1"/>
          <w:numId w:val="6"/>
        </w:numPr>
        <w:rPr>
          <w:lang w:eastAsia="zh-CN"/>
        </w:rPr>
      </w:pPr>
      <w:r>
        <w:rPr>
          <w:lang w:eastAsia="zh-CN"/>
        </w:rPr>
        <w:t>发行人是否对气候相关风险及机遇的管理实施专门的监控措施及程序。</w:t>
      </w:r>
    </w:p>
    <w:p w:rsidR="00C57F3B" w:rsidRDefault="00F5313D">
      <w:pPr>
        <w:pStyle w:val="FirstParagraph"/>
        <w:rPr>
          <w:lang w:eastAsia="zh-CN"/>
        </w:rPr>
      </w:pPr>
      <w:r>
        <w:rPr>
          <w:lang w:eastAsia="zh-CN"/>
        </w:rPr>
        <w:t>策略</w:t>
      </w:r>
    </w:p>
    <w:p w:rsidR="00C57F3B" w:rsidRDefault="00F5313D">
      <w:pPr>
        <w:pStyle w:val="BodyText"/>
        <w:rPr>
          <w:lang w:eastAsia="zh-CN"/>
        </w:rPr>
      </w:pPr>
      <w:r>
        <w:rPr>
          <w:b/>
          <w:lang w:eastAsia="zh-CN"/>
        </w:rPr>
        <w:t>气候相关风险及机遇</w:t>
      </w:r>
    </w:p>
    <w:p w:rsidR="00C57F3B" w:rsidRDefault="00F5313D">
      <w:pPr>
        <w:pStyle w:val="BodyText"/>
        <w:rPr>
          <w:lang w:eastAsia="zh-CN"/>
        </w:rPr>
      </w:pPr>
      <w:r>
        <w:rPr>
          <w:lang w:eastAsia="zh-CN"/>
        </w:rPr>
        <w:t>联交所指出，不同发行人面临的气候相关风险各不相同，这取决于它们所处的行业和运营地点。它希望发行人识别其面临的重大气候相关风险，并评估其对其业务模式、战略、现金流量、融资渠道和短期、中期或长期资本成本的实际或潜在影响。</w:t>
      </w:r>
    </w:p>
    <w:p w:rsidR="00C57F3B" w:rsidRDefault="00F5313D">
      <w:pPr>
        <w:pStyle w:val="BodyText"/>
        <w:rPr>
          <w:lang w:eastAsia="zh-CN"/>
        </w:rPr>
      </w:pPr>
      <w:r>
        <w:rPr>
          <w:lang w:eastAsia="zh-CN"/>
        </w:rPr>
        <w:t>除了风险之外，与气候相关的机会可能来自于减轻或适应气候相关影响和事件的努力，例如，由于更多地使用可再生能源而节省成本，提高资源效率，以及由于公司向低碳经济转型而进入新市场。</w:t>
      </w:r>
    </w:p>
    <w:p w:rsidR="00C57F3B" w:rsidRDefault="00F5313D">
      <w:pPr>
        <w:pStyle w:val="BodyText"/>
        <w:rPr>
          <w:lang w:eastAsia="zh-CN"/>
        </w:rPr>
      </w:pPr>
      <w:r>
        <w:rPr>
          <w:lang w:eastAsia="zh-CN"/>
        </w:rPr>
        <w:t>联交所建议将</w:t>
      </w:r>
      <w:r>
        <w:rPr>
          <w:lang w:eastAsia="zh-CN"/>
        </w:rPr>
        <w:t>ISSB</w:t>
      </w:r>
      <w:r>
        <w:rPr>
          <w:lang w:eastAsia="zh-CN"/>
        </w:rPr>
        <w:t>气候标准要求的策略部分主要纳入《上市规则》附录</w:t>
      </w:r>
      <w:r>
        <w:rPr>
          <w:lang w:eastAsia="zh-CN"/>
        </w:rPr>
        <w:t>27</w:t>
      </w:r>
      <w:r>
        <w:rPr>
          <w:lang w:eastAsia="zh-CN"/>
        </w:rPr>
        <w:t>。然而，发行人将能够选择披露他们为应对其披露的气候相关风险而确定的气候相关机会的实际和潜在影响。在准备披露时，发行人将被要求考虑</w:t>
      </w:r>
      <w:r>
        <w:rPr>
          <w:lang w:eastAsia="zh-CN"/>
        </w:rPr>
        <w:t>“</w:t>
      </w:r>
      <w:r>
        <w:rPr>
          <w:lang w:eastAsia="zh-CN"/>
        </w:rPr>
        <w:t>指标和目标</w:t>
      </w:r>
      <w:r>
        <w:rPr>
          <w:lang w:eastAsia="zh-CN"/>
        </w:rPr>
        <w:t>”</w:t>
      </w:r>
      <w:r>
        <w:rPr>
          <w:lang w:eastAsia="zh-CN"/>
        </w:rPr>
        <w:t>部分中讨论的跨行业指标和基于行业的指标的适用性。此外，他们将能够解释与气候相关的风险和机会之间的联系，并在其年度报告的其他部分</w:t>
      </w:r>
      <w:r>
        <w:rPr>
          <w:lang w:eastAsia="zh-CN"/>
        </w:rPr>
        <w:t>披露。</w:t>
      </w:r>
    </w:p>
    <w:p w:rsidR="00C57F3B" w:rsidRDefault="00F5313D">
      <w:pPr>
        <w:pStyle w:val="BodyText"/>
      </w:pPr>
      <w:r>
        <w:t>拟议披露包括：</w:t>
      </w:r>
    </w:p>
    <w:p w:rsidR="00C57F3B" w:rsidRDefault="00F5313D">
      <w:pPr>
        <w:pStyle w:val="Compact"/>
        <w:numPr>
          <w:ilvl w:val="0"/>
          <w:numId w:val="7"/>
        </w:numPr>
        <w:rPr>
          <w:lang w:eastAsia="zh-CN"/>
        </w:rPr>
      </w:pPr>
      <w:r>
        <w:rPr>
          <w:lang w:eastAsia="zh-CN"/>
        </w:rPr>
        <w:t>描述所识别的气候相关风险，以及当中各风险合理预期会对发行人造成重大影响的时间范围；</w:t>
      </w:r>
    </w:p>
    <w:p w:rsidR="00C57F3B" w:rsidRDefault="00F5313D">
      <w:pPr>
        <w:pStyle w:val="Compact"/>
        <w:numPr>
          <w:ilvl w:val="0"/>
          <w:numId w:val="7"/>
        </w:numPr>
        <w:rPr>
          <w:lang w:eastAsia="zh-CN"/>
        </w:rPr>
      </w:pPr>
      <w:r>
        <w:rPr>
          <w:lang w:eastAsia="zh-CN"/>
        </w:rPr>
        <w:t>发行人如何定义短期、中期及长期，以及有关定义如何与发行人的策略规划范围及资本分配计划挂钩；</w:t>
      </w:r>
    </w:p>
    <w:p w:rsidR="00C57F3B" w:rsidRDefault="00F5313D">
      <w:pPr>
        <w:pStyle w:val="Compact"/>
        <w:numPr>
          <w:ilvl w:val="0"/>
          <w:numId w:val="7"/>
        </w:numPr>
        <w:rPr>
          <w:lang w:eastAsia="zh-CN"/>
        </w:rPr>
      </w:pPr>
      <w:r>
        <w:rPr>
          <w:lang w:eastAsia="zh-CN"/>
        </w:rPr>
        <w:t>所识别的风险是实体风险还是过渡风险；</w:t>
      </w:r>
    </w:p>
    <w:p w:rsidR="00C57F3B" w:rsidRDefault="00F5313D">
      <w:pPr>
        <w:pStyle w:val="Compact"/>
        <w:numPr>
          <w:ilvl w:val="0"/>
          <w:numId w:val="7"/>
        </w:numPr>
        <w:rPr>
          <w:lang w:eastAsia="zh-CN"/>
        </w:rPr>
      </w:pPr>
      <w:r>
        <w:rPr>
          <w:lang w:eastAsia="zh-CN"/>
        </w:rPr>
        <w:t>所识别的风险属急性还是慢性风险；</w:t>
      </w:r>
    </w:p>
    <w:p w:rsidR="00C57F3B" w:rsidRDefault="00F5313D">
      <w:pPr>
        <w:pStyle w:val="Compact"/>
        <w:numPr>
          <w:ilvl w:val="0"/>
          <w:numId w:val="7"/>
        </w:numPr>
        <w:rPr>
          <w:lang w:eastAsia="zh-CN"/>
        </w:rPr>
      </w:pPr>
      <w:r>
        <w:rPr>
          <w:lang w:eastAsia="zh-CN"/>
        </w:rPr>
        <w:t>已识别的任何气候相关风险对发行人以下范畴的当前及预期影响：</w:t>
      </w:r>
    </w:p>
    <w:p w:rsidR="00C57F3B" w:rsidRDefault="00F5313D">
      <w:pPr>
        <w:pStyle w:val="Compact"/>
        <w:numPr>
          <w:ilvl w:val="1"/>
          <w:numId w:val="8"/>
        </w:numPr>
        <w:rPr>
          <w:lang w:eastAsia="zh-CN"/>
        </w:rPr>
      </w:pPr>
      <w:r>
        <w:rPr>
          <w:lang w:eastAsia="zh-CN"/>
        </w:rPr>
        <w:t>业务营运（包括业务类型及营运地点）、业务模式及策略；</w:t>
      </w:r>
    </w:p>
    <w:p w:rsidR="00C57F3B" w:rsidRDefault="00F5313D">
      <w:pPr>
        <w:pStyle w:val="Compact"/>
        <w:numPr>
          <w:ilvl w:val="1"/>
          <w:numId w:val="8"/>
        </w:numPr>
      </w:pPr>
      <w:r>
        <w:t>产品或服务；及／或</w:t>
      </w:r>
    </w:p>
    <w:p w:rsidR="00C57F3B" w:rsidRDefault="00F5313D">
      <w:pPr>
        <w:pStyle w:val="Compact"/>
        <w:numPr>
          <w:ilvl w:val="1"/>
          <w:numId w:val="8"/>
        </w:numPr>
        <w:rPr>
          <w:lang w:eastAsia="zh-CN"/>
        </w:rPr>
      </w:pPr>
      <w:r>
        <w:rPr>
          <w:lang w:eastAsia="zh-CN"/>
        </w:rPr>
        <w:t>供应商及其价值链上的其他各方。</w:t>
      </w:r>
    </w:p>
    <w:p w:rsidR="00C57F3B" w:rsidRDefault="00F5313D">
      <w:pPr>
        <w:pStyle w:val="FirstParagraph"/>
        <w:rPr>
          <w:lang w:eastAsia="zh-CN"/>
        </w:rPr>
      </w:pPr>
      <w:r>
        <w:rPr>
          <w:b/>
          <w:lang w:eastAsia="zh-CN"/>
        </w:rPr>
        <w:t>过渡计划</w:t>
      </w:r>
    </w:p>
    <w:p w:rsidR="00C57F3B" w:rsidRDefault="00F5313D">
      <w:pPr>
        <w:pStyle w:val="BodyText"/>
        <w:rPr>
          <w:lang w:eastAsia="zh-CN"/>
        </w:rPr>
      </w:pPr>
      <w:r>
        <w:rPr>
          <w:lang w:eastAsia="zh-CN"/>
        </w:rPr>
        <w:lastRenderedPageBreak/>
        <w:t>过渡计划是公司总体业务战略的一部分，概述了其目标和行动计划，以实</w:t>
      </w:r>
      <w:r>
        <w:rPr>
          <w:lang w:eastAsia="zh-CN"/>
        </w:rPr>
        <w:t>现低碳经济，最终实现净零经济。香港交易所建议在《上市规则》附录</w:t>
      </w:r>
      <w:r>
        <w:rPr>
          <w:lang w:eastAsia="zh-CN"/>
        </w:rPr>
        <w:t>27</w:t>
      </w:r>
      <w:r>
        <w:rPr>
          <w:lang w:eastAsia="zh-CN"/>
        </w:rPr>
        <w:t>中大量采纳国际证券交易委员会气候标准的相关规定，包括要求发行人披露其设定的任何与气候有关的目标，以及当地立法要求发行人达到的任何排放目标。</w:t>
      </w:r>
    </w:p>
    <w:p w:rsidR="00C57F3B" w:rsidRDefault="00F5313D">
      <w:pPr>
        <w:pStyle w:val="BodyText"/>
        <w:rPr>
          <w:lang w:eastAsia="zh-CN"/>
        </w:rPr>
      </w:pPr>
      <w:r>
        <w:rPr>
          <w:lang w:eastAsia="zh-CN"/>
        </w:rPr>
        <w:t>根据拟议的变更，发行人将被要求通过提供以下信息来描述其对气候相关风险和机遇的应对</w:t>
      </w:r>
      <w:r>
        <w:rPr>
          <w:lang w:eastAsia="zh-CN"/>
        </w:rPr>
        <w:t>:</w:t>
      </w:r>
    </w:p>
    <w:p w:rsidR="00C57F3B" w:rsidRDefault="00F5313D">
      <w:pPr>
        <w:pStyle w:val="Compact"/>
        <w:numPr>
          <w:ilvl w:val="0"/>
          <w:numId w:val="9"/>
        </w:numPr>
        <w:rPr>
          <w:lang w:eastAsia="zh-CN"/>
        </w:rPr>
      </w:pPr>
      <w:r>
        <w:rPr>
          <w:lang w:eastAsia="zh-CN"/>
        </w:rPr>
        <w:t>为应对有关气候相关风险及机遇而对发行人业务模式、策略及资源分配作出的任何当前或预期的变动；</w:t>
      </w:r>
    </w:p>
    <w:p w:rsidR="00C57F3B" w:rsidRDefault="00F5313D">
      <w:pPr>
        <w:pStyle w:val="Compact"/>
        <w:numPr>
          <w:ilvl w:val="0"/>
          <w:numId w:val="9"/>
        </w:numPr>
        <w:rPr>
          <w:lang w:eastAsia="zh-CN"/>
        </w:rPr>
      </w:pPr>
      <w:r>
        <w:rPr>
          <w:lang w:eastAsia="zh-CN"/>
        </w:rPr>
        <w:t>发行人已经或将进行的任何适应或减缓工作（直接或间接）；及</w:t>
      </w:r>
    </w:p>
    <w:p w:rsidR="00C57F3B" w:rsidRDefault="00F5313D">
      <w:pPr>
        <w:pStyle w:val="Compact"/>
        <w:numPr>
          <w:ilvl w:val="0"/>
          <w:numId w:val="9"/>
        </w:numPr>
        <w:rPr>
          <w:lang w:eastAsia="zh-CN"/>
        </w:rPr>
      </w:pPr>
      <w:r>
        <w:rPr>
          <w:lang w:eastAsia="zh-CN"/>
        </w:rPr>
        <w:t>如何为有关计划提供资源。</w:t>
      </w:r>
    </w:p>
    <w:p w:rsidR="00C57F3B" w:rsidRDefault="00F5313D">
      <w:pPr>
        <w:pStyle w:val="FirstParagraph"/>
        <w:rPr>
          <w:lang w:eastAsia="zh-CN"/>
        </w:rPr>
      </w:pPr>
      <w:r>
        <w:rPr>
          <w:lang w:eastAsia="zh-CN"/>
        </w:rPr>
        <w:t>披露发行人就计划设定的任何气候相关目标以及发行人须按当地法例达致的任何温室气体排放目标的以下资料：</w:t>
      </w:r>
    </w:p>
    <w:p w:rsidR="00C57F3B" w:rsidRDefault="00F5313D">
      <w:pPr>
        <w:pStyle w:val="Compact"/>
        <w:numPr>
          <w:ilvl w:val="0"/>
          <w:numId w:val="10"/>
        </w:numPr>
        <w:rPr>
          <w:lang w:eastAsia="zh-CN"/>
        </w:rPr>
      </w:pPr>
      <w:r>
        <w:rPr>
          <w:lang w:eastAsia="zh-CN"/>
        </w:rPr>
        <w:t>目标是绝对目标还是强度目标；</w:t>
      </w:r>
    </w:p>
    <w:p w:rsidR="00C57F3B" w:rsidRDefault="00F5313D">
      <w:pPr>
        <w:pStyle w:val="Compact"/>
        <w:numPr>
          <w:ilvl w:val="0"/>
          <w:numId w:val="10"/>
        </w:numPr>
        <w:rPr>
          <w:lang w:eastAsia="zh-CN"/>
        </w:rPr>
      </w:pPr>
      <w:r>
        <w:rPr>
          <w:lang w:eastAsia="zh-CN"/>
        </w:rPr>
        <w:t>目标的目的（例如减缓、适应或符合行业或以科学为基础的举措）；</w:t>
      </w:r>
    </w:p>
    <w:p w:rsidR="00C57F3B" w:rsidRDefault="00F5313D">
      <w:pPr>
        <w:pStyle w:val="Compact"/>
        <w:numPr>
          <w:ilvl w:val="0"/>
          <w:numId w:val="10"/>
        </w:numPr>
        <w:rPr>
          <w:lang w:eastAsia="zh-CN"/>
        </w:rPr>
      </w:pPr>
      <w:r>
        <w:rPr>
          <w:lang w:eastAsia="zh-CN"/>
        </w:rPr>
        <w:t>目标的范围（例如目标是适用于整个集团还是仅适用于某个业务单位或地区）；</w:t>
      </w:r>
    </w:p>
    <w:p w:rsidR="00C57F3B" w:rsidRDefault="00F5313D">
      <w:pPr>
        <w:pStyle w:val="Compact"/>
        <w:numPr>
          <w:ilvl w:val="0"/>
          <w:numId w:val="10"/>
        </w:numPr>
      </w:pPr>
      <w:r>
        <w:t>目标的适用期间；</w:t>
      </w:r>
    </w:p>
    <w:p w:rsidR="00C57F3B" w:rsidRDefault="00F5313D">
      <w:pPr>
        <w:pStyle w:val="Compact"/>
        <w:numPr>
          <w:ilvl w:val="0"/>
          <w:numId w:val="10"/>
        </w:numPr>
      </w:pPr>
      <w:r>
        <w:t>衡量进度的基准期间；</w:t>
      </w:r>
    </w:p>
    <w:p w:rsidR="00C57F3B" w:rsidRDefault="00F5313D">
      <w:pPr>
        <w:pStyle w:val="Compact"/>
        <w:numPr>
          <w:ilvl w:val="0"/>
          <w:numId w:val="10"/>
        </w:numPr>
        <w:rPr>
          <w:lang w:eastAsia="zh-CN"/>
        </w:rPr>
      </w:pPr>
      <w:r>
        <w:rPr>
          <w:lang w:eastAsia="zh-CN"/>
        </w:rPr>
        <w:t>阶段性目标或中期目标（如有）；及</w:t>
      </w:r>
    </w:p>
    <w:p w:rsidR="00C57F3B" w:rsidRDefault="00F5313D">
      <w:pPr>
        <w:pStyle w:val="Compact"/>
        <w:numPr>
          <w:ilvl w:val="0"/>
          <w:numId w:val="10"/>
        </w:numPr>
        <w:rPr>
          <w:lang w:eastAsia="zh-CN"/>
        </w:rPr>
      </w:pPr>
      <w:r>
        <w:rPr>
          <w:lang w:eastAsia="zh-CN"/>
        </w:rPr>
        <w:t>就温室气体排放目标而言，拟依赖使用碳信用额来达成的程度。这包括分别披露总排放目标、计划使用的碳信用额及净排放目标，及碳信用额类型以及碳信用额是否须经过第三方信用验证或认证计划</w:t>
      </w:r>
      <w:r>
        <w:rPr>
          <w:lang w:eastAsia="zh-CN"/>
        </w:rPr>
        <w:t>。</w:t>
      </w:r>
    </w:p>
    <w:p w:rsidR="00C57F3B" w:rsidRDefault="00F5313D">
      <w:pPr>
        <w:pStyle w:val="FirstParagraph"/>
        <w:rPr>
          <w:lang w:eastAsia="zh-CN"/>
        </w:rPr>
      </w:pPr>
      <w:r>
        <w:rPr>
          <w:lang w:eastAsia="zh-CN"/>
        </w:rPr>
        <w:t>联交所澄清，与气候相关的目标并不局限于附录</w:t>
      </w:r>
      <w:r>
        <w:rPr>
          <w:lang w:eastAsia="zh-CN"/>
        </w:rPr>
        <w:t>27B</w:t>
      </w:r>
      <w:r>
        <w:rPr>
          <w:lang w:eastAsia="zh-CN"/>
        </w:rPr>
        <w:t>部的目标，发行人仍须以</w:t>
      </w:r>
      <w:r>
        <w:rPr>
          <w:lang w:eastAsia="zh-CN"/>
        </w:rPr>
        <w:t>“</w:t>
      </w:r>
      <w:r>
        <w:rPr>
          <w:lang w:eastAsia="zh-CN"/>
        </w:rPr>
        <w:t>不遵守就解释</w:t>
      </w:r>
      <w:r>
        <w:rPr>
          <w:lang w:eastAsia="zh-CN"/>
        </w:rPr>
        <w:t xml:space="preserve">” </w:t>
      </w:r>
      <w:r>
        <w:rPr>
          <w:lang w:eastAsia="zh-CN"/>
        </w:rPr>
        <w:t>的方式披露关键绩效指标</w:t>
      </w:r>
      <w:r>
        <w:rPr>
          <w:lang w:eastAsia="zh-CN"/>
        </w:rPr>
        <w:t>A1.5</w:t>
      </w:r>
      <w:r>
        <w:rPr>
          <w:lang w:eastAsia="zh-CN"/>
        </w:rPr>
        <w:t>、</w:t>
      </w:r>
      <w:r>
        <w:rPr>
          <w:lang w:eastAsia="zh-CN"/>
        </w:rPr>
        <w:t>A1.6</w:t>
      </w:r>
      <w:r>
        <w:rPr>
          <w:lang w:eastAsia="zh-CN"/>
        </w:rPr>
        <w:t>、</w:t>
      </w:r>
      <w:r>
        <w:rPr>
          <w:lang w:eastAsia="zh-CN"/>
        </w:rPr>
        <w:t>A2.3</w:t>
      </w:r>
      <w:r>
        <w:rPr>
          <w:lang w:eastAsia="zh-CN"/>
        </w:rPr>
        <w:t>及</w:t>
      </w:r>
      <w:r>
        <w:rPr>
          <w:lang w:eastAsia="zh-CN"/>
        </w:rPr>
        <w:t>A2.4</w:t>
      </w:r>
      <w:r>
        <w:rPr>
          <w:lang w:eastAsia="zh-CN"/>
        </w:rPr>
        <w:t>项下的目标。</w:t>
      </w:r>
      <w:hyperlink w:anchor="footnote-598-4">
        <w:r>
          <w:rPr>
            <w:vertAlign w:val="superscript"/>
            <w:lang w:eastAsia="zh-CN"/>
          </w:rPr>
          <w:t>4</w:t>
        </w:r>
      </w:hyperlink>
    </w:p>
    <w:p w:rsidR="00C57F3B" w:rsidRDefault="00F5313D">
      <w:pPr>
        <w:pStyle w:val="BodyText"/>
        <w:rPr>
          <w:lang w:eastAsia="zh-CN"/>
        </w:rPr>
      </w:pPr>
      <w:r>
        <w:rPr>
          <w:lang w:eastAsia="zh-CN"/>
        </w:rPr>
        <w:t>鉴于发行人在可持续发展道路上处于不同阶段，联交所为那些需要更多时间来确定有意义和可实现的气候相关目标的发行人提出了其他披露方案。未提供信息的发行人将被要求披露其制定和披露气候相关目标的工作计划、进展和时间表。</w:t>
      </w:r>
    </w:p>
    <w:p w:rsidR="00C57F3B" w:rsidRDefault="00F5313D">
      <w:pPr>
        <w:pStyle w:val="BodyText"/>
        <w:rPr>
          <w:lang w:eastAsia="zh-CN"/>
        </w:rPr>
      </w:pPr>
      <w:r>
        <w:rPr>
          <w:lang w:eastAsia="zh-CN"/>
        </w:rPr>
        <w:t>此外，除</w:t>
      </w:r>
      <w:r>
        <w:rPr>
          <w:lang w:eastAsia="zh-CN"/>
        </w:rPr>
        <w:t>ESG</w:t>
      </w:r>
      <w:r>
        <w:rPr>
          <w:lang w:eastAsia="zh-CN"/>
        </w:rPr>
        <w:t>报告涵盖生效日期</w:t>
      </w:r>
      <w:r>
        <w:rPr>
          <w:lang w:eastAsia="zh-CN"/>
        </w:rPr>
        <w:t>(</w:t>
      </w:r>
      <w:r>
        <w:rPr>
          <w:lang w:eastAsia="zh-CN"/>
        </w:rPr>
        <w:t>即</w:t>
      </w:r>
      <w:r>
        <w:rPr>
          <w:lang w:eastAsia="zh-CN"/>
        </w:rPr>
        <w:t>2024</w:t>
      </w:r>
      <w:r>
        <w:rPr>
          <w:lang w:eastAsia="zh-CN"/>
        </w:rPr>
        <w:t>年</w:t>
      </w:r>
      <w:r>
        <w:rPr>
          <w:lang w:eastAsia="zh-CN"/>
        </w:rPr>
        <w:t>1</w:t>
      </w:r>
      <w:r>
        <w:rPr>
          <w:lang w:eastAsia="zh-CN"/>
        </w:rPr>
        <w:t>月</w:t>
      </w:r>
      <w:r>
        <w:rPr>
          <w:lang w:eastAsia="zh-CN"/>
        </w:rPr>
        <w:t>1</w:t>
      </w:r>
      <w:r>
        <w:rPr>
          <w:lang w:eastAsia="zh-CN"/>
        </w:rPr>
        <w:t>日</w:t>
      </w:r>
      <w:r>
        <w:rPr>
          <w:lang w:eastAsia="zh-CN"/>
        </w:rPr>
        <w:t>)</w:t>
      </w:r>
      <w:r>
        <w:rPr>
          <w:lang w:eastAsia="zh-CN"/>
        </w:rPr>
        <w:t>后第一</w:t>
      </w:r>
      <w:r>
        <w:rPr>
          <w:lang w:eastAsia="zh-CN"/>
        </w:rPr>
        <w:t>个报告期的情况外，发行人应报告最近一个报告年度内与计划和目标有关的进展情况。</w:t>
      </w:r>
    </w:p>
    <w:p w:rsidR="00C57F3B" w:rsidRDefault="00F5313D">
      <w:pPr>
        <w:pStyle w:val="BodyText"/>
        <w:rPr>
          <w:lang w:eastAsia="zh-CN"/>
        </w:rPr>
      </w:pPr>
      <w:r>
        <w:rPr>
          <w:b/>
          <w:lang w:eastAsia="zh-CN"/>
        </w:rPr>
        <w:t>气候抵御力</w:t>
      </w:r>
    </w:p>
    <w:p w:rsidR="00C57F3B" w:rsidRDefault="00F5313D">
      <w:pPr>
        <w:pStyle w:val="BodyText"/>
      </w:pPr>
      <w:r>
        <w:rPr>
          <w:lang w:eastAsia="zh-CN"/>
        </w:rPr>
        <w:t>联交所建议发行人披露其气候抵御力，即预测、准备和应对气候相关危险事件、趋势或变化的能力。建议修订将把</w:t>
      </w:r>
      <w:r>
        <w:rPr>
          <w:lang w:eastAsia="zh-CN"/>
        </w:rPr>
        <w:t>ISSB</w:t>
      </w:r>
      <w:r>
        <w:rPr>
          <w:lang w:eastAsia="zh-CN"/>
        </w:rPr>
        <w:t>气候标准的相关规定纳入联交所《上市规则》附录</w:t>
      </w:r>
      <w:r>
        <w:rPr>
          <w:lang w:eastAsia="zh-CN"/>
        </w:rPr>
        <w:t>27</w:t>
      </w:r>
      <w:r>
        <w:rPr>
          <w:lang w:eastAsia="zh-CN"/>
        </w:rPr>
        <w:t>。</w:t>
      </w:r>
      <w:r>
        <w:t>具体而言，披露内容包括以下资料</w:t>
      </w:r>
      <w:r>
        <w:t>:</w:t>
      </w:r>
    </w:p>
    <w:p w:rsidR="00C57F3B" w:rsidRDefault="00F5313D">
      <w:pPr>
        <w:pStyle w:val="Compact"/>
        <w:numPr>
          <w:ilvl w:val="0"/>
          <w:numId w:val="11"/>
        </w:numPr>
        <w:rPr>
          <w:lang w:eastAsia="zh-CN"/>
        </w:rPr>
      </w:pPr>
      <w:r>
        <w:rPr>
          <w:lang w:eastAsia="zh-CN"/>
        </w:rPr>
        <w:t>发行人的策略、其现有及计划的减缓行动及／或投资涵盖涉及风险的资产及业务活动的程度；</w:t>
      </w:r>
    </w:p>
    <w:p w:rsidR="00C57F3B" w:rsidRDefault="00F5313D">
      <w:pPr>
        <w:pStyle w:val="Compact"/>
        <w:numPr>
          <w:ilvl w:val="0"/>
          <w:numId w:val="11"/>
        </w:numPr>
        <w:rPr>
          <w:lang w:eastAsia="zh-CN"/>
        </w:rPr>
      </w:pPr>
      <w:r>
        <w:rPr>
          <w:lang w:eastAsia="zh-CN"/>
        </w:rPr>
        <w:t>发行人的分析结果对其策略的影响（如有），包括发行人须如何应对其预期在过渡至低碳经济期间受到的影响；</w:t>
      </w:r>
    </w:p>
    <w:p w:rsidR="00C57F3B" w:rsidRDefault="00F5313D">
      <w:pPr>
        <w:pStyle w:val="Compact"/>
        <w:numPr>
          <w:ilvl w:val="0"/>
          <w:numId w:val="11"/>
        </w:numPr>
        <w:rPr>
          <w:lang w:eastAsia="zh-CN"/>
        </w:rPr>
      </w:pPr>
      <w:r>
        <w:rPr>
          <w:lang w:eastAsia="zh-CN"/>
        </w:rPr>
        <w:t>气候抵御力分析中考虑的重大不确定范畴；及</w:t>
      </w:r>
    </w:p>
    <w:p w:rsidR="00C57F3B" w:rsidRDefault="00F5313D">
      <w:pPr>
        <w:pStyle w:val="Compact"/>
        <w:numPr>
          <w:ilvl w:val="0"/>
          <w:numId w:val="11"/>
        </w:numPr>
        <w:rPr>
          <w:lang w:eastAsia="zh-CN"/>
        </w:rPr>
      </w:pPr>
      <w:r>
        <w:rPr>
          <w:lang w:eastAsia="zh-CN"/>
        </w:rPr>
        <w:t>发行</w:t>
      </w:r>
      <w:r>
        <w:rPr>
          <w:lang w:eastAsia="zh-CN"/>
        </w:rPr>
        <w:t>人日后能否调整或适应其业务模式，例如融资渠道资本成本、产品及服务组合转移或重新培训员工。</w:t>
      </w:r>
    </w:p>
    <w:p w:rsidR="00C57F3B" w:rsidRDefault="00F5313D">
      <w:pPr>
        <w:pStyle w:val="FirstParagraph"/>
        <w:rPr>
          <w:lang w:eastAsia="zh-CN"/>
        </w:rPr>
      </w:pPr>
      <w:r>
        <w:rPr>
          <w:lang w:eastAsia="zh-CN"/>
        </w:rPr>
        <w:t>此外，发行人应披露描述用于评估气候相关风险及（如适用）机遇对其业务模式、策略及现金流量、其融资渠道及其资本成本造成的影响的气候相关情境分析。</w:t>
      </w:r>
      <w:hyperlink w:anchor="footnote-598-5">
        <w:r>
          <w:rPr>
            <w:vertAlign w:val="superscript"/>
            <w:lang w:eastAsia="zh-CN"/>
          </w:rPr>
          <w:t>5</w:t>
        </w:r>
      </w:hyperlink>
      <w:r>
        <w:rPr>
          <w:lang w:eastAsia="zh-CN"/>
        </w:rPr>
        <w:t xml:space="preserve"> </w:t>
      </w:r>
      <w:r>
        <w:rPr>
          <w:lang w:eastAsia="zh-CN"/>
        </w:rPr>
        <w:lastRenderedPageBreak/>
        <w:t>他们的战略和商业模式的弹性也应该得到解决。发行人采用的气候相关情境分析应切合其自身情况。发行人应披露以下资料：</w:t>
      </w:r>
    </w:p>
    <w:p w:rsidR="00C57F3B" w:rsidRDefault="00F5313D">
      <w:pPr>
        <w:pStyle w:val="BodyText"/>
        <w:rPr>
          <w:lang w:eastAsia="zh-CN"/>
        </w:rPr>
      </w:pPr>
      <w:r>
        <w:rPr>
          <w:lang w:eastAsia="zh-CN"/>
        </w:rPr>
        <w:t>分析所用的输入数据</w:t>
      </w:r>
      <w:r>
        <w:rPr>
          <w:lang w:eastAsia="zh-CN"/>
        </w:rPr>
        <w:t>:</w:t>
      </w:r>
    </w:p>
    <w:p w:rsidR="00C57F3B" w:rsidRDefault="00F5313D">
      <w:pPr>
        <w:pStyle w:val="Compact"/>
        <w:numPr>
          <w:ilvl w:val="0"/>
          <w:numId w:val="12"/>
        </w:numPr>
        <w:rPr>
          <w:lang w:eastAsia="zh-CN"/>
        </w:rPr>
      </w:pPr>
      <w:r>
        <w:rPr>
          <w:lang w:eastAsia="zh-CN"/>
        </w:rPr>
        <w:t>所涵盖的风险范围（例如实体风险范围）及营运范围（例如所涵盖的业务部门、</w:t>
      </w:r>
      <w:r>
        <w:rPr>
          <w:lang w:eastAsia="zh-CN"/>
        </w:rPr>
        <w:t>位置、地点或资产）；</w:t>
      </w:r>
    </w:p>
    <w:p w:rsidR="00C57F3B" w:rsidRDefault="00F5313D">
      <w:pPr>
        <w:pStyle w:val="Compact"/>
        <w:numPr>
          <w:ilvl w:val="0"/>
          <w:numId w:val="12"/>
        </w:numPr>
      </w:pPr>
      <w:r>
        <w:t>假设的详情；及</w:t>
      </w:r>
    </w:p>
    <w:p w:rsidR="00C57F3B" w:rsidRDefault="00F5313D">
      <w:pPr>
        <w:pStyle w:val="Compact"/>
        <w:numPr>
          <w:ilvl w:val="0"/>
          <w:numId w:val="12"/>
        </w:numPr>
        <w:rPr>
          <w:lang w:eastAsia="zh-CN"/>
        </w:rPr>
      </w:pPr>
      <w:r>
        <w:rPr>
          <w:lang w:eastAsia="zh-CN"/>
        </w:rPr>
        <w:t>（如适用）分析所涵盖价值链上的上游及／或下游活动；</w:t>
      </w:r>
    </w:p>
    <w:p w:rsidR="00C57F3B" w:rsidRDefault="00F5313D">
      <w:pPr>
        <w:pStyle w:val="FirstParagraph"/>
      </w:pPr>
      <w:r>
        <w:t>如何进行分析：</w:t>
      </w:r>
    </w:p>
    <w:p w:rsidR="00C57F3B" w:rsidRDefault="00F5313D">
      <w:pPr>
        <w:pStyle w:val="Compact"/>
        <w:numPr>
          <w:ilvl w:val="0"/>
          <w:numId w:val="13"/>
        </w:numPr>
        <w:rPr>
          <w:lang w:eastAsia="zh-CN"/>
        </w:rPr>
      </w:pPr>
      <w:r>
        <w:rPr>
          <w:lang w:eastAsia="zh-CN"/>
        </w:rPr>
        <w:t>分析所使用的情境及其来源；</w:t>
      </w:r>
      <w:hyperlink w:anchor="footnote-598-6">
        <w:r>
          <w:rPr>
            <w:vertAlign w:val="superscript"/>
            <w:lang w:eastAsia="zh-CN"/>
          </w:rPr>
          <w:t>6</w:t>
        </w:r>
      </w:hyperlink>
    </w:p>
    <w:p w:rsidR="00C57F3B" w:rsidRDefault="00F5313D">
      <w:pPr>
        <w:pStyle w:val="Compact"/>
        <w:numPr>
          <w:ilvl w:val="0"/>
          <w:numId w:val="13"/>
        </w:numPr>
        <w:rPr>
          <w:lang w:eastAsia="zh-CN"/>
        </w:rPr>
      </w:pPr>
      <w:r>
        <w:rPr>
          <w:lang w:eastAsia="zh-CN"/>
        </w:rPr>
        <w:t>所使用的情境是否与过渡风险或实体风险增加有关；</w:t>
      </w:r>
    </w:p>
    <w:p w:rsidR="00C57F3B" w:rsidRDefault="00F5313D">
      <w:pPr>
        <w:pStyle w:val="Compact"/>
        <w:numPr>
          <w:ilvl w:val="0"/>
          <w:numId w:val="13"/>
        </w:numPr>
        <w:rPr>
          <w:lang w:eastAsia="zh-CN"/>
        </w:rPr>
      </w:pPr>
      <w:r>
        <w:rPr>
          <w:lang w:eastAsia="zh-CN"/>
        </w:rPr>
        <w:t>所选择的情境如何与评估发行人抗御力相关；</w:t>
      </w:r>
    </w:p>
    <w:p w:rsidR="00C57F3B" w:rsidRDefault="00F5313D">
      <w:pPr>
        <w:pStyle w:val="Compact"/>
        <w:numPr>
          <w:ilvl w:val="0"/>
          <w:numId w:val="13"/>
        </w:numPr>
        <w:rPr>
          <w:lang w:eastAsia="zh-CN"/>
        </w:rPr>
      </w:pPr>
      <w:r>
        <w:rPr>
          <w:lang w:eastAsia="zh-CN"/>
        </w:rPr>
        <w:t>有关过渡至低碳经济将会如何影响发行人的关键假设；及</w:t>
      </w:r>
    </w:p>
    <w:p w:rsidR="00C57F3B" w:rsidRDefault="00F5313D">
      <w:pPr>
        <w:pStyle w:val="Compact"/>
        <w:numPr>
          <w:ilvl w:val="0"/>
          <w:numId w:val="13"/>
        </w:numPr>
        <w:rPr>
          <w:lang w:eastAsia="zh-CN"/>
        </w:rPr>
      </w:pPr>
      <w:r>
        <w:rPr>
          <w:lang w:eastAsia="zh-CN"/>
        </w:rPr>
        <w:t>分析所使用的时间范围。</w:t>
      </w:r>
    </w:p>
    <w:p w:rsidR="00C57F3B" w:rsidRDefault="00F5313D">
      <w:pPr>
        <w:pStyle w:val="FirstParagraph"/>
        <w:rPr>
          <w:lang w:eastAsia="zh-CN"/>
        </w:rPr>
      </w:pPr>
      <w:r>
        <w:rPr>
          <w:lang w:eastAsia="zh-CN"/>
        </w:rPr>
        <w:t>联交所认识到，发行人可能需要时间来发展全面气候相关情景分析的专业知识，因此建议发行人可先从定性叙述开始，然后逐步采用定量方法，探索气候变化影响的潜在范围。</w:t>
      </w:r>
    </w:p>
    <w:p w:rsidR="00C57F3B" w:rsidRDefault="00F5313D">
      <w:pPr>
        <w:pStyle w:val="BodyText"/>
        <w:rPr>
          <w:lang w:eastAsia="zh-CN"/>
        </w:rPr>
      </w:pPr>
      <w:r>
        <w:rPr>
          <w:b/>
          <w:lang w:eastAsia="zh-CN"/>
        </w:rPr>
        <w:t>气候相关风险及机遇的财务影响</w:t>
      </w:r>
    </w:p>
    <w:p w:rsidR="00C57F3B" w:rsidRDefault="00F5313D">
      <w:pPr>
        <w:pStyle w:val="BodyText"/>
        <w:rPr>
          <w:lang w:eastAsia="zh-CN"/>
        </w:rPr>
      </w:pPr>
      <w:r>
        <w:rPr>
          <w:lang w:eastAsia="zh-CN"/>
        </w:rPr>
        <w:t>修订的重点是披露公司暴露于气候相关风险和机遇的财务影响，以及其抓住这些机遇和管理这些风险的战略决策。</w:t>
      </w:r>
    </w:p>
    <w:p w:rsidR="00C57F3B" w:rsidRDefault="00F5313D">
      <w:pPr>
        <w:pStyle w:val="BodyText"/>
        <w:rPr>
          <w:lang w:eastAsia="zh-CN"/>
        </w:rPr>
      </w:pPr>
      <w:r>
        <w:rPr>
          <w:lang w:eastAsia="zh-CN"/>
        </w:rPr>
        <w:t>针对一些发行人对量化气候相关风险的财务影响的担忧，联交所指出，《国际财务报告准则》</w:t>
      </w:r>
      <w:r>
        <w:rPr>
          <w:lang w:eastAsia="zh-CN"/>
        </w:rPr>
        <w:t>(</w:t>
      </w:r>
      <w:r>
        <w:rPr>
          <w:b/>
          <w:lang w:eastAsia="zh-CN"/>
        </w:rPr>
        <w:t>IFRS</w:t>
      </w:r>
      <w:r>
        <w:rPr>
          <w:lang w:eastAsia="zh-CN"/>
        </w:rPr>
        <w:t>)</w:t>
      </w:r>
      <w:r>
        <w:rPr>
          <w:lang w:eastAsia="zh-CN"/>
        </w:rPr>
        <w:t>已经要求公司在其财务报表中量化和说明与气候相关的事项产生的重大财务影响。《国际财务报告准则》还就如何披露气候相关事项对财务报表的影</w:t>
      </w:r>
      <w:r>
        <w:rPr>
          <w:lang w:eastAsia="zh-CN"/>
        </w:rPr>
        <w:t>响发布了指引。</w:t>
      </w:r>
    </w:p>
    <w:p w:rsidR="00C57F3B" w:rsidRDefault="00F5313D">
      <w:pPr>
        <w:pStyle w:val="BodyText"/>
        <w:rPr>
          <w:lang w:eastAsia="zh-CN"/>
        </w:rPr>
      </w:pPr>
      <w:r>
        <w:rPr>
          <w:lang w:eastAsia="zh-CN"/>
        </w:rPr>
        <w:t>联交所还提到，发行人担心披露气候相关风险的预期影响存在困难，这在很大程度上取决于所采用的假设和预测模型。</w:t>
      </w:r>
    </w:p>
    <w:p w:rsidR="00C57F3B" w:rsidRDefault="00F5313D">
      <w:pPr>
        <w:pStyle w:val="BodyText"/>
        <w:rPr>
          <w:lang w:eastAsia="zh-CN"/>
        </w:rPr>
      </w:pPr>
      <w:r>
        <w:rPr>
          <w:lang w:eastAsia="zh-CN"/>
        </w:rPr>
        <w:t>有鉴于此，联交所将把有关气候相关风险和机遇的当前及预期财务影响的国际标准理事会气候标准纳入《上市规则》附录</w:t>
      </w:r>
      <w:r>
        <w:rPr>
          <w:lang w:eastAsia="zh-CN"/>
        </w:rPr>
        <w:t>27</w:t>
      </w:r>
      <w:r>
        <w:rPr>
          <w:lang w:eastAsia="zh-CN"/>
        </w:rPr>
        <w:t>，并作出若干修订</w:t>
      </w:r>
      <w:r>
        <w:rPr>
          <w:lang w:eastAsia="zh-CN"/>
        </w:rPr>
        <w:t>:</w:t>
      </w:r>
    </w:p>
    <w:tbl>
      <w:tblPr>
        <w:tblW w:w="5000" w:type="pct"/>
        <w:tblLook w:val="07C0" w:firstRow="0" w:lastRow="1" w:firstColumn="1" w:lastColumn="1" w:noHBand="1" w:noVBand="1"/>
      </w:tblPr>
      <w:tblGrid>
        <w:gridCol w:w="787"/>
        <w:gridCol w:w="5388"/>
        <w:gridCol w:w="4219"/>
      </w:tblGrid>
      <w:tr w:rsidR="00C57F3B">
        <w:tc>
          <w:tcPr>
            <w:tcW w:w="0" w:type="auto"/>
          </w:tcPr>
          <w:p w:rsidR="00C57F3B" w:rsidRDefault="00F5313D">
            <w:r>
              <w:t>层面</w:t>
            </w:r>
          </w:p>
        </w:tc>
        <w:tc>
          <w:tcPr>
            <w:tcW w:w="0" w:type="auto"/>
          </w:tcPr>
          <w:p w:rsidR="00C57F3B" w:rsidRDefault="00F5313D">
            <w:r>
              <w:t>规定</w:t>
            </w:r>
          </w:p>
        </w:tc>
        <w:tc>
          <w:tcPr>
            <w:tcW w:w="0" w:type="auto"/>
          </w:tcPr>
          <w:p w:rsidR="00C57F3B" w:rsidRDefault="00F5313D">
            <w:r>
              <w:t>过渡规定</w:t>
            </w:r>
          </w:p>
        </w:tc>
      </w:tr>
      <w:tr w:rsidR="00C57F3B">
        <w:tc>
          <w:tcPr>
            <w:tcW w:w="0" w:type="auto"/>
          </w:tcPr>
          <w:p w:rsidR="00C57F3B" w:rsidRDefault="00F5313D">
            <w:r>
              <w:t>当前财务影响</w:t>
            </w:r>
          </w:p>
        </w:tc>
        <w:tc>
          <w:tcPr>
            <w:tcW w:w="0" w:type="auto"/>
          </w:tcPr>
          <w:p w:rsidR="00C57F3B" w:rsidRDefault="00F5313D">
            <w:pPr>
              <w:rPr>
                <w:lang w:eastAsia="zh-CN"/>
              </w:rPr>
            </w:pPr>
            <w:r>
              <w:rPr>
                <w:lang w:eastAsia="zh-CN"/>
              </w:rPr>
              <w:t>描述并量化重大气候相关风险与机遇对发行人最近报告</w:t>
            </w:r>
            <w:r>
              <w:rPr>
                <w:lang w:eastAsia="zh-CN"/>
              </w:rPr>
              <w:t xml:space="preserve"> </w:t>
            </w:r>
            <w:r>
              <w:rPr>
                <w:lang w:eastAsia="zh-CN"/>
              </w:rPr>
              <w:t>的财务状况、财务表现和现金流量</w:t>
            </w:r>
            <w:r>
              <w:rPr>
                <w:lang w:eastAsia="zh-CN"/>
              </w:rPr>
              <w:t>(</w:t>
            </w:r>
            <w:r>
              <w:rPr>
                <w:lang w:eastAsia="zh-CN"/>
              </w:rPr>
              <w:t>如果重要的话</w:t>
            </w:r>
            <w:r>
              <w:rPr>
                <w:lang w:eastAsia="zh-CN"/>
              </w:rPr>
              <w:t>)</w:t>
            </w:r>
            <w:r>
              <w:rPr>
                <w:lang w:eastAsia="zh-CN"/>
              </w:rPr>
              <w:t>；</w:t>
            </w:r>
            <w:hyperlink w:anchor="footnote-598-7">
              <w:r>
                <w:rPr>
                  <w:vertAlign w:val="superscript"/>
                  <w:lang w:eastAsia="zh-CN"/>
                </w:rPr>
                <w:t>7</w:t>
              </w:r>
            </w:hyperlink>
            <w:r>
              <w:rPr>
                <w:lang w:eastAsia="zh-CN"/>
              </w:rPr>
              <w:t>及</w:t>
            </w:r>
          </w:p>
          <w:p w:rsidR="00C57F3B" w:rsidRDefault="00F5313D">
            <w:pPr>
              <w:rPr>
                <w:lang w:eastAsia="zh-CN"/>
              </w:rPr>
            </w:pPr>
            <w:r>
              <w:rPr>
                <w:lang w:eastAsia="zh-CN"/>
              </w:rPr>
              <w:t>描述这些风险和机遇是否以及如何导致在下一个财</w:t>
            </w:r>
            <w:r>
              <w:rPr>
                <w:lang w:eastAsia="zh-CN"/>
              </w:rPr>
              <w:t>政年度内对财务报表中报告的资产和负债的账面金额进行重大调整。</w:t>
            </w:r>
          </w:p>
        </w:tc>
        <w:tc>
          <w:tcPr>
            <w:tcW w:w="0" w:type="auto"/>
          </w:tcPr>
          <w:p w:rsidR="00C57F3B" w:rsidRDefault="00F5313D">
            <w:pPr>
              <w:rPr>
                <w:lang w:eastAsia="zh-CN"/>
              </w:rPr>
            </w:pPr>
            <w:r>
              <w:rPr>
                <w:lang w:eastAsia="zh-CN"/>
              </w:rPr>
              <w:t>于过渡期，尚未能提供定量资料的发行人应披露定性资料。</w:t>
            </w:r>
          </w:p>
        </w:tc>
      </w:tr>
      <w:tr w:rsidR="00C57F3B">
        <w:tc>
          <w:tcPr>
            <w:tcW w:w="0" w:type="auto"/>
          </w:tcPr>
          <w:p w:rsidR="00C57F3B" w:rsidRDefault="00F5313D">
            <w:r>
              <w:t>预期财务影响</w:t>
            </w:r>
          </w:p>
        </w:tc>
        <w:tc>
          <w:tcPr>
            <w:tcW w:w="0" w:type="auto"/>
          </w:tcPr>
          <w:p w:rsidR="00C57F3B" w:rsidRDefault="00F5313D">
            <w:r>
              <w:rPr>
                <w:lang w:eastAsia="zh-CN"/>
              </w:rPr>
              <w:t>描述与气候相关的风险和机遇对发行人短期、中期和长期财务状况、财务业绩和现金流量的预期影响。</w:t>
            </w:r>
            <w:r>
              <w:t>这包括披露以下事项</w:t>
            </w:r>
            <w:r>
              <w:t>:</w:t>
            </w:r>
          </w:p>
          <w:p w:rsidR="00C57F3B" w:rsidRDefault="00F5313D">
            <w:pPr>
              <w:pStyle w:val="Compact"/>
              <w:numPr>
                <w:ilvl w:val="0"/>
                <w:numId w:val="14"/>
              </w:numPr>
              <w:jc w:val="left"/>
              <w:rPr>
                <w:lang w:eastAsia="zh-CN"/>
              </w:rPr>
            </w:pPr>
            <w:r>
              <w:rPr>
                <w:lang w:eastAsia="zh-CN"/>
              </w:rPr>
              <w:t>发行人预期其财务绩效在短期、中期及长期内会如何变化并考虑应对重大气候相关风险</w:t>
            </w:r>
            <w:r>
              <w:rPr>
                <w:lang w:eastAsia="zh-CN"/>
              </w:rPr>
              <w:lastRenderedPageBreak/>
              <w:t>和机遇的战略；及</w:t>
            </w:r>
          </w:p>
          <w:p w:rsidR="00C57F3B" w:rsidRDefault="00F5313D">
            <w:pPr>
              <w:pStyle w:val="Compact"/>
              <w:numPr>
                <w:ilvl w:val="0"/>
                <w:numId w:val="14"/>
              </w:numPr>
              <w:jc w:val="left"/>
              <w:rPr>
                <w:lang w:eastAsia="zh-CN"/>
              </w:rPr>
            </w:pPr>
            <w:r>
              <w:rPr>
                <w:lang w:eastAsia="zh-CN"/>
              </w:rPr>
              <w:t>发行人预期其财务状况在短期、中期及长期内会如何变化，并考虑所需的资金</w:t>
            </w:r>
            <w:r>
              <w:rPr>
                <w:lang w:eastAsia="zh-CN"/>
              </w:rPr>
              <w:t>(</w:t>
            </w:r>
            <w:r>
              <w:rPr>
                <w:lang w:eastAsia="zh-CN"/>
              </w:rPr>
              <w:t>例如资本开支、研发开支</w:t>
            </w:r>
            <w:r>
              <w:rPr>
                <w:lang w:eastAsia="zh-CN"/>
              </w:rPr>
              <w:t>):</w:t>
            </w:r>
          </w:p>
          <w:p w:rsidR="00C57F3B" w:rsidRDefault="00F5313D">
            <w:pPr>
              <w:pStyle w:val="Compact"/>
              <w:numPr>
                <w:ilvl w:val="1"/>
                <w:numId w:val="15"/>
              </w:numPr>
              <w:jc w:val="left"/>
              <w:rPr>
                <w:lang w:eastAsia="zh-CN"/>
              </w:rPr>
            </w:pPr>
            <w:r>
              <w:rPr>
                <w:lang w:eastAsia="zh-CN"/>
              </w:rPr>
              <w:t>其当前和已承诺的计划；及</w:t>
            </w:r>
          </w:p>
          <w:p w:rsidR="00C57F3B" w:rsidRDefault="00F5313D">
            <w:pPr>
              <w:pStyle w:val="Compact"/>
              <w:numPr>
                <w:ilvl w:val="1"/>
                <w:numId w:val="15"/>
              </w:numPr>
              <w:jc w:val="left"/>
              <w:rPr>
                <w:lang w:eastAsia="zh-CN"/>
              </w:rPr>
            </w:pPr>
            <w:r>
              <w:rPr>
                <w:lang w:eastAsia="zh-CN"/>
              </w:rPr>
              <w:t>为实施应对重大气候相关风险和机遇的战略而计划的资金来源；及</w:t>
            </w:r>
          </w:p>
          <w:p w:rsidR="00C57F3B" w:rsidRDefault="00F5313D">
            <w:pPr>
              <w:pStyle w:val="Compact"/>
              <w:numPr>
                <w:ilvl w:val="0"/>
                <w:numId w:val="14"/>
              </w:numPr>
              <w:jc w:val="left"/>
              <w:rPr>
                <w:lang w:eastAsia="zh-CN"/>
              </w:rPr>
            </w:pPr>
            <w:r>
              <w:rPr>
                <w:lang w:eastAsia="zh-CN"/>
              </w:rPr>
              <w:t>发行人如何定义短期、中期和长期。</w:t>
            </w:r>
          </w:p>
        </w:tc>
        <w:tc>
          <w:tcPr>
            <w:tcW w:w="0" w:type="auto"/>
          </w:tcPr>
          <w:p w:rsidR="00C57F3B" w:rsidRDefault="00F5313D">
            <w:pPr>
              <w:rPr>
                <w:lang w:eastAsia="zh-CN"/>
              </w:rPr>
            </w:pPr>
            <w:r>
              <w:rPr>
                <w:lang w:eastAsia="zh-CN"/>
              </w:rPr>
              <w:lastRenderedPageBreak/>
              <w:t>于过渡期内，尚未提供与预期财务影响有关信息的发行人应披露：</w:t>
            </w:r>
          </w:p>
          <w:p w:rsidR="00C57F3B" w:rsidRDefault="00F5313D">
            <w:pPr>
              <w:pStyle w:val="Compact"/>
              <w:numPr>
                <w:ilvl w:val="0"/>
                <w:numId w:val="16"/>
              </w:numPr>
              <w:jc w:val="left"/>
              <w:rPr>
                <w:lang w:eastAsia="zh-CN"/>
              </w:rPr>
            </w:pPr>
            <w:r>
              <w:rPr>
                <w:lang w:eastAsia="zh-CN"/>
              </w:rPr>
              <w:t>发行人在合理可行情况下可提供，且可让投资者了解财务报表中最受影响的范畴的资料；及</w:t>
            </w:r>
          </w:p>
          <w:p w:rsidR="00C57F3B" w:rsidRDefault="00F5313D">
            <w:pPr>
              <w:pStyle w:val="Compact"/>
              <w:numPr>
                <w:ilvl w:val="0"/>
                <w:numId w:val="16"/>
              </w:numPr>
              <w:jc w:val="left"/>
              <w:rPr>
                <w:lang w:eastAsia="zh-CN"/>
              </w:rPr>
            </w:pPr>
            <w:r>
              <w:rPr>
                <w:lang w:eastAsia="zh-CN"/>
              </w:rPr>
              <w:lastRenderedPageBreak/>
              <w:t>其作出全面披露的工作计划、进度及时间表。</w:t>
            </w:r>
          </w:p>
        </w:tc>
      </w:tr>
    </w:tbl>
    <w:p w:rsidR="00C57F3B" w:rsidRDefault="00F5313D">
      <w:pPr>
        <w:pStyle w:val="FirstParagraph"/>
        <w:rPr>
          <w:lang w:eastAsia="zh-CN"/>
        </w:rPr>
      </w:pPr>
      <w:r>
        <w:rPr>
          <w:lang w:eastAsia="zh-CN"/>
        </w:rPr>
        <w:lastRenderedPageBreak/>
        <w:t>风险管理</w:t>
      </w:r>
    </w:p>
    <w:p w:rsidR="00C57F3B" w:rsidRDefault="00F5313D">
      <w:pPr>
        <w:pStyle w:val="BodyText"/>
        <w:rPr>
          <w:lang w:eastAsia="zh-CN"/>
        </w:rPr>
      </w:pPr>
      <w:r>
        <w:rPr>
          <w:lang w:eastAsia="zh-CN"/>
        </w:rPr>
        <w:t>根据联交所应对重大气候相关风险和机遇的战略；和《上市规则》，发行人须披露评估、优次排列及管理重要的</w:t>
      </w:r>
      <w:r>
        <w:rPr>
          <w:lang w:eastAsia="zh-CN"/>
        </w:rPr>
        <w:t>ESG</w:t>
      </w:r>
      <w:r>
        <w:rPr>
          <w:lang w:eastAsia="zh-CN"/>
        </w:rPr>
        <w:t>相关事宜的流程及其风险管理及内部监控系统的有效性。现时并无有关披露风险评估流程的特定规定。</w:t>
      </w:r>
    </w:p>
    <w:p w:rsidR="00C57F3B" w:rsidRDefault="00F5313D">
      <w:pPr>
        <w:pStyle w:val="BodyText"/>
      </w:pPr>
      <w:r>
        <w:rPr>
          <w:lang w:eastAsia="zh-CN"/>
        </w:rPr>
        <w:t>《上市规则》的修订建议主要</w:t>
      </w:r>
      <w:r>
        <w:rPr>
          <w:lang w:eastAsia="zh-CN"/>
        </w:rPr>
        <w:t>纳入国际证券标准理事会的气候标准，旨在让投资者更了解和评估公司如何识别、评估和应对可能对其业务产生重大影响的气候相关风险。</w:t>
      </w:r>
      <w:r>
        <w:t>披露内容包括</w:t>
      </w:r>
      <w:r>
        <w:t>:</w:t>
      </w:r>
    </w:p>
    <w:p w:rsidR="00C57F3B" w:rsidRDefault="00F5313D">
      <w:pPr>
        <w:pStyle w:val="Compact"/>
        <w:numPr>
          <w:ilvl w:val="0"/>
          <w:numId w:val="17"/>
        </w:numPr>
        <w:rPr>
          <w:lang w:eastAsia="zh-CN"/>
        </w:rPr>
      </w:pPr>
      <w:r>
        <w:rPr>
          <w:lang w:eastAsia="zh-CN"/>
        </w:rPr>
        <w:t>发行人如何评估与该等风险有关的可能性及影响；</w:t>
      </w:r>
    </w:p>
    <w:p w:rsidR="00C57F3B" w:rsidRDefault="00F5313D">
      <w:pPr>
        <w:pStyle w:val="Compact"/>
        <w:numPr>
          <w:ilvl w:val="0"/>
          <w:numId w:val="17"/>
        </w:numPr>
        <w:rPr>
          <w:lang w:eastAsia="zh-CN"/>
        </w:rPr>
      </w:pPr>
      <w:r>
        <w:rPr>
          <w:lang w:eastAsia="zh-CN"/>
        </w:rPr>
        <w:t>相对于其他类型的风险，发行人如何对气候相关风险进行优先排序，包括风险评估工具的使用；</w:t>
      </w:r>
    </w:p>
    <w:p w:rsidR="00C57F3B" w:rsidRDefault="00F5313D">
      <w:pPr>
        <w:pStyle w:val="Compact"/>
        <w:numPr>
          <w:ilvl w:val="0"/>
          <w:numId w:val="17"/>
        </w:numPr>
        <w:rPr>
          <w:lang w:eastAsia="zh-CN"/>
        </w:rPr>
      </w:pPr>
      <w:r>
        <w:rPr>
          <w:lang w:eastAsia="zh-CN"/>
        </w:rPr>
        <w:t>发行人如何监测和管理其气候相关风险；</w:t>
      </w:r>
    </w:p>
    <w:p w:rsidR="00C57F3B" w:rsidRDefault="00F5313D">
      <w:pPr>
        <w:pStyle w:val="Compact"/>
        <w:numPr>
          <w:ilvl w:val="0"/>
          <w:numId w:val="17"/>
        </w:numPr>
        <w:rPr>
          <w:lang w:eastAsia="zh-CN"/>
        </w:rPr>
      </w:pPr>
      <w:r>
        <w:rPr>
          <w:lang w:eastAsia="zh-CN"/>
        </w:rPr>
        <w:t>该流程如何融入发行人的整体风险管理流程；及</w:t>
      </w:r>
    </w:p>
    <w:p w:rsidR="00C57F3B" w:rsidRDefault="00F5313D">
      <w:pPr>
        <w:pStyle w:val="Compact"/>
        <w:numPr>
          <w:ilvl w:val="0"/>
          <w:numId w:val="17"/>
        </w:numPr>
        <w:rPr>
          <w:lang w:eastAsia="zh-CN"/>
        </w:rPr>
      </w:pPr>
      <w:r>
        <w:rPr>
          <w:lang w:eastAsia="zh-CN"/>
        </w:rPr>
        <w:t>与上一个报告期间相比，程序有任何变化。</w:t>
      </w:r>
    </w:p>
    <w:p w:rsidR="00C57F3B" w:rsidRDefault="00F5313D">
      <w:pPr>
        <w:pStyle w:val="FirstParagraph"/>
        <w:rPr>
          <w:lang w:eastAsia="zh-CN"/>
        </w:rPr>
      </w:pPr>
      <w:r>
        <w:rPr>
          <w:lang w:eastAsia="zh-CN"/>
        </w:rPr>
        <w:t>发行人还可以选择描述用于识别、评估和管理与上述规定有关的气候相关机会的任何程序。</w:t>
      </w:r>
    </w:p>
    <w:p w:rsidR="00C57F3B" w:rsidRDefault="00F5313D">
      <w:pPr>
        <w:pStyle w:val="BodyText"/>
        <w:rPr>
          <w:lang w:eastAsia="zh-CN"/>
        </w:rPr>
      </w:pPr>
      <w:r>
        <w:rPr>
          <w:lang w:eastAsia="zh-CN"/>
        </w:rPr>
        <w:t>指标及目标</w:t>
      </w:r>
    </w:p>
    <w:p w:rsidR="00C57F3B" w:rsidRDefault="00F5313D">
      <w:pPr>
        <w:pStyle w:val="BodyText"/>
        <w:rPr>
          <w:lang w:eastAsia="zh-CN"/>
        </w:rPr>
      </w:pPr>
      <w:r>
        <w:rPr>
          <w:lang w:eastAsia="zh-CN"/>
        </w:rPr>
        <w:t>根据现行的交易所《上市规则》，发行人须按「不遵守就解释」基准披露环境关键绩效指标。然而，联交所认识到，投资者需要更全面的信息，以评估企业所面临的碳足迹和转型风险。因此，港交所建议将范围</w:t>
      </w:r>
      <w:r>
        <w:rPr>
          <w:lang w:eastAsia="zh-CN"/>
        </w:rPr>
        <w:t>1</w:t>
      </w:r>
      <w:r>
        <w:rPr>
          <w:lang w:eastAsia="zh-CN"/>
        </w:rPr>
        <w:t>和范围</w:t>
      </w:r>
      <w:r>
        <w:rPr>
          <w:lang w:eastAsia="zh-CN"/>
        </w:rPr>
        <w:t>2</w:t>
      </w:r>
      <w:r>
        <w:rPr>
          <w:lang w:eastAsia="zh-CN"/>
        </w:rPr>
        <w:t>的排放的报告义务提升为强制性，并纳入范围</w:t>
      </w:r>
      <w:r>
        <w:rPr>
          <w:lang w:eastAsia="zh-CN"/>
        </w:rPr>
        <w:t>3</w:t>
      </w:r>
      <w:r>
        <w:rPr>
          <w:lang w:eastAsia="zh-CN"/>
        </w:rPr>
        <w:t>的排放的披露标准。</w:t>
      </w:r>
      <w:hyperlink w:anchor="footnote-598-8">
        <w:r>
          <w:rPr>
            <w:vertAlign w:val="superscript"/>
            <w:lang w:eastAsia="zh-CN"/>
          </w:rPr>
          <w:t>8</w:t>
        </w:r>
      </w:hyperlink>
    </w:p>
    <w:p w:rsidR="00C57F3B" w:rsidRDefault="00F5313D">
      <w:pPr>
        <w:pStyle w:val="BodyText"/>
        <w:rPr>
          <w:lang w:eastAsia="zh-CN"/>
        </w:rPr>
      </w:pPr>
      <w:r>
        <w:rPr>
          <w:lang w:eastAsia="zh-CN"/>
        </w:rPr>
        <w:t>就范围</w:t>
      </w:r>
      <w:r>
        <w:rPr>
          <w:lang w:eastAsia="zh-CN"/>
        </w:rPr>
        <w:t>3</w:t>
      </w:r>
      <w:r>
        <w:rPr>
          <w:lang w:eastAsia="zh-CN"/>
        </w:rPr>
        <w:t>气体排放，联交所承认，发行人在收集他们无法控制的上下游利益相关者的数据方面面临实际挑战。联交所亦认为，发行人可能需要更多时间分析其价值链、识别重要的范围</w:t>
      </w:r>
      <w:r>
        <w:rPr>
          <w:lang w:eastAsia="zh-CN"/>
        </w:rPr>
        <w:t>3</w:t>
      </w:r>
      <w:r>
        <w:rPr>
          <w:lang w:eastAsia="zh-CN"/>
        </w:rPr>
        <w:t>的气体排放活动、收</w:t>
      </w:r>
      <w:r>
        <w:rPr>
          <w:lang w:eastAsia="zh-CN"/>
        </w:rPr>
        <w:t>集数据，以及建立适当的计算模型。</w:t>
      </w:r>
    </w:p>
    <w:p w:rsidR="00C57F3B" w:rsidRDefault="00F5313D">
      <w:pPr>
        <w:pStyle w:val="BodyText"/>
        <w:rPr>
          <w:lang w:eastAsia="zh-CN"/>
        </w:rPr>
      </w:pPr>
      <w:r>
        <w:rPr>
          <w:lang w:eastAsia="zh-CN"/>
        </w:rPr>
        <w:t>鉴于上述考虑，联交所现建议作出以下修订：</w:t>
      </w:r>
    </w:p>
    <w:tbl>
      <w:tblPr>
        <w:tblW w:w="5000" w:type="pct"/>
        <w:tblLook w:val="07C0" w:firstRow="0" w:lastRow="1" w:firstColumn="1" w:lastColumn="1" w:noHBand="1" w:noVBand="1"/>
      </w:tblPr>
      <w:tblGrid>
        <w:gridCol w:w="610"/>
        <w:gridCol w:w="4542"/>
        <w:gridCol w:w="5242"/>
      </w:tblGrid>
      <w:tr w:rsidR="00C57F3B">
        <w:tc>
          <w:tcPr>
            <w:tcW w:w="0" w:type="auto"/>
          </w:tcPr>
          <w:p w:rsidR="00C57F3B" w:rsidRDefault="00F5313D">
            <w:r>
              <w:t>层面</w:t>
            </w:r>
          </w:p>
        </w:tc>
        <w:tc>
          <w:tcPr>
            <w:tcW w:w="0" w:type="auto"/>
          </w:tcPr>
          <w:p w:rsidR="00C57F3B" w:rsidRDefault="00F5313D">
            <w:r>
              <w:t>规定</w:t>
            </w:r>
          </w:p>
        </w:tc>
        <w:tc>
          <w:tcPr>
            <w:tcW w:w="0" w:type="auto"/>
          </w:tcPr>
          <w:p w:rsidR="00C57F3B" w:rsidRDefault="00F5313D">
            <w:r>
              <w:t>过渡规定</w:t>
            </w:r>
          </w:p>
        </w:tc>
      </w:tr>
      <w:tr w:rsidR="00C57F3B">
        <w:tc>
          <w:tcPr>
            <w:tcW w:w="0" w:type="auto"/>
          </w:tcPr>
          <w:p w:rsidR="00C57F3B" w:rsidRDefault="00F5313D">
            <w:r>
              <w:t>温室气体排放</w:t>
            </w:r>
          </w:p>
        </w:tc>
        <w:tc>
          <w:tcPr>
            <w:tcW w:w="0" w:type="auto"/>
          </w:tcPr>
          <w:p w:rsidR="00C57F3B" w:rsidRDefault="00F5313D">
            <w:pPr>
              <w:rPr>
                <w:lang w:eastAsia="zh-CN"/>
              </w:rPr>
            </w:pPr>
            <w:r>
              <w:rPr>
                <w:lang w:eastAsia="zh-CN"/>
              </w:rPr>
              <w:t>披露报告期内产生的温室气体绝对总排放量，以二氧化碳当量公吨表示，分类如下：</w:t>
            </w:r>
          </w:p>
          <w:p w:rsidR="00C57F3B" w:rsidRDefault="00F5313D">
            <w:pPr>
              <w:pStyle w:val="Compact"/>
              <w:numPr>
                <w:ilvl w:val="0"/>
                <w:numId w:val="18"/>
              </w:numPr>
              <w:jc w:val="left"/>
            </w:pPr>
            <w:r>
              <w:t>范围</w:t>
            </w:r>
            <w:r>
              <w:t>1</w:t>
            </w:r>
            <w:r>
              <w:t>排放；</w:t>
            </w:r>
          </w:p>
          <w:p w:rsidR="00C57F3B" w:rsidRDefault="00F5313D">
            <w:pPr>
              <w:pStyle w:val="Compact"/>
              <w:numPr>
                <w:ilvl w:val="0"/>
                <w:numId w:val="18"/>
              </w:numPr>
              <w:jc w:val="left"/>
            </w:pPr>
            <w:r>
              <w:t>范围</w:t>
            </w:r>
            <w:r>
              <w:t>2</w:t>
            </w:r>
            <w:r>
              <w:t>排放；及</w:t>
            </w:r>
          </w:p>
          <w:p w:rsidR="00C57F3B" w:rsidRDefault="00F5313D">
            <w:pPr>
              <w:pStyle w:val="Compact"/>
              <w:numPr>
                <w:ilvl w:val="0"/>
                <w:numId w:val="18"/>
              </w:numPr>
              <w:jc w:val="left"/>
            </w:pPr>
            <w:r>
              <w:t>范围</w:t>
            </w:r>
            <w:r>
              <w:t>3</w:t>
            </w:r>
            <w:r>
              <w:t>排放。</w:t>
            </w:r>
          </w:p>
          <w:p w:rsidR="00C57F3B" w:rsidRDefault="00F5313D">
            <w:pPr>
              <w:rPr>
                <w:lang w:eastAsia="zh-CN"/>
              </w:rPr>
            </w:pPr>
            <w:r>
              <w:rPr>
                <w:lang w:eastAsia="zh-CN"/>
              </w:rPr>
              <w:t>披露以下有关温室气体排放的资料：</w:t>
            </w:r>
          </w:p>
          <w:p w:rsidR="00C57F3B" w:rsidRDefault="00F5313D">
            <w:pPr>
              <w:pStyle w:val="Compact"/>
              <w:numPr>
                <w:ilvl w:val="0"/>
                <w:numId w:val="19"/>
              </w:numPr>
              <w:jc w:val="left"/>
              <w:rPr>
                <w:lang w:eastAsia="zh-CN"/>
              </w:rPr>
            </w:pPr>
            <w:r>
              <w:rPr>
                <w:lang w:eastAsia="zh-CN"/>
              </w:rPr>
              <w:t>一份描述发行人温室气体排放测量标</w:t>
            </w:r>
            <w:r>
              <w:rPr>
                <w:lang w:eastAsia="zh-CN"/>
              </w:rPr>
              <w:lastRenderedPageBreak/>
              <w:t>准的声明，该声明必须是</w:t>
            </w:r>
            <w:r>
              <w:rPr>
                <w:lang w:eastAsia="zh-CN"/>
              </w:rPr>
              <w:t>(i)</w:t>
            </w:r>
            <w:r>
              <w:rPr>
                <w:lang w:eastAsia="zh-CN"/>
              </w:rPr>
              <w:t>温室气体议定书</w:t>
            </w:r>
            <w:r>
              <w:rPr>
                <w:lang w:eastAsia="zh-CN"/>
              </w:rPr>
              <w:t>;</w:t>
            </w:r>
            <w:r>
              <w:rPr>
                <w:lang w:eastAsia="zh-CN"/>
              </w:rPr>
              <w:t>或</w:t>
            </w:r>
            <w:r>
              <w:rPr>
                <w:lang w:eastAsia="zh-CN"/>
              </w:rPr>
              <w:t>(ii)</w:t>
            </w:r>
            <w:r>
              <w:rPr>
                <w:lang w:eastAsia="zh-CN"/>
              </w:rPr>
              <w:t>当地立法要求发行人使用的用于测量温室气体排放的议定书</w:t>
            </w:r>
            <w:r>
              <w:rPr>
                <w:lang w:eastAsia="zh-CN"/>
              </w:rPr>
              <w:t>;</w:t>
            </w:r>
          </w:p>
          <w:p w:rsidR="00C57F3B" w:rsidRDefault="00F5313D">
            <w:pPr>
              <w:pStyle w:val="Compact"/>
              <w:numPr>
                <w:ilvl w:val="0"/>
                <w:numId w:val="19"/>
              </w:numPr>
              <w:jc w:val="left"/>
              <w:rPr>
                <w:lang w:eastAsia="zh-CN"/>
              </w:rPr>
            </w:pPr>
            <w:r>
              <w:rPr>
                <w:lang w:eastAsia="zh-CN"/>
              </w:rPr>
              <w:t>采用的温室气体排放合并方法</w:t>
            </w:r>
            <w:r>
              <w:rPr>
                <w:lang w:eastAsia="zh-CN"/>
              </w:rPr>
              <w:t>:</w:t>
            </w:r>
            <w:r>
              <w:rPr>
                <w:lang w:eastAsia="zh-CN"/>
              </w:rPr>
              <w:t>股权、财务控制或运营控制；及</w:t>
            </w:r>
          </w:p>
          <w:p w:rsidR="00C57F3B" w:rsidRDefault="00F5313D">
            <w:pPr>
              <w:pStyle w:val="Compact"/>
              <w:numPr>
                <w:ilvl w:val="0"/>
                <w:numId w:val="19"/>
              </w:numPr>
              <w:jc w:val="left"/>
              <w:rPr>
                <w:lang w:eastAsia="zh-CN"/>
              </w:rPr>
            </w:pPr>
            <w:r>
              <w:rPr>
                <w:lang w:eastAsia="zh-CN"/>
              </w:rPr>
              <w:t>具体排除来源、设施和</w:t>
            </w:r>
            <w:r>
              <w:rPr>
                <w:lang w:eastAsia="zh-CN"/>
              </w:rPr>
              <w:t>/</w:t>
            </w:r>
            <w:r>
              <w:rPr>
                <w:lang w:eastAsia="zh-CN"/>
              </w:rPr>
              <w:t>或操作的摘要及其排除的理由。</w:t>
            </w:r>
          </w:p>
          <w:p w:rsidR="00C57F3B" w:rsidRDefault="00F5313D">
            <w:r>
              <w:t>就范围</w:t>
            </w:r>
            <w:r>
              <w:t>3</w:t>
            </w:r>
            <w:r>
              <w:t>排放，披露</w:t>
            </w:r>
            <w:r>
              <w:t>:</w:t>
            </w:r>
          </w:p>
          <w:p w:rsidR="00C57F3B" w:rsidRDefault="00F5313D">
            <w:pPr>
              <w:pStyle w:val="Compact"/>
              <w:numPr>
                <w:ilvl w:val="0"/>
                <w:numId w:val="20"/>
              </w:numPr>
              <w:jc w:val="left"/>
              <w:rPr>
                <w:lang w:eastAsia="zh-CN"/>
              </w:rPr>
            </w:pPr>
            <w:r>
              <w:rPr>
                <w:lang w:eastAsia="zh-CN"/>
              </w:rPr>
              <w:t>已纳入计算的价值链上重要的上游或下游活动类别；</w:t>
            </w:r>
          </w:p>
          <w:p w:rsidR="00C57F3B" w:rsidRDefault="00F5313D">
            <w:pPr>
              <w:pStyle w:val="Compact"/>
              <w:numPr>
                <w:ilvl w:val="0"/>
                <w:numId w:val="20"/>
              </w:numPr>
              <w:jc w:val="left"/>
              <w:rPr>
                <w:lang w:eastAsia="zh-CN"/>
              </w:rPr>
            </w:pPr>
            <w:r>
              <w:rPr>
                <w:lang w:eastAsia="zh-CN"/>
              </w:rPr>
              <w:t>选择此类上游或下游活动的依据；</w:t>
            </w:r>
          </w:p>
          <w:p w:rsidR="00C57F3B" w:rsidRDefault="00F5313D">
            <w:pPr>
              <w:pStyle w:val="Compact"/>
              <w:numPr>
                <w:ilvl w:val="0"/>
                <w:numId w:val="20"/>
              </w:numPr>
              <w:jc w:val="left"/>
              <w:rPr>
                <w:lang w:eastAsia="zh-CN"/>
              </w:rPr>
            </w:pPr>
            <w:r>
              <w:rPr>
                <w:lang w:eastAsia="zh-CN"/>
              </w:rPr>
              <w:t>当包含其价值链中实体提供的信息时，其测量第</w:t>
            </w:r>
            <w:r>
              <w:rPr>
                <w:lang w:eastAsia="zh-CN"/>
              </w:rPr>
              <w:t>3</w:t>
            </w:r>
            <w:r>
              <w:rPr>
                <w:lang w:eastAsia="zh-CN"/>
              </w:rPr>
              <w:t>类排放的基础；及</w:t>
            </w:r>
          </w:p>
          <w:p w:rsidR="00C57F3B" w:rsidRDefault="00F5313D">
            <w:pPr>
              <w:pStyle w:val="Compact"/>
              <w:numPr>
                <w:ilvl w:val="0"/>
                <w:numId w:val="20"/>
              </w:numPr>
              <w:jc w:val="left"/>
              <w:rPr>
                <w:lang w:eastAsia="zh-CN"/>
              </w:rPr>
            </w:pPr>
            <w:r>
              <w:rPr>
                <w:lang w:eastAsia="zh-CN"/>
              </w:rPr>
              <w:t>如果不包括上述</w:t>
            </w:r>
            <w:r>
              <w:rPr>
                <w:lang w:eastAsia="zh-CN"/>
              </w:rPr>
              <w:t>(iv)</w:t>
            </w:r>
            <w:r>
              <w:rPr>
                <w:lang w:eastAsia="zh-CN"/>
              </w:rPr>
              <w:t>项的温室气体排放，则省略的原因。</w:t>
            </w:r>
          </w:p>
        </w:tc>
        <w:tc>
          <w:tcPr>
            <w:tcW w:w="0" w:type="auto"/>
          </w:tcPr>
          <w:p w:rsidR="00C57F3B" w:rsidRDefault="00F5313D">
            <w:pPr>
              <w:rPr>
                <w:lang w:eastAsia="zh-CN"/>
              </w:rPr>
            </w:pPr>
            <w:r>
              <w:rPr>
                <w:lang w:eastAsia="zh-CN"/>
              </w:rPr>
              <w:lastRenderedPageBreak/>
              <w:t>于过渡期内，发行人若尚未披露所有有关范围</w:t>
            </w:r>
            <w:r>
              <w:rPr>
                <w:lang w:eastAsia="zh-CN"/>
              </w:rPr>
              <w:t>3</w:t>
            </w:r>
            <w:r>
              <w:rPr>
                <w:lang w:eastAsia="zh-CN"/>
              </w:rPr>
              <w:t>排放的资料，便应披露发行人在合理可得的情况下可提供，且可让投资者了解发行人于价值链中相关上游或下游活动的资料；及</w:t>
            </w:r>
          </w:p>
          <w:p w:rsidR="00C57F3B" w:rsidRDefault="00F5313D">
            <w:pPr>
              <w:rPr>
                <w:lang w:eastAsia="zh-CN"/>
              </w:rPr>
            </w:pPr>
            <w:r>
              <w:rPr>
                <w:lang w:eastAsia="zh-CN"/>
              </w:rPr>
              <w:t>其作出全面披露的工作计划、进度及时间表。</w:t>
            </w:r>
          </w:p>
        </w:tc>
      </w:tr>
    </w:tbl>
    <w:p w:rsidR="00C57F3B" w:rsidRDefault="00F5313D">
      <w:pPr>
        <w:pStyle w:val="BodyText"/>
        <w:rPr>
          <w:lang w:eastAsia="zh-CN"/>
        </w:rPr>
      </w:pPr>
      <w:r>
        <w:rPr>
          <w:b/>
          <w:lang w:eastAsia="zh-CN"/>
        </w:rPr>
        <w:t>其他跨行业指标</w:t>
      </w:r>
    </w:p>
    <w:p w:rsidR="00C57F3B" w:rsidRDefault="00F5313D">
      <w:pPr>
        <w:pStyle w:val="BodyText"/>
        <w:rPr>
          <w:lang w:eastAsia="zh-CN"/>
        </w:rPr>
      </w:pPr>
      <w:r>
        <w:rPr>
          <w:lang w:eastAsia="zh-CN"/>
        </w:rPr>
        <w:t>联交所亦建议披露下列跨行业指标，但须遵守一项过渡期规定：</w:t>
      </w:r>
    </w:p>
    <w:tbl>
      <w:tblPr>
        <w:tblW w:w="5000" w:type="pct"/>
        <w:tblLook w:val="07C0" w:firstRow="0" w:lastRow="1" w:firstColumn="1" w:lastColumn="1" w:noHBand="1" w:noVBand="1"/>
      </w:tblPr>
      <w:tblGrid>
        <w:gridCol w:w="2061"/>
        <w:gridCol w:w="8333"/>
      </w:tblGrid>
      <w:tr w:rsidR="00C57F3B">
        <w:tc>
          <w:tcPr>
            <w:tcW w:w="0" w:type="auto"/>
          </w:tcPr>
          <w:p w:rsidR="00C57F3B" w:rsidRDefault="00F5313D">
            <w:r>
              <w:t>方面</w:t>
            </w:r>
          </w:p>
        </w:tc>
        <w:tc>
          <w:tcPr>
            <w:tcW w:w="0" w:type="auto"/>
          </w:tcPr>
          <w:p w:rsidR="00C57F3B" w:rsidRDefault="00F5313D">
            <w:r>
              <w:t>规定</w:t>
            </w:r>
          </w:p>
        </w:tc>
      </w:tr>
      <w:tr w:rsidR="00C57F3B">
        <w:tc>
          <w:tcPr>
            <w:tcW w:w="0" w:type="auto"/>
          </w:tcPr>
          <w:p w:rsidR="00C57F3B" w:rsidRDefault="00F5313D">
            <w:r>
              <w:t>过渡风险</w:t>
            </w:r>
          </w:p>
        </w:tc>
        <w:tc>
          <w:tcPr>
            <w:tcW w:w="0" w:type="auto"/>
          </w:tcPr>
          <w:p w:rsidR="00C57F3B" w:rsidRDefault="00F5313D">
            <w:pPr>
              <w:rPr>
                <w:lang w:eastAsia="zh-CN"/>
              </w:rPr>
            </w:pPr>
            <w:r>
              <w:rPr>
                <w:lang w:eastAsia="zh-CN"/>
              </w:rPr>
              <w:t>披露易受过渡风险影响的资产或业务活动的数量和百分比。</w:t>
            </w:r>
          </w:p>
        </w:tc>
      </w:tr>
      <w:tr w:rsidR="00C57F3B">
        <w:tc>
          <w:tcPr>
            <w:tcW w:w="0" w:type="auto"/>
          </w:tcPr>
          <w:p w:rsidR="00C57F3B" w:rsidRDefault="00F5313D">
            <w:r>
              <w:t>实体风险</w:t>
            </w:r>
          </w:p>
        </w:tc>
        <w:tc>
          <w:tcPr>
            <w:tcW w:w="0" w:type="auto"/>
          </w:tcPr>
          <w:p w:rsidR="00C57F3B" w:rsidRDefault="00F5313D">
            <w:pPr>
              <w:rPr>
                <w:lang w:eastAsia="zh-CN"/>
              </w:rPr>
            </w:pPr>
            <w:r>
              <w:rPr>
                <w:lang w:eastAsia="zh-CN"/>
              </w:rPr>
              <w:t>披露易受实体风险影响的资产或业务活动的数量和百分比。</w:t>
            </w:r>
          </w:p>
        </w:tc>
      </w:tr>
      <w:tr w:rsidR="00C57F3B">
        <w:tc>
          <w:tcPr>
            <w:tcW w:w="0" w:type="auto"/>
          </w:tcPr>
          <w:p w:rsidR="00C57F3B" w:rsidRDefault="00F5313D">
            <w:r>
              <w:t>气候相关机遇</w:t>
            </w:r>
          </w:p>
        </w:tc>
        <w:tc>
          <w:tcPr>
            <w:tcW w:w="0" w:type="auto"/>
          </w:tcPr>
          <w:p w:rsidR="00C57F3B" w:rsidRDefault="00F5313D">
            <w:pPr>
              <w:rPr>
                <w:lang w:eastAsia="zh-CN"/>
              </w:rPr>
            </w:pPr>
            <w:r>
              <w:rPr>
                <w:lang w:eastAsia="zh-CN"/>
              </w:rPr>
              <w:t>披露与气候相关机遇相关的资产或商业活动的数量和百分比。</w:t>
            </w:r>
          </w:p>
        </w:tc>
      </w:tr>
      <w:tr w:rsidR="00C57F3B">
        <w:tc>
          <w:tcPr>
            <w:tcW w:w="0" w:type="auto"/>
          </w:tcPr>
          <w:p w:rsidR="00C57F3B" w:rsidRDefault="00F5313D">
            <w:r>
              <w:t>资本开支</w:t>
            </w:r>
          </w:p>
        </w:tc>
        <w:tc>
          <w:tcPr>
            <w:tcW w:w="0" w:type="auto"/>
          </w:tcPr>
          <w:p w:rsidR="00C57F3B" w:rsidRDefault="00F5313D">
            <w:pPr>
              <w:rPr>
                <w:lang w:eastAsia="zh-CN"/>
              </w:rPr>
            </w:pPr>
            <w:r>
              <w:rPr>
                <w:lang w:eastAsia="zh-CN"/>
              </w:rPr>
              <w:t>披露针对气候相关风险和机遇的资本支出、融资或投资金额。</w:t>
            </w:r>
          </w:p>
        </w:tc>
      </w:tr>
    </w:tbl>
    <w:p w:rsidR="00C57F3B" w:rsidRDefault="00F5313D">
      <w:pPr>
        <w:pStyle w:val="BodyText"/>
        <w:rPr>
          <w:lang w:eastAsia="zh-CN"/>
        </w:rPr>
      </w:pPr>
      <w:r>
        <w:rPr>
          <w:lang w:eastAsia="zh-CN"/>
        </w:rPr>
        <w:t>过渡期内尚未就上述指标作量化披露的发行人应披露：</w:t>
      </w:r>
    </w:p>
    <w:p w:rsidR="00C57F3B" w:rsidRDefault="00F5313D">
      <w:pPr>
        <w:pStyle w:val="Compact"/>
        <w:numPr>
          <w:ilvl w:val="0"/>
          <w:numId w:val="21"/>
        </w:numPr>
        <w:rPr>
          <w:lang w:eastAsia="zh-CN"/>
        </w:rPr>
      </w:pPr>
      <w:r>
        <w:rPr>
          <w:lang w:eastAsia="zh-CN"/>
        </w:rPr>
        <w:t>(i)</w:t>
      </w:r>
      <w:r>
        <w:rPr>
          <w:lang w:eastAsia="zh-CN"/>
        </w:rPr>
        <w:t>识别为容易受过渡风险／实体风险影响或涉及气候相关机遇的资产或业务活动；或</w:t>
      </w:r>
      <w:r>
        <w:rPr>
          <w:lang w:eastAsia="zh-CN"/>
        </w:rPr>
        <w:t>(ii)</w:t>
      </w:r>
      <w:r>
        <w:rPr>
          <w:lang w:eastAsia="zh-CN"/>
        </w:rPr>
        <w:t>需要资本开支、融资或投资以应对气候相关风险及机遇的活动类型；及</w:t>
      </w:r>
    </w:p>
    <w:p w:rsidR="00C57F3B" w:rsidRDefault="00F5313D">
      <w:pPr>
        <w:pStyle w:val="Compact"/>
        <w:numPr>
          <w:ilvl w:val="0"/>
          <w:numId w:val="21"/>
        </w:numPr>
        <w:rPr>
          <w:lang w:eastAsia="zh-CN"/>
        </w:rPr>
      </w:pPr>
      <w:r>
        <w:rPr>
          <w:lang w:eastAsia="zh-CN"/>
        </w:rPr>
        <w:t>其作出全面披露的工作计划、进度及时间表。</w:t>
      </w:r>
    </w:p>
    <w:p w:rsidR="00C57F3B" w:rsidRDefault="00F5313D">
      <w:pPr>
        <w:pStyle w:val="FirstParagraph"/>
        <w:rPr>
          <w:lang w:eastAsia="zh-CN"/>
        </w:rPr>
      </w:pPr>
      <w:r>
        <w:rPr>
          <w:b/>
          <w:lang w:eastAsia="zh-CN"/>
        </w:rPr>
        <w:t>内部碳价格</w:t>
      </w:r>
    </w:p>
    <w:p w:rsidR="00C57F3B" w:rsidRDefault="00F5313D">
      <w:pPr>
        <w:pStyle w:val="BodyText"/>
        <w:rPr>
          <w:lang w:eastAsia="zh-CN"/>
        </w:rPr>
      </w:pPr>
      <w:r>
        <w:rPr>
          <w:lang w:eastAsia="zh-CN"/>
        </w:rPr>
        <w:t>内部碳价格是公司用来评估气候相关风险和机遇的财务影响的规划工具。鉴于缺乏成熟的碳市场，建立内部碳价格可能具有挑战性。因此，联交所决定现阶段不强制发行人自设内部碳价格。</w:t>
      </w:r>
    </w:p>
    <w:p w:rsidR="00C57F3B" w:rsidRDefault="00F5313D">
      <w:pPr>
        <w:pStyle w:val="BodyText"/>
        <w:rPr>
          <w:lang w:eastAsia="zh-CN"/>
        </w:rPr>
      </w:pPr>
      <w:r>
        <w:rPr>
          <w:lang w:eastAsia="zh-CN"/>
        </w:rPr>
        <w:t>就自设内部碳价格的发行人而言，联交所要求他们披露：</w:t>
      </w:r>
    </w:p>
    <w:p w:rsidR="00C57F3B" w:rsidRDefault="00F5313D">
      <w:pPr>
        <w:pStyle w:val="Compact"/>
        <w:numPr>
          <w:ilvl w:val="0"/>
          <w:numId w:val="22"/>
        </w:numPr>
        <w:rPr>
          <w:lang w:eastAsia="zh-CN"/>
        </w:rPr>
      </w:pPr>
      <w:r>
        <w:rPr>
          <w:lang w:eastAsia="zh-CN"/>
        </w:rPr>
        <w:t>发行人用以评估其排放成本的每公吨温室气体排放的价格；及</w:t>
      </w:r>
    </w:p>
    <w:p w:rsidR="00C57F3B" w:rsidRDefault="00F5313D">
      <w:pPr>
        <w:pStyle w:val="Compact"/>
        <w:numPr>
          <w:ilvl w:val="0"/>
          <w:numId w:val="22"/>
        </w:numPr>
        <w:rPr>
          <w:lang w:eastAsia="zh-CN"/>
        </w:rPr>
      </w:pPr>
      <w:r>
        <w:rPr>
          <w:lang w:eastAsia="zh-CN"/>
        </w:rPr>
        <w:t>解释发行人如何在决策中应用碳价</w:t>
      </w:r>
      <w:r>
        <w:rPr>
          <w:lang w:eastAsia="zh-CN"/>
        </w:rPr>
        <w:t>(</w:t>
      </w:r>
      <w:r>
        <w:rPr>
          <w:lang w:eastAsia="zh-CN"/>
        </w:rPr>
        <w:t>例如，投资决策、转移定价和情景分析</w:t>
      </w:r>
      <w:r>
        <w:rPr>
          <w:lang w:eastAsia="zh-CN"/>
        </w:rPr>
        <w:t>)</w:t>
      </w:r>
      <w:r>
        <w:rPr>
          <w:lang w:eastAsia="zh-CN"/>
        </w:rPr>
        <w:t>。</w:t>
      </w:r>
    </w:p>
    <w:p w:rsidR="00C57F3B" w:rsidRDefault="00F5313D">
      <w:pPr>
        <w:pStyle w:val="FirstParagraph"/>
        <w:rPr>
          <w:lang w:eastAsia="zh-CN"/>
        </w:rPr>
      </w:pPr>
      <w:r>
        <w:rPr>
          <w:b/>
          <w:lang w:eastAsia="zh-CN"/>
        </w:rPr>
        <w:t>薪酬</w:t>
      </w:r>
    </w:p>
    <w:p w:rsidR="00C57F3B" w:rsidRDefault="00F5313D">
      <w:pPr>
        <w:pStyle w:val="BodyText"/>
        <w:rPr>
          <w:lang w:eastAsia="zh-CN"/>
        </w:rPr>
      </w:pPr>
      <w:r>
        <w:rPr>
          <w:lang w:eastAsia="zh-CN"/>
        </w:rPr>
        <w:t>联交所建议将国际标准理事会关于薪酬的规定纳入《上市规则》附录</w:t>
      </w:r>
      <w:r>
        <w:rPr>
          <w:lang w:eastAsia="zh-CN"/>
        </w:rPr>
        <w:t>27</w:t>
      </w:r>
      <w:r>
        <w:rPr>
          <w:lang w:eastAsia="zh-CN"/>
        </w:rPr>
        <w:t>。然而，它已决定不要求发行人披露与气候相关因素相关的薪酬百分比，因为这样做可能并不总是实际的。对要求进行了修改，要求发行人披露如何将气候相关因素纳入其薪酬政策。</w:t>
      </w:r>
    </w:p>
    <w:p w:rsidR="00C57F3B" w:rsidRDefault="00F5313D">
      <w:pPr>
        <w:pStyle w:val="BodyText"/>
        <w:rPr>
          <w:lang w:eastAsia="zh-CN"/>
        </w:rPr>
      </w:pPr>
      <w:r>
        <w:rPr>
          <w:b/>
          <w:lang w:eastAsia="zh-CN"/>
        </w:rPr>
        <w:lastRenderedPageBreak/>
        <w:t>行业指标</w:t>
      </w:r>
    </w:p>
    <w:p w:rsidR="00C57F3B" w:rsidRDefault="00F5313D">
      <w:pPr>
        <w:pStyle w:val="BodyText"/>
        <w:rPr>
          <w:lang w:eastAsia="zh-CN"/>
        </w:rPr>
      </w:pPr>
      <w:r>
        <w:rPr>
          <w:lang w:eastAsia="zh-CN"/>
        </w:rPr>
        <w:t>由于国际</w:t>
      </w:r>
      <w:r>
        <w:rPr>
          <w:lang w:eastAsia="zh-CN"/>
        </w:rPr>
        <w:t>ESG</w:t>
      </w:r>
      <w:r>
        <w:rPr>
          <w:lang w:eastAsia="zh-CN"/>
        </w:rPr>
        <w:t>框架的不断发展，联交所现阶段不会强制要求采用基于行业的指标。相反，它鼓励发行人使用其他国际</w:t>
      </w:r>
      <w:r>
        <w:rPr>
          <w:lang w:eastAsia="zh-CN"/>
        </w:rPr>
        <w:t>ESG</w:t>
      </w:r>
      <w:r>
        <w:rPr>
          <w:lang w:eastAsia="zh-CN"/>
        </w:rPr>
        <w:t>报告框架，如</w:t>
      </w:r>
      <w:r>
        <w:rPr>
          <w:lang w:eastAsia="zh-CN"/>
        </w:rPr>
        <w:t>SASB</w:t>
      </w:r>
      <w:r>
        <w:rPr>
          <w:lang w:eastAsia="zh-CN"/>
        </w:rPr>
        <w:t>标准和</w:t>
      </w:r>
      <w:r>
        <w:rPr>
          <w:lang w:eastAsia="zh-CN"/>
        </w:rPr>
        <w:t>GRI</w:t>
      </w:r>
      <w:r>
        <w:rPr>
          <w:lang w:eastAsia="zh-CN"/>
        </w:rPr>
        <w:t>标准，作为行业特定披露的参考。</w:t>
      </w:r>
    </w:p>
    <w:p w:rsidR="00C57F3B" w:rsidRDefault="00F5313D" w:rsidP="00F5313D">
      <w:pPr>
        <w:pStyle w:val="BodyText"/>
        <w:jc w:val="left"/>
        <w:rPr>
          <w:lang w:eastAsia="zh-CN"/>
        </w:rPr>
      </w:pPr>
      <w:hyperlink w:anchor="footnote-598-1-backlink">
        <w:r>
          <w:rPr>
            <w:lang w:eastAsia="zh-CN"/>
          </w:rPr>
          <w:t>1</w:t>
        </w:r>
      </w:hyperlink>
      <w:r>
        <w:rPr>
          <w:lang w:eastAsia="zh-CN"/>
        </w:rPr>
        <w:t xml:space="preserve"> </w:t>
      </w:r>
      <w:r>
        <w:rPr>
          <w:lang w:eastAsia="zh-CN"/>
        </w:rPr>
        <w:t>经国际会计准则理事会</w:t>
      </w:r>
      <w:r>
        <w:rPr>
          <w:lang w:eastAsia="zh-CN"/>
        </w:rPr>
        <w:t>(ISSB)</w:t>
      </w:r>
      <w:r>
        <w:rPr>
          <w:lang w:eastAsia="zh-CN"/>
        </w:rPr>
        <w:t>审议补充或修改的《国际财务报告准则》</w:t>
      </w:r>
      <w:r>
        <w:rPr>
          <w:lang w:eastAsia="zh-CN"/>
        </w:rPr>
        <w:t>S2</w:t>
      </w:r>
      <w:r>
        <w:rPr>
          <w:lang w:eastAsia="zh-CN"/>
        </w:rPr>
        <w:t>气候相关披露征求意见稿。国际标准理事会表示，它打算在</w:t>
      </w:r>
      <w:r>
        <w:rPr>
          <w:lang w:eastAsia="zh-CN"/>
        </w:rPr>
        <w:t>2023</w:t>
      </w:r>
      <w:r>
        <w:rPr>
          <w:lang w:eastAsia="zh-CN"/>
        </w:rPr>
        <w:t>年第二季度末发布最终标准</w:t>
      </w:r>
    </w:p>
    <w:p w:rsidR="00C57F3B" w:rsidRDefault="00F5313D" w:rsidP="00F5313D">
      <w:pPr>
        <w:pStyle w:val="BodyText"/>
        <w:jc w:val="left"/>
        <w:rPr>
          <w:lang w:eastAsia="zh-CN"/>
        </w:rPr>
      </w:pPr>
      <w:hyperlink w:anchor="footnote-598-2-backlink">
        <w:r>
          <w:rPr>
            <w:lang w:eastAsia="zh-CN"/>
          </w:rPr>
          <w:t>2</w:t>
        </w:r>
      </w:hyperlink>
      <w:r>
        <w:rPr>
          <w:lang w:eastAsia="zh-CN"/>
        </w:rPr>
        <w:t xml:space="preserve"> </w:t>
      </w:r>
      <w:r>
        <w:rPr>
          <w:lang w:eastAsia="zh-CN"/>
        </w:rPr>
        <w:t>其中包括排放、资源利用、环境和自然资源以及气候变化</w:t>
      </w:r>
    </w:p>
    <w:p w:rsidR="00C57F3B" w:rsidRDefault="00F5313D" w:rsidP="00F5313D">
      <w:pPr>
        <w:pStyle w:val="BodyText"/>
        <w:jc w:val="left"/>
        <w:rPr>
          <w:lang w:eastAsia="zh-CN"/>
        </w:rPr>
      </w:pPr>
      <w:hyperlink w:anchor="footnote-598-3-backlink">
        <w:r>
          <w:rPr>
            <w:lang w:eastAsia="zh-CN"/>
          </w:rPr>
          <w:t>3</w:t>
        </w:r>
      </w:hyperlink>
      <w:r>
        <w:rPr>
          <w:lang w:eastAsia="zh-CN"/>
        </w:rPr>
        <w:t xml:space="preserve"> </w:t>
      </w:r>
      <w:r>
        <w:rPr>
          <w:lang w:eastAsia="zh-CN"/>
        </w:rPr>
        <w:t>其中包括就业、健康与安全、发展与培训、劳工标准、供应链管理、产品责任、反腐败和社区投资</w:t>
      </w:r>
    </w:p>
    <w:p w:rsidR="00C57F3B" w:rsidRDefault="00F5313D" w:rsidP="00F5313D">
      <w:pPr>
        <w:pStyle w:val="BodyText"/>
        <w:jc w:val="left"/>
        <w:rPr>
          <w:lang w:eastAsia="zh-CN"/>
        </w:rPr>
      </w:pPr>
      <w:hyperlink w:anchor="footnote-598-4-backlink">
        <w:r>
          <w:t>4</w:t>
        </w:r>
      </w:hyperlink>
      <w:r>
        <w:t xml:space="preserve"> </w:t>
      </w:r>
      <w:r>
        <w:t>关键绩效指标</w:t>
      </w:r>
      <w:r>
        <w:t>A1</w:t>
      </w:r>
      <w:r>
        <w:t>。</w:t>
      </w:r>
      <w:r>
        <w:rPr>
          <w:lang w:eastAsia="zh-CN"/>
        </w:rPr>
        <w:t>(</w:t>
      </w:r>
      <w:r>
        <w:rPr>
          <w:lang w:eastAsia="zh-CN"/>
        </w:rPr>
        <w:t>排放指标</w:t>
      </w:r>
      <w:r>
        <w:rPr>
          <w:lang w:eastAsia="zh-CN"/>
        </w:rPr>
        <w:t>)</w:t>
      </w:r>
      <w:r>
        <w:rPr>
          <w:lang w:eastAsia="zh-CN"/>
        </w:rPr>
        <w:t>、</w:t>
      </w:r>
      <w:r>
        <w:rPr>
          <w:lang w:eastAsia="zh-CN"/>
        </w:rPr>
        <w:t>A1.6(</w:t>
      </w:r>
      <w:r>
        <w:rPr>
          <w:lang w:eastAsia="zh-CN"/>
        </w:rPr>
        <w:t>减少废物指标</w:t>
      </w:r>
      <w:r>
        <w:rPr>
          <w:lang w:eastAsia="zh-CN"/>
        </w:rPr>
        <w:t>)</w:t>
      </w:r>
      <w:r>
        <w:rPr>
          <w:lang w:eastAsia="zh-CN"/>
        </w:rPr>
        <w:t>、</w:t>
      </w:r>
      <w:r>
        <w:rPr>
          <w:lang w:eastAsia="zh-CN"/>
        </w:rPr>
        <w:t>A2.3(</w:t>
      </w:r>
      <w:r>
        <w:rPr>
          <w:lang w:eastAsia="zh-CN"/>
        </w:rPr>
        <w:t>能源使用效率指标</w:t>
      </w:r>
      <w:r>
        <w:rPr>
          <w:lang w:eastAsia="zh-CN"/>
        </w:rPr>
        <w:t>)</w:t>
      </w:r>
      <w:r>
        <w:rPr>
          <w:lang w:eastAsia="zh-CN"/>
        </w:rPr>
        <w:t>及</w:t>
      </w:r>
      <w:r>
        <w:rPr>
          <w:lang w:eastAsia="zh-CN"/>
        </w:rPr>
        <w:t>A2.4(</w:t>
      </w:r>
      <w:r>
        <w:rPr>
          <w:lang w:eastAsia="zh-CN"/>
        </w:rPr>
        <w:t>用水效率指标</w:t>
      </w:r>
      <w:r>
        <w:rPr>
          <w:lang w:eastAsia="zh-CN"/>
        </w:rPr>
        <w:t>)</w:t>
      </w:r>
    </w:p>
    <w:p w:rsidR="00C57F3B" w:rsidRDefault="00F5313D" w:rsidP="00F5313D">
      <w:pPr>
        <w:pStyle w:val="BodyText"/>
        <w:jc w:val="left"/>
        <w:rPr>
          <w:lang w:eastAsia="zh-CN"/>
        </w:rPr>
      </w:pPr>
      <w:hyperlink w:anchor="footnote-598-5-backlink">
        <w:r>
          <w:rPr>
            <w:lang w:eastAsia="zh-CN"/>
          </w:rPr>
          <w:t>5</w:t>
        </w:r>
      </w:hyperlink>
      <w:r>
        <w:rPr>
          <w:lang w:eastAsia="zh-CN"/>
        </w:rPr>
        <w:t xml:space="preserve"> </w:t>
      </w:r>
      <w:r>
        <w:rPr>
          <w:lang w:eastAsia="zh-CN"/>
        </w:rPr>
        <w:t>情景分析是一种工具，用于识别和评估在不确定条件下未来与气候相关的一系列假设结果</w:t>
      </w:r>
    </w:p>
    <w:p w:rsidR="00C57F3B" w:rsidRDefault="00F5313D" w:rsidP="00F5313D">
      <w:pPr>
        <w:pStyle w:val="BodyText"/>
        <w:jc w:val="left"/>
        <w:rPr>
          <w:lang w:eastAsia="zh-CN"/>
        </w:rPr>
      </w:pPr>
      <w:hyperlink w:anchor="footnote-598-6-backlink">
        <w:r>
          <w:rPr>
            <w:lang w:eastAsia="zh-CN"/>
          </w:rPr>
          <w:t>6</w:t>
        </w:r>
      </w:hyperlink>
      <w:r>
        <w:rPr>
          <w:lang w:eastAsia="zh-CN"/>
        </w:rPr>
        <w:t xml:space="preserve"> </w:t>
      </w:r>
      <w:r>
        <w:rPr>
          <w:lang w:eastAsia="zh-CN"/>
        </w:rPr>
        <w:t>情景分析是一种工具，用于识别和评估在不确定条件下未来与气候相关的一系列假设结果</w:t>
      </w:r>
    </w:p>
    <w:p w:rsidR="00C57F3B" w:rsidRDefault="00F5313D" w:rsidP="00F5313D">
      <w:pPr>
        <w:pStyle w:val="BodyText"/>
        <w:jc w:val="left"/>
        <w:rPr>
          <w:lang w:eastAsia="zh-CN"/>
        </w:rPr>
      </w:pPr>
      <w:hyperlink w:anchor="footnote-598-7-backlink">
        <w:r>
          <w:rPr>
            <w:lang w:eastAsia="zh-CN"/>
          </w:rPr>
          <w:t>7</w:t>
        </w:r>
      </w:hyperlink>
      <w:r>
        <w:rPr>
          <w:lang w:eastAsia="zh-CN"/>
        </w:rPr>
        <w:t xml:space="preserve"> </w:t>
      </w:r>
      <w:r>
        <w:rPr>
          <w:lang w:eastAsia="zh-CN"/>
        </w:rPr>
        <w:t>发行人应按照香港财务报告准则、《国际财务报告准则》、《中国企业会计准则》或联交所可接受的其他海外财务报告准则，在其财务报表中考虑与气候有关的事项。如果量化信息在财务报表中没有作为一个单独的项目表示，发行人必须说明这些信息是如何在其财务报表中反映出来的</w:t>
      </w:r>
    </w:p>
    <w:p w:rsidR="00C57F3B" w:rsidRDefault="00F5313D" w:rsidP="00F5313D">
      <w:pPr>
        <w:pStyle w:val="BodyText"/>
        <w:jc w:val="left"/>
        <w:rPr>
          <w:lang w:eastAsia="zh-CN"/>
        </w:rPr>
      </w:pPr>
      <w:hyperlink w:anchor="footnote-598-8-backlink">
        <w:r>
          <w:rPr>
            <w:lang w:eastAsia="zh-CN"/>
          </w:rPr>
          <w:t>8</w:t>
        </w:r>
      </w:hyperlink>
      <w:r>
        <w:rPr>
          <w:lang w:eastAsia="zh-CN"/>
        </w:rPr>
        <w:t xml:space="preserve"> </w:t>
      </w:r>
      <w:r>
        <w:rPr>
          <w:lang w:eastAsia="zh-CN"/>
        </w:rPr>
        <w:t>范围</w:t>
      </w:r>
      <w:r>
        <w:rPr>
          <w:lang w:eastAsia="zh-CN"/>
        </w:rPr>
        <w:t>1</w:t>
      </w:r>
      <w:r>
        <w:rPr>
          <w:lang w:eastAsia="zh-CN"/>
        </w:rPr>
        <w:t>气体排放包括由公司控制或拥有的排放源产生的直接温室气体排放。范围</w:t>
      </w:r>
      <w:r>
        <w:rPr>
          <w:lang w:eastAsia="zh-CN"/>
        </w:rPr>
        <w:t>2</w:t>
      </w:r>
      <w:r>
        <w:rPr>
          <w:lang w:eastAsia="zh-CN"/>
        </w:rPr>
        <w:t>排放包括购买的电力、热力、蒸汽和冷却产生的间接排放。范围</w:t>
      </w:r>
      <w:r>
        <w:rPr>
          <w:lang w:eastAsia="zh-CN"/>
        </w:rPr>
        <w:t>3</w:t>
      </w:r>
      <w:r>
        <w:rPr>
          <w:lang w:eastAsia="zh-CN"/>
        </w:rPr>
        <w:t>排放包括公司价值链中发生的所有其他间接排放，如商务旅行、购买的商品和服务、废物处理和员工通勤。</w:t>
      </w:r>
    </w:p>
    <w:p w:rsidR="00C57F3B" w:rsidRDefault="00F5313D">
      <w:pPr>
        <w:pStyle w:val="DisclaimerBold"/>
        <w:rPr>
          <w:lang w:eastAsia="zh-CN"/>
        </w:rPr>
      </w:pPr>
      <w:r>
        <w:rPr>
          <w:lang w:eastAsia="zh-CN"/>
        </w:rPr>
        <w:t>此法讯仅为提供相关资料信息之用，其内容并</w:t>
      </w:r>
    </w:p>
    <w:p w:rsidR="00C57F3B" w:rsidRDefault="00F5313D">
      <w:pPr>
        <w:pStyle w:val="Disclaimer"/>
        <w:rPr>
          <w:lang w:eastAsia="zh-CN"/>
        </w:rPr>
      </w:pPr>
      <w:r>
        <w:rPr>
          <w:lang w:eastAsia="zh-CN"/>
        </w:rPr>
        <w:t>不构成法律建议及个案的法律分析。</w:t>
      </w:r>
    </w:p>
    <w:p w:rsidR="00C57F3B" w:rsidRDefault="00F5313D">
      <w:pPr>
        <w:pStyle w:val="Disclaimer"/>
        <w:rPr>
          <w:lang w:eastAsia="zh-CN"/>
        </w:rPr>
      </w:pPr>
      <w:r>
        <w:rPr>
          <w:lang w:eastAsia="zh-CN"/>
        </w:rPr>
        <w:t>此法讯的发送并不是为了在易周律师行与用户或浏览者之间建立一种律师与客户之关系。</w:t>
      </w:r>
    </w:p>
    <w:p w:rsidR="00C57F3B" w:rsidRDefault="00F5313D">
      <w:pPr>
        <w:pStyle w:val="Disclaimer"/>
        <w:rPr>
          <w:lang w:eastAsia="zh-CN"/>
        </w:rPr>
      </w:pPr>
      <w:r>
        <w:rPr>
          <w:lang w:eastAsia="zh-CN"/>
        </w:rPr>
        <w:t>易周律师行并不对可从互联网获得的任何第</w:t>
      </w:r>
      <w:r>
        <w:rPr>
          <w:lang w:eastAsia="zh-CN"/>
        </w:rPr>
        <w:t>三方内容负责。</w:t>
      </w:r>
    </w:p>
    <w:p w:rsidR="00C57F3B" w:rsidRDefault="00F5313D">
      <w:pPr>
        <w:pStyle w:val="Disclaimer"/>
        <w:rPr>
          <w:lang w:eastAsia="zh-CN"/>
        </w:rPr>
      </w:pPr>
      <w:r>
        <w:rPr>
          <w:lang w:eastAsia="zh-CN"/>
        </w:rPr>
        <w:t>如你不希望再收到易周法讯，请发送电邮至</w:t>
      </w:r>
      <w:r>
        <w:rPr>
          <w:lang w:eastAsia="zh-CN"/>
        </w:rPr>
        <w:t xml:space="preserve">  </w:t>
      </w:r>
      <w:hyperlink r:id="rId10">
        <w:r>
          <w:rPr>
            <w:lang w:eastAsia="zh-CN"/>
          </w:rPr>
          <w:t>unsubscribe@charltonslaw.com</w:t>
        </w:r>
      </w:hyperlink>
    </w:p>
    <w:p w:rsidR="00C57F3B" w:rsidRDefault="00F5313D">
      <w:pPr>
        <w:pStyle w:val="BlackStrips"/>
      </w:pPr>
      <w:r>
        <w:t xml:space="preserve">Charltons - </w:t>
      </w:r>
      <w:r>
        <w:t>香港法律</w:t>
      </w:r>
      <w:r>
        <w:t xml:space="preserve"> - 2024</w:t>
      </w:r>
      <w:r>
        <w:t>年</w:t>
      </w:r>
      <w:bookmarkStart w:id="0" w:name="_GoBack"/>
      <w:bookmarkEnd w:id="0"/>
      <w:r>
        <w:t>2</w:t>
      </w:r>
      <w:r>
        <w:t>月</w:t>
      </w:r>
      <w:r>
        <w:t>28</w:t>
      </w:r>
      <w:r>
        <w:t>日</w:t>
      </w:r>
    </w:p>
    <w:sectPr w:rsidR="00C57F3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5313D">
      <w:pPr>
        <w:spacing w:after="0"/>
      </w:pPr>
      <w:r>
        <w:separator/>
      </w:r>
    </w:p>
  </w:endnote>
  <w:endnote w:type="continuationSeparator" w:id="0">
    <w:p w:rsidR="00000000" w:rsidRDefault="00F531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3B" w:rsidRDefault="00F5313D">
      <w:r>
        <w:separator/>
      </w:r>
    </w:p>
  </w:footnote>
  <w:footnote w:type="continuationSeparator" w:id="0">
    <w:p w:rsidR="00C57F3B" w:rsidRDefault="00F53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7D0B23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3DA09B6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65C6D5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2774F4F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4" w15:restartNumberingAfterBreak="0">
    <w:nsid w:val="71315DCA"/>
    <w:multiLevelType w:val="multilevel"/>
    <w:tmpl w:val="E468E79E"/>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B86B75"/>
    <w:rsid w:val="00BC48D5"/>
    <w:rsid w:val="00C36279"/>
    <w:rsid w:val="00C57F3B"/>
    <w:rsid w:val="00E315A3"/>
    <w:rsid w:val="00F5313D"/>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4493"/>
  <w15:docId w15:val="{AE4B7AB9-2D7E-470B-B293-5927EDCE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April-2023-Climate-related-Disclosures/Consultation-Paper/cp202304.pdf" TargetMode="External"/><Relationship Id="rId3" Type="http://schemas.openxmlformats.org/officeDocument/2006/relationships/settings" Target="settings.xml"/><Relationship Id="rId7" Type="http://schemas.openxmlformats.org/officeDocument/2006/relationships/hyperlink" Target="http://www.charltonslaw.com.cn/xiang-gang-lian-jiao-suo-jiu-huan-jing-she-hui-ji-guan-zhi-bao-gao-de-qiang-zhi-xing-qi-hou-pi-l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ifrs.org/content/dam/ifrs/project/climate-related-disclosures/issb-exposure-draft-2022-2-climate-related-disclos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1238</Words>
  <Characters>7060</Characters>
  <Application>Microsoft Office Word</Application>
  <DocSecurity>0</DocSecurity>
  <Lines>58</Lines>
  <Paragraphs>16</Paragraphs>
  <ScaleCrop>false</ScaleCrop>
  <Company>Charltons</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2024-02-28T06:54:00Z</dcterms:created>
  <dcterms:modified xsi:type="dcterms:W3CDTF">2024-02-28T07:21:00Z</dcterms:modified>
</cp:coreProperties>
</file>