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87D" w:rsidRDefault="00FD197F">
      <w:pPr>
        <w:pStyle w:val="BlackStrips"/>
      </w:pPr>
      <w:r>
        <w:t xml:space="preserve">Charltons - </w:t>
      </w:r>
      <w:r>
        <w:t>香港法律</w:t>
      </w:r>
      <w:r>
        <w:t xml:space="preserve"> - 2024</w:t>
      </w:r>
      <w:r>
        <w:t>年</w:t>
      </w:r>
      <w:r>
        <w:t>10</w:t>
      </w:r>
      <w:r>
        <w:t>月</w:t>
      </w:r>
      <w:r>
        <w:t>9</w:t>
      </w:r>
      <w:r>
        <w:t>日</w:t>
      </w:r>
    </w:p>
    <w:p w:rsidR="00DB587D" w:rsidRDefault="00FD197F">
      <w:pPr>
        <w:pStyle w:val="ReadOnline"/>
        <w:rPr>
          <w:lang w:eastAsia="zh-CN"/>
        </w:rPr>
      </w:pPr>
      <w:hyperlink r:id="rId7">
        <w:r>
          <w:rPr>
            <w:lang w:eastAsia="zh-CN"/>
          </w:rPr>
          <w:t>online version</w:t>
        </w:r>
      </w:hyperlink>
    </w:p>
    <w:p w:rsidR="00DB587D" w:rsidRDefault="00FD197F">
      <w:pPr>
        <w:pStyle w:val="Title"/>
        <w:rPr>
          <w:lang w:eastAsia="zh-CN"/>
        </w:rPr>
      </w:pPr>
      <w:r>
        <w:rPr>
          <w:lang w:eastAsia="zh-CN"/>
        </w:rPr>
        <w:t>香港联交所就下调香港证券市场股票最低上落价位展开谘询</w:t>
      </w:r>
    </w:p>
    <w:p w:rsidR="00DB587D" w:rsidRDefault="00FD197F">
      <w:pPr>
        <w:pStyle w:val="FirstParagraph"/>
        <w:rPr>
          <w:lang w:eastAsia="zh-CN"/>
        </w:rPr>
      </w:pPr>
      <w:r>
        <w:rPr>
          <w:lang w:eastAsia="zh-CN"/>
        </w:rPr>
        <w:t>香港交易所（</w:t>
      </w:r>
      <w:r>
        <w:rPr>
          <w:b/>
          <w:lang w:eastAsia="zh-CN"/>
        </w:rPr>
        <w:t>联交所</w:t>
      </w:r>
      <w:r>
        <w:rPr>
          <w:lang w:eastAsia="zh-CN"/>
        </w:rPr>
        <w:t>）刊发了一份</w:t>
      </w:r>
      <w:hyperlink r:id="rId8">
        <w:r>
          <w:rPr>
            <w:lang w:eastAsia="zh-CN"/>
          </w:rPr>
          <w:t>谘询文件</w:t>
        </w:r>
      </w:hyperlink>
      <w:r>
        <w:rPr>
          <w:lang w:eastAsia="zh-CN"/>
        </w:rPr>
        <w:t>，就分两阶段降低包括股票、房地产投资信托基金和股本权证等某些香港证券的最低上落价位（或最小价格变动单位）的提议征求意见。这些提议由香港政府委任的促进股票</w:t>
      </w:r>
      <w:r>
        <w:rPr>
          <w:lang w:eastAsia="zh-CN"/>
        </w:rPr>
        <w:t>市场流动性专责小组提出，目标是通过缩窄买卖价差及交易成本以增强香港市场流动性及国际竞争力。</w:t>
      </w:r>
    </w:p>
    <w:p w:rsidR="00DB587D" w:rsidRDefault="00FD197F">
      <w:pPr>
        <w:pStyle w:val="BodyText"/>
        <w:rPr>
          <w:lang w:eastAsia="zh-CN"/>
        </w:rPr>
      </w:pPr>
      <w:r>
        <w:rPr>
          <w:lang w:eastAsia="zh-CN"/>
        </w:rPr>
        <w:t>联交所正在就这些建议征求意见，并将意见截止日期设定为</w:t>
      </w:r>
      <w:r>
        <w:rPr>
          <w:lang w:eastAsia="zh-CN"/>
        </w:rPr>
        <w:t>2024</w:t>
      </w:r>
      <w:r>
        <w:rPr>
          <w:lang w:eastAsia="zh-CN"/>
        </w:rPr>
        <w:t>年</w:t>
      </w:r>
      <w:r>
        <w:rPr>
          <w:lang w:eastAsia="zh-CN"/>
        </w:rPr>
        <w:t>9</w:t>
      </w:r>
      <w:r>
        <w:rPr>
          <w:lang w:eastAsia="zh-CN"/>
        </w:rPr>
        <w:t>月</w:t>
      </w:r>
      <w:r>
        <w:rPr>
          <w:lang w:eastAsia="zh-CN"/>
        </w:rPr>
        <w:t>20</w:t>
      </w:r>
      <w:r>
        <w:rPr>
          <w:lang w:eastAsia="zh-CN"/>
        </w:rPr>
        <w:t>日。</w:t>
      </w:r>
    </w:p>
    <w:p w:rsidR="00DB587D" w:rsidRDefault="00FD197F">
      <w:pPr>
        <w:pStyle w:val="BodyText"/>
        <w:rPr>
          <w:lang w:eastAsia="zh-CN"/>
        </w:rPr>
      </w:pPr>
      <w:r>
        <w:rPr>
          <w:lang w:eastAsia="zh-CN"/>
        </w:rPr>
        <w:t>建议下调最低上落价位的理据</w:t>
      </w:r>
    </w:p>
    <w:p w:rsidR="00DB587D" w:rsidRDefault="00FD197F">
      <w:pPr>
        <w:pStyle w:val="BodyText"/>
        <w:rPr>
          <w:lang w:eastAsia="zh-CN"/>
        </w:rPr>
      </w:pPr>
      <w:r>
        <w:rPr>
          <w:lang w:eastAsia="zh-CN"/>
        </w:rPr>
        <w:t>最低上落价位是在交易所买卖的证券的最小价格变动单位。它决定了买卖价差</w:t>
      </w:r>
      <w:r>
        <w:rPr>
          <w:lang w:eastAsia="zh-CN"/>
        </w:rPr>
        <w:t>—</w:t>
      </w:r>
      <w:r>
        <w:rPr>
          <w:lang w:eastAsia="zh-CN"/>
        </w:rPr>
        <w:t>一种证券的最高买价和最低卖价之间的差值，这是一种交易成本，并影响交易流动性。目前在联交所买卖证券的价差成本明显高于许多其他主要市场，下调最低上落价位可能有助于降低这一成本。然而，下调可能会潜在地使挂盘册深度变薄，并阻止流动性较差的证券交易，导致流</w:t>
      </w:r>
      <w:r>
        <w:rPr>
          <w:lang w:eastAsia="zh-CN"/>
        </w:rPr>
        <w:t>动性净减少。因此，联交所提议试图在下调价差成本和整体交易质量及流动性之间保持平衡。</w:t>
      </w:r>
    </w:p>
    <w:p w:rsidR="00DB587D" w:rsidRDefault="00FD197F">
      <w:pPr>
        <w:pStyle w:val="BodyText"/>
        <w:rPr>
          <w:lang w:eastAsia="zh-CN"/>
        </w:rPr>
      </w:pPr>
      <w:r>
        <w:rPr>
          <w:lang w:eastAsia="zh-CN"/>
        </w:rPr>
        <w:t>联交所认识到，最低上落价位会影响买卖价差，进而影响股票的交易流动性，特别是那些「受价位限制」或在最低上落价位或接近最低上落价位的股票。如果一只股票的交易受到其最低上落价位的限制，即其买卖价差几乎总是处于或非常接近最低上落价位，那么这只股票就被认为是「受价位限制」。谘询文件警告称，过小的最低上落价位可能会使订单分散在多个价格点，从而使挂盘册深度变薄，降低执行效率。这可能会阻止各类投资者群体，例如立即执行买卖盘以尽量降低风险的活</w:t>
      </w:r>
      <w:r>
        <w:rPr>
          <w:lang w:eastAsia="zh-CN"/>
        </w:rPr>
        <w:t>跃交易者、在于以较少价格点以尽量减少滑价成本的大宗投资者，以及偏好通过被动执行往返交易以从较大的价差中获得经济利益的散户投资者。</w:t>
      </w:r>
    </w:p>
    <w:p w:rsidR="00DB587D" w:rsidRDefault="00FD197F">
      <w:pPr>
        <w:pStyle w:val="BodyText"/>
        <w:rPr>
          <w:lang w:eastAsia="zh-CN"/>
        </w:rPr>
      </w:pPr>
      <w:r>
        <w:rPr>
          <w:lang w:eastAsia="zh-CN"/>
        </w:rPr>
        <w:t>香港股票市场流动性简介</w:t>
      </w:r>
    </w:p>
    <w:p w:rsidR="00DB587D" w:rsidRDefault="00FD197F">
      <w:pPr>
        <w:pStyle w:val="BodyText"/>
        <w:rPr>
          <w:lang w:eastAsia="zh-CN"/>
        </w:rPr>
      </w:pPr>
      <w:r>
        <w:rPr>
          <w:lang w:eastAsia="zh-CN"/>
        </w:rPr>
        <w:t>日均成交金额作为衡量流动性的标准指针，一般显示市场对个别股票的买卖意欲。咨询文件指出，价格在</w:t>
      </w:r>
      <w:r>
        <w:rPr>
          <w:lang w:eastAsia="zh-CN"/>
        </w:rPr>
        <w:t>0.5</w:t>
      </w:r>
      <w:r>
        <w:rPr>
          <w:lang w:eastAsia="zh-CN"/>
        </w:rPr>
        <w:t>港元或以下的股票，按数量计算占香港市场的</w:t>
      </w:r>
      <w:r>
        <w:rPr>
          <w:lang w:eastAsia="zh-CN"/>
        </w:rPr>
        <w:t>34%</w:t>
      </w:r>
      <w:r>
        <w:rPr>
          <w:lang w:eastAsia="zh-CN"/>
        </w:rPr>
        <w:t>以上，日均成交金额极小，因此流动性较差。鉴于这些低价股的挂盘册已经很薄，它们因此不是下调最低上落价位的理想候选对象。</w:t>
      </w:r>
    </w:p>
    <w:p w:rsidR="00DB587D" w:rsidRDefault="00FD197F">
      <w:pPr>
        <w:pStyle w:val="BodyText"/>
        <w:rPr>
          <w:lang w:eastAsia="zh-CN"/>
        </w:rPr>
      </w:pPr>
      <w:r>
        <w:rPr>
          <w:lang w:eastAsia="zh-CN"/>
        </w:rPr>
        <w:t>然而，价格在</w:t>
      </w:r>
      <w:r>
        <w:rPr>
          <w:lang w:eastAsia="zh-CN"/>
        </w:rPr>
        <w:t>0.5</w:t>
      </w:r>
      <w:r>
        <w:rPr>
          <w:lang w:eastAsia="zh-CN"/>
        </w:rPr>
        <w:t>港元至</w:t>
      </w:r>
      <w:r>
        <w:rPr>
          <w:lang w:eastAsia="zh-CN"/>
        </w:rPr>
        <w:t>500</w:t>
      </w:r>
      <w:r>
        <w:rPr>
          <w:lang w:eastAsia="zh-CN"/>
        </w:rPr>
        <w:t>港元之间的股票，在日均成交金额中占很大一部分，并且具有更好的交易流</w:t>
      </w:r>
      <w:r>
        <w:rPr>
          <w:lang w:eastAsia="zh-CN"/>
        </w:rPr>
        <w:t>动性，这使它们更适合下调最低上落价位。联交所强调，选择具有足够挂盘册深度的股票来下调最低上落价位非常重要，以避免损害净交易流动性。价格高于</w:t>
      </w:r>
      <w:r>
        <w:rPr>
          <w:lang w:eastAsia="zh-CN"/>
        </w:rPr>
        <w:t>0.5</w:t>
      </w:r>
      <w:r>
        <w:rPr>
          <w:lang w:eastAsia="zh-CN"/>
        </w:rPr>
        <w:t>港元的高价股通常具有更深的挂盘册深度，这表明它们更有能力应对下调最低上落价位可能带来的负面影响，可能是下调最低上落价位的理想候选对象。</w:t>
      </w:r>
    </w:p>
    <w:p w:rsidR="00DB587D" w:rsidRDefault="00FD197F">
      <w:pPr>
        <w:pStyle w:val="BodyText"/>
        <w:rPr>
          <w:lang w:eastAsia="zh-CN"/>
        </w:rPr>
      </w:pPr>
      <w:r>
        <w:rPr>
          <w:lang w:eastAsia="zh-CN"/>
        </w:rPr>
        <w:t>谘询文件指出，香港市场的投资者具有多样性，包括机构投资者、庄家以及散户投资者，他们因应最低上落价位的交易行为各有不同。联交所在提议对最低上落价位进行变更时考虑了这些不同的需求和行为，承认不同的投资者群体对不同类型的股票有不同的兴趣。</w:t>
      </w:r>
      <w:r>
        <w:rPr>
          <w:lang w:eastAsia="zh-CN"/>
        </w:rPr>
        <w:t>例如，散户投资者在对特定股票做出投资决策时，往往更优先考虑整体交易利润而非价差成本。</w:t>
      </w:r>
    </w:p>
    <w:p w:rsidR="00DB587D" w:rsidRDefault="00FD197F">
      <w:pPr>
        <w:pStyle w:val="BodyText"/>
        <w:rPr>
          <w:lang w:eastAsia="zh-CN"/>
        </w:rPr>
      </w:pPr>
      <w:r>
        <w:rPr>
          <w:lang w:eastAsia="zh-CN"/>
        </w:rPr>
        <w:t>其他国际交易所的交易成本及最低上落价位模式</w:t>
      </w:r>
    </w:p>
    <w:p w:rsidR="00DB587D" w:rsidRDefault="00FD197F">
      <w:pPr>
        <w:pStyle w:val="BodyText"/>
        <w:rPr>
          <w:lang w:eastAsia="zh-CN"/>
        </w:rPr>
      </w:pPr>
      <w:r>
        <w:rPr>
          <w:lang w:eastAsia="zh-CN"/>
        </w:rPr>
        <w:t>香港市场的买卖价差相对高于日本、中国大陆、英国和美国等其他主要交易所。联交所认为，通过下调最低上落价位，香港有降低交易成本的潜力，尽管这只是影响成本的几个因素之一，其他因素还包括股票的固有流动性。香港目前的交易成本还包括印花税、交易所和监管费用、征费以及经纪佣金，所有这些都影响交易行为。</w:t>
      </w:r>
    </w:p>
    <w:p w:rsidR="00DB587D" w:rsidRDefault="00FD197F">
      <w:pPr>
        <w:pStyle w:val="BodyText"/>
        <w:rPr>
          <w:lang w:eastAsia="zh-CN"/>
        </w:rPr>
      </w:pPr>
      <w:r>
        <w:rPr>
          <w:lang w:eastAsia="zh-CN"/>
        </w:rPr>
        <w:lastRenderedPageBreak/>
        <w:t>全球主要交易所最常见的最低上落价位安排主要有以下三种：</w:t>
      </w:r>
    </w:p>
    <w:p w:rsidR="00DB587D" w:rsidRDefault="00FD197F">
      <w:pPr>
        <w:pStyle w:val="Compact"/>
        <w:numPr>
          <w:ilvl w:val="0"/>
          <w:numId w:val="3"/>
        </w:numPr>
        <w:rPr>
          <w:lang w:eastAsia="zh-CN"/>
        </w:rPr>
      </w:pPr>
      <w:r>
        <w:rPr>
          <w:lang w:eastAsia="zh-CN"/>
        </w:rPr>
        <w:t>所有价格范围使用划一最低上落价位，如</w:t>
      </w:r>
      <w:r>
        <w:rPr>
          <w:lang w:eastAsia="zh-CN"/>
        </w:rPr>
        <w:t>在中国大陆和美国，所有股票都适用标准化的最低上落价位和每手交易股数；</w:t>
      </w:r>
    </w:p>
    <w:p w:rsidR="00DB587D" w:rsidRDefault="00FD197F">
      <w:pPr>
        <w:pStyle w:val="Compact"/>
        <w:numPr>
          <w:ilvl w:val="0"/>
          <w:numId w:val="3"/>
        </w:numPr>
        <w:rPr>
          <w:lang w:eastAsia="zh-CN"/>
        </w:rPr>
      </w:pPr>
      <w:r>
        <w:rPr>
          <w:lang w:eastAsia="zh-CN"/>
        </w:rPr>
        <w:t>所有股票使用单一价位表，价位表设分级制，根据价格区间设定最低上落价位，随着价格升高而增加，例子包括香港交易所、澳洲证券交易所、韩国交易所、新加坡交易所及台湾证券交易所；</w:t>
      </w:r>
    </w:p>
    <w:p w:rsidR="00DB587D" w:rsidRDefault="00FD197F">
      <w:pPr>
        <w:pStyle w:val="Compact"/>
        <w:numPr>
          <w:ilvl w:val="0"/>
          <w:numId w:val="3"/>
        </w:numPr>
        <w:rPr>
          <w:lang w:eastAsia="zh-CN"/>
        </w:rPr>
      </w:pPr>
      <w:r>
        <w:rPr>
          <w:lang w:eastAsia="zh-CN"/>
        </w:rPr>
        <w:t>多价位表，如伦敦和日本的证券交易所所使用的，股票按特定流动性指标（如成交量或日均成交金额）分类，流动性较高或日均成交金额较高的股票另设适用的价位表，使用较小的最低上落价位进行买卖。</w:t>
      </w:r>
    </w:p>
    <w:p w:rsidR="00DB587D" w:rsidRDefault="00FD197F">
      <w:pPr>
        <w:pStyle w:val="FirstParagraph"/>
        <w:rPr>
          <w:lang w:eastAsia="zh-CN"/>
        </w:rPr>
      </w:pPr>
      <w:r>
        <w:rPr>
          <w:lang w:eastAsia="zh-CN"/>
        </w:rPr>
        <w:t>上述许多交易所于过去二十年都曾下调最低上落价位，例如，日本证券交易所于</w:t>
      </w:r>
      <w:r>
        <w:rPr>
          <w:lang w:eastAsia="zh-CN"/>
        </w:rPr>
        <w:t>2014</w:t>
      </w:r>
      <w:r>
        <w:rPr>
          <w:lang w:eastAsia="zh-CN"/>
        </w:rPr>
        <w:t>年和</w:t>
      </w:r>
      <w:r>
        <w:rPr>
          <w:lang w:eastAsia="zh-CN"/>
        </w:rPr>
        <w:t>2023</w:t>
      </w:r>
      <w:r>
        <w:rPr>
          <w:lang w:eastAsia="zh-CN"/>
        </w:rPr>
        <w:t>年两次选定了个别股票采用一个上落价位较窄的价位表，根据日本证券交易所于</w:t>
      </w:r>
      <w:r>
        <w:rPr>
          <w:lang w:eastAsia="zh-CN"/>
        </w:rPr>
        <w:t>2024</w:t>
      </w:r>
      <w:r>
        <w:rPr>
          <w:lang w:eastAsia="zh-CN"/>
        </w:rPr>
        <w:t>年的评估，在降低投资者执行成本方面取得了成功，但由于买卖盘分散，各价格队伍的挂盘册深度亦均见下降。</w:t>
      </w:r>
    </w:p>
    <w:p w:rsidR="00DB587D" w:rsidRDefault="00FD197F">
      <w:pPr>
        <w:pStyle w:val="BodyText"/>
        <w:rPr>
          <w:lang w:eastAsia="zh-CN"/>
        </w:rPr>
      </w:pPr>
      <w:r>
        <w:rPr>
          <w:lang w:eastAsia="zh-CN"/>
        </w:rPr>
        <w:t>联交所过往对交易所买卖产品最低上落价位进行的检讨</w:t>
      </w:r>
    </w:p>
    <w:p w:rsidR="00DB587D" w:rsidRDefault="00FD197F">
      <w:pPr>
        <w:pStyle w:val="BodyText"/>
        <w:rPr>
          <w:lang w:eastAsia="zh-CN"/>
        </w:rPr>
      </w:pPr>
      <w:r>
        <w:rPr>
          <w:lang w:eastAsia="zh-CN"/>
        </w:rPr>
        <w:t>2020</w:t>
      </w:r>
      <w:r>
        <w:rPr>
          <w:lang w:eastAsia="zh-CN"/>
        </w:rPr>
        <w:t>年</w:t>
      </w:r>
      <w:r>
        <w:rPr>
          <w:lang w:eastAsia="zh-CN"/>
        </w:rPr>
        <w:t>6</w:t>
      </w:r>
      <w:r>
        <w:rPr>
          <w:lang w:eastAsia="zh-CN"/>
        </w:rPr>
        <w:t>月</w:t>
      </w:r>
      <w:r>
        <w:rPr>
          <w:lang w:eastAsia="zh-CN"/>
        </w:rPr>
        <w:t>1</w:t>
      </w:r>
      <w:r>
        <w:rPr>
          <w:lang w:eastAsia="zh-CN"/>
        </w:rPr>
        <w:t>日，联交所将所有该产品不同价格范围的最低上落价位全面下调</w:t>
      </w:r>
      <w:r>
        <w:rPr>
          <w:lang w:eastAsia="zh-CN"/>
        </w:rPr>
        <w:t>50%</w:t>
      </w:r>
      <w:r>
        <w:rPr>
          <w:lang w:eastAsia="zh-CN"/>
        </w:rPr>
        <w:t>至</w:t>
      </w:r>
      <w:r>
        <w:rPr>
          <w:lang w:eastAsia="zh-CN"/>
        </w:rPr>
        <w:t>90%</w:t>
      </w:r>
      <w:r>
        <w:rPr>
          <w:lang w:eastAsia="zh-CN"/>
        </w:rPr>
        <w:t>不等，以提高交易灵活性并降低投资者的交易成本。这一变化导致超过</w:t>
      </w:r>
      <w:r>
        <w:rPr>
          <w:lang w:eastAsia="zh-CN"/>
        </w:rPr>
        <w:t>70%</w:t>
      </w:r>
      <w:r>
        <w:rPr>
          <w:lang w:eastAsia="zh-CN"/>
        </w:rPr>
        <w:t>的香港上市交易所买卖产品的的买卖价差缩窄，平均每日成交金额过亿的交易所买卖产品的买卖价差平均收窄了</w:t>
      </w:r>
      <w:r>
        <w:rPr>
          <w:lang w:eastAsia="zh-CN"/>
        </w:rPr>
        <w:t>54%</w:t>
      </w:r>
      <w:r>
        <w:rPr>
          <w:lang w:eastAsia="zh-CN"/>
        </w:rPr>
        <w:t>。联交所亦优化了这类产品的</w:t>
      </w:r>
      <w:r>
        <w:rPr>
          <w:lang w:eastAsia="zh-CN"/>
        </w:rPr>
        <w:t>庄家制度，此举亦可能有助收窄买卖价差。</w:t>
      </w:r>
    </w:p>
    <w:p w:rsidR="00DB587D" w:rsidRDefault="00FD197F">
      <w:pPr>
        <w:pStyle w:val="BodyText"/>
        <w:rPr>
          <w:lang w:eastAsia="zh-CN"/>
        </w:rPr>
      </w:pPr>
      <w:r>
        <w:rPr>
          <w:lang w:eastAsia="zh-CN"/>
        </w:rPr>
        <w:t>联交所建议的下调最低上落价位的适用</w:t>
      </w:r>
    </w:p>
    <w:p w:rsidR="00DB587D" w:rsidRDefault="00FD197F">
      <w:pPr>
        <w:pStyle w:val="BodyText"/>
        <w:rPr>
          <w:lang w:eastAsia="zh-CN"/>
        </w:rPr>
      </w:pPr>
      <w:r>
        <w:rPr>
          <w:lang w:eastAsia="zh-CN"/>
        </w:rPr>
        <w:t>谘询文件中的建议基于其对香港证券市场流动性状况的检讨、国际惯例、近期交易所买卖产品市场最低上落价位下调以及初步的市场反馈。拟议的变更将适用于股票、房地产投资信托基金和股本权证（</w:t>
      </w:r>
      <w:r>
        <w:rPr>
          <w:b/>
          <w:lang w:eastAsia="zh-CN"/>
        </w:rPr>
        <w:t>适用证券</w:t>
      </w:r>
      <w:r>
        <w:rPr>
          <w:lang w:eastAsia="zh-CN"/>
        </w:rPr>
        <w:t>），而债务证券、交易所交易期权、交易所买卖产品和结构性产品的最低上落价位将保持不变。这是因为交易所买卖产品的最低上落价位已于</w:t>
      </w:r>
      <w:r>
        <w:rPr>
          <w:lang w:eastAsia="zh-CN"/>
        </w:rPr>
        <w:t>2020</w:t>
      </w:r>
      <w:r>
        <w:rPr>
          <w:lang w:eastAsia="zh-CN"/>
        </w:rPr>
        <w:t>年下调且交易效率良好，而结构性产品和债务证券表现出不同的交易行为和特征，例如，结构性产品的价格通常低于</w:t>
      </w:r>
      <w:r>
        <w:rPr>
          <w:lang w:eastAsia="zh-CN"/>
        </w:rPr>
        <w:t>2</w:t>
      </w:r>
      <w:r>
        <w:rPr>
          <w:lang w:eastAsia="zh-CN"/>
        </w:rPr>
        <w:t>港元。</w:t>
      </w:r>
    </w:p>
    <w:p w:rsidR="00DB587D" w:rsidRDefault="00FD197F">
      <w:pPr>
        <w:pStyle w:val="BodyText"/>
        <w:rPr>
          <w:lang w:eastAsia="zh-CN"/>
        </w:rPr>
      </w:pPr>
      <w:r>
        <w:rPr>
          <w:lang w:eastAsia="zh-CN"/>
        </w:rPr>
        <w:t>建议的下</w:t>
      </w:r>
      <w:r>
        <w:rPr>
          <w:lang w:eastAsia="zh-CN"/>
        </w:rPr>
        <w:t>调最低上落价位</w:t>
      </w:r>
    </w:p>
    <w:p w:rsidR="00DB587D" w:rsidRDefault="00FD197F">
      <w:pPr>
        <w:pStyle w:val="BodyText"/>
        <w:rPr>
          <w:lang w:eastAsia="zh-CN"/>
        </w:rPr>
      </w:pPr>
      <w:r>
        <w:rPr>
          <w:lang w:eastAsia="zh-CN"/>
        </w:rPr>
        <w:t>联交所的建议包括分阶段下调最低上落价位的方法。</w:t>
      </w:r>
    </w:p>
    <w:p w:rsidR="00DB587D" w:rsidRDefault="00FD197F">
      <w:pPr>
        <w:pStyle w:val="BodyText"/>
      </w:pPr>
      <w:r>
        <w:rPr>
          <w:b/>
        </w:rPr>
        <w:t>在第一阶段</w:t>
      </w:r>
      <w:r>
        <w:t>，它提议：</w:t>
      </w:r>
    </w:p>
    <w:p w:rsidR="00DB587D" w:rsidRDefault="00FD197F">
      <w:pPr>
        <w:pStyle w:val="Compact"/>
        <w:numPr>
          <w:ilvl w:val="0"/>
          <w:numId w:val="4"/>
        </w:numPr>
        <w:rPr>
          <w:lang w:eastAsia="zh-CN"/>
        </w:rPr>
      </w:pPr>
      <w:r>
        <w:rPr>
          <w:lang w:eastAsia="zh-CN"/>
        </w:rPr>
        <w:t>将</w:t>
      </w:r>
      <w:r>
        <w:rPr>
          <w:lang w:eastAsia="zh-CN"/>
        </w:rPr>
        <w:t>10</w:t>
      </w:r>
      <w:r>
        <w:rPr>
          <w:lang w:eastAsia="zh-CN"/>
        </w:rPr>
        <w:t>港元至</w:t>
      </w:r>
      <w:r>
        <w:rPr>
          <w:lang w:eastAsia="zh-CN"/>
        </w:rPr>
        <w:t>20</w:t>
      </w:r>
      <w:r>
        <w:rPr>
          <w:lang w:eastAsia="zh-CN"/>
        </w:rPr>
        <w:t>港元价格范围的股票的最低上落价位下调</w:t>
      </w:r>
      <w:r>
        <w:rPr>
          <w:lang w:eastAsia="zh-CN"/>
        </w:rPr>
        <w:t>50%</w:t>
      </w:r>
      <w:r>
        <w:rPr>
          <w:lang w:eastAsia="zh-CN"/>
        </w:rPr>
        <w:t>；</w:t>
      </w:r>
    </w:p>
    <w:p w:rsidR="00DB587D" w:rsidRDefault="00FD197F">
      <w:pPr>
        <w:pStyle w:val="Compact"/>
        <w:numPr>
          <w:ilvl w:val="0"/>
          <w:numId w:val="4"/>
        </w:numPr>
        <w:rPr>
          <w:lang w:eastAsia="zh-CN"/>
        </w:rPr>
      </w:pPr>
      <w:r>
        <w:rPr>
          <w:lang w:eastAsia="zh-CN"/>
        </w:rPr>
        <w:t>将</w:t>
      </w:r>
      <w:r>
        <w:rPr>
          <w:lang w:eastAsia="zh-CN"/>
        </w:rPr>
        <w:t>20</w:t>
      </w:r>
      <w:r>
        <w:rPr>
          <w:lang w:eastAsia="zh-CN"/>
        </w:rPr>
        <w:t>港元至</w:t>
      </w:r>
      <w:r>
        <w:rPr>
          <w:lang w:eastAsia="zh-CN"/>
        </w:rPr>
        <w:t>50</w:t>
      </w:r>
      <w:r>
        <w:rPr>
          <w:lang w:eastAsia="zh-CN"/>
        </w:rPr>
        <w:t>港元价格范围的股票的最低上落价位下调</w:t>
      </w:r>
      <w:r>
        <w:rPr>
          <w:lang w:eastAsia="zh-CN"/>
        </w:rPr>
        <w:t>60%</w:t>
      </w:r>
      <w:r>
        <w:rPr>
          <w:lang w:eastAsia="zh-CN"/>
        </w:rPr>
        <w:t>。</w:t>
      </w:r>
    </w:p>
    <w:p w:rsidR="00DB587D" w:rsidRDefault="00FD197F">
      <w:pPr>
        <w:pStyle w:val="FirstParagraph"/>
        <w:rPr>
          <w:lang w:eastAsia="zh-CN"/>
        </w:rPr>
      </w:pPr>
      <w:r>
        <w:rPr>
          <w:lang w:eastAsia="zh-CN"/>
        </w:rPr>
        <w:t>这一价格范围在日均成交额中占很大一部分，具有相对较高的价差与价格比率，并且有足够的挂盘册深度来吸收这一变化。联交所计划在第一阶段实施后观察六个月的效果，然后再考虑实施第二阶段，其决定将依据第一阶段的结果以及来自市场和监管机构的反馈。</w:t>
      </w:r>
    </w:p>
    <w:p w:rsidR="00DB587D" w:rsidRDefault="00FD197F">
      <w:pPr>
        <w:pStyle w:val="BodyText"/>
        <w:rPr>
          <w:lang w:eastAsia="zh-CN"/>
        </w:rPr>
      </w:pPr>
      <w:r>
        <w:rPr>
          <w:b/>
          <w:lang w:eastAsia="zh-CN"/>
        </w:rPr>
        <w:t>第二阶段</w:t>
      </w:r>
      <w:r>
        <w:rPr>
          <w:lang w:eastAsia="zh-CN"/>
        </w:rPr>
        <w:t>，如果实施，将：</w:t>
      </w:r>
    </w:p>
    <w:p w:rsidR="00DB587D" w:rsidRDefault="00FD197F">
      <w:pPr>
        <w:pStyle w:val="Compact"/>
        <w:numPr>
          <w:ilvl w:val="0"/>
          <w:numId w:val="5"/>
        </w:numPr>
        <w:rPr>
          <w:lang w:eastAsia="zh-CN"/>
        </w:rPr>
      </w:pPr>
      <w:r>
        <w:rPr>
          <w:lang w:eastAsia="zh-CN"/>
        </w:rPr>
        <w:t>将</w:t>
      </w:r>
      <w:r>
        <w:rPr>
          <w:lang w:eastAsia="zh-CN"/>
        </w:rPr>
        <w:t>0.5</w:t>
      </w:r>
      <w:r>
        <w:rPr>
          <w:lang w:eastAsia="zh-CN"/>
        </w:rPr>
        <w:t>港元至</w:t>
      </w:r>
      <w:r>
        <w:rPr>
          <w:lang w:eastAsia="zh-CN"/>
        </w:rPr>
        <w:t>10</w:t>
      </w:r>
      <w:r>
        <w:rPr>
          <w:lang w:eastAsia="zh-CN"/>
        </w:rPr>
        <w:t>港元价格范围的股票的最低上落价位下调</w:t>
      </w:r>
      <w:r>
        <w:rPr>
          <w:lang w:eastAsia="zh-CN"/>
        </w:rPr>
        <w:t>50%</w:t>
      </w:r>
      <w:r>
        <w:rPr>
          <w:lang w:eastAsia="zh-CN"/>
        </w:rPr>
        <w:t>，这些股票目前具有较高的价差与价格比率和合理的挂盘册深度；</w:t>
      </w:r>
    </w:p>
    <w:p w:rsidR="00DB587D" w:rsidRDefault="00FD197F">
      <w:pPr>
        <w:pStyle w:val="Compact"/>
        <w:numPr>
          <w:ilvl w:val="0"/>
          <w:numId w:val="5"/>
        </w:numPr>
        <w:rPr>
          <w:lang w:eastAsia="zh-CN"/>
        </w:rPr>
      </w:pPr>
      <w:r>
        <w:rPr>
          <w:lang w:eastAsia="zh-CN"/>
        </w:rPr>
        <w:t>排除流动性最强的股票，以避免影响可见的流动性。</w:t>
      </w:r>
    </w:p>
    <w:p w:rsidR="00DB587D" w:rsidRDefault="00FD197F">
      <w:pPr>
        <w:pStyle w:val="FirstParagraph"/>
        <w:rPr>
          <w:lang w:eastAsia="zh-CN"/>
        </w:rPr>
      </w:pPr>
      <w:r>
        <w:rPr>
          <w:lang w:eastAsia="zh-CN"/>
        </w:rPr>
        <w:t>不纳入最低上落价位范围的价格区间</w:t>
      </w:r>
    </w:p>
    <w:p w:rsidR="00DB587D" w:rsidRDefault="00FD197F">
      <w:pPr>
        <w:pStyle w:val="BodyText"/>
        <w:rPr>
          <w:lang w:eastAsia="zh-CN"/>
        </w:rPr>
      </w:pPr>
      <w:r>
        <w:rPr>
          <w:lang w:eastAsia="zh-CN"/>
        </w:rPr>
        <w:t>某些价格区间未被纳入建议的最低上落价位范围：</w:t>
      </w:r>
    </w:p>
    <w:p w:rsidR="00DB587D" w:rsidRDefault="00FD197F">
      <w:pPr>
        <w:pStyle w:val="Compact"/>
        <w:numPr>
          <w:ilvl w:val="0"/>
          <w:numId w:val="6"/>
        </w:numPr>
        <w:rPr>
          <w:lang w:eastAsia="zh-CN"/>
        </w:rPr>
      </w:pPr>
      <w:r>
        <w:rPr>
          <w:lang w:eastAsia="zh-CN"/>
        </w:rPr>
        <w:lastRenderedPageBreak/>
        <w:t>价格范围由</w:t>
      </w:r>
      <w:r>
        <w:rPr>
          <w:lang w:eastAsia="zh-CN"/>
        </w:rPr>
        <w:t>0.01</w:t>
      </w:r>
      <w:r>
        <w:rPr>
          <w:lang w:eastAsia="zh-CN"/>
        </w:rPr>
        <w:t>港元至</w:t>
      </w:r>
      <w:r>
        <w:rPr>
          <w:lang w:eastAsia="zh-CN"/>
        </w:rPr>
        <w:t>0.25</w:t>
      </w:r>
      <w:r>
        <w:rPr>
          <w:lang w:eastAsia="zh-CN"/>
        </w:rPr>
        <w:t>港元以及</w:t>
      </w:r>
      <w:r>
        <w:rPr>
          <w:lang w:eastAsia="zh-CN"/>
        </w:rPr>
        <w:t>0.25</w:t>
      </w:r>
      <w:r>
        <w:rPr>
          <w:lang w:eastAsia="zh-CN"/>
        </w:rPr>
        <w:t>港元至</w:t>
      </w:r>
      <w:r>
        <w:rPr>
          <w:lang w:eastAsia="zh-CN"/>
        </w:rPr>
        <w:t>0.5</w:t>
      </w:r>
      <w:r>
        <w:rPr>
          <w:lang w:eastAsia="zh-CN"/>
        </w:rPr>
        <w:t>港元之间的股票，它们在股票日均成交额中占比较小，且因其价差较大而受到散户投资者青睐，将保持当前的最低上落价位；</w:t>
      </w:r>
    </w:p>
    <w:p w:rsidR="00DB587D" w:rsidRDefault="00FD197F">
      <w:pPr>
        <w:pStyle w:val="Compact"/>
        <w:numPr>
          <w:ilvl w:val="0"/>
          <w:numId w:val="6"/>
        </w:numPr>
        <w:rPr>
          <w:lang w:eastAsia="zh-CN"/>
        </w:rPr>
      </w:pPr>
      <w:r>
        <w:rPr>
          <w:lang w:eastAsia="zh-CN"/>
        </w:rPr>
        <w:t>价格高于</w:t>
      </w:r>
      <w:r>
        <w:rPr>
          <w:lang w:eastAsia="zh-CN"/>
        </w:rPr>
        <w:t>50</w:t>
      </w:r>
      <w:r>
        <w:rPr>
          <w:lang w:eastAsia="zh-CN"/>
        </w:rPr>
        <w:t>港元的股票也不会改变，因为它们的价差与价格比率已经与目标范围和国际惯例相符。</w:t>
      </w:r>
    </w:p>
    <w:p w:rsidR="00DB587D" w:rsidRDefault="00FD197F">
      <w:pPr>
        <w:pStyle w:val="FirstParagraph"/>
        <w:rPr>
          <w:lang w:eastAsia="zh-CN"/>
        </w:rPr>
      </w:pPr>
      <w:r>
        <w:rPr>
          <w:lang w:eastAsia="zh-CN"/>
        </w:rPr>
        <w:t>第</w:t>
      </w:r>
      <w:r>
        <w:rPr>
          <w:lang w:eastAsia="zh-CN"/>
        </w:rPr>
        <w:t>一阶段和第二阶段建议的最低上落价位总结在以下表格中。</w:t>
      </w:r>
    </w:p>
    <w:tbl>
      <w:tblPr>
        <w:tblStyle w:val="TableGrid"/>
        <w:tblpPr w:leftFromText="180" w:rightFromText="180" w:vertAnchor="text" w:horzAnchor="page" w:tblpX="847" w:tblpY="1055"/>
        <w:tblW w:w="5000" w:type="pct"/>
        <w:tblLook w:val="04A0" w:firstRow="1" w:lastRow="0" w:firstColumn="1" w:lastColumn="0" w:noHBand="0" w:noVBand="1"/>
      </w:tblPr>
      <w:tblGrid>
        <w:gridCol w:w="3004"/>
        <w:gridCol w:w="1590"/>
        <w:gridCol w:w="2222"/>
        <w:gridCol w:w="1661"/>
        <w:gridCol w:w="1917"/>
      </w:tblGrid>
      <w:tr w:rsidR="00E55720" w:rsidRPr="008571DC" w:rsidTr="00B32B1B">
        <w:tc>
          <w:tcPr>
            <w:tcW w:w="5000" w:type="pct"/>
            <w:gridSpan w:val="5"/>
          </w:tcPr>
          <w:p w:rsidR="00E55720" w:rsidRPr="008571DC" w:rsidRDefault="00E55720" w:rsidP="00B32B1B">
            <w:pPr>
              <w:spacing w:before="180" w:after="100" w:afterAutospacing="1"/>
              <w:jc w:val="center"/>
              <w:rPr>
                <w:rFonts w:ascii="DFKai-SB" w:eastAsia="DFKai-SB" w:hAnsi="DFKai-SB" w:cs="DFKai-SB"/>
                <w:b/>
                <w:color w:val="1E2124"/>
                <w:lang w:eastAsia="zh-CN"/>
              </w:rPr>
            </w:pPr>
            <w:r w:rsidRPr="008571DC">
              <w:rPr>
                <w:rFonts w:ascii="DFKai-SB" w:eastAsia="DFKai-SB" w:hAnsi="DFKai-SB" w:cs="DFKai-SB" w:hint="eastAsia"/>
                <w:b/>
                <w:color w:val="1E2124"/>
                <w:lang w:eastAsia="zh-CN"/>
              </w:rPr>
              <w:t>第一阶段建议最低上落价位</w:t>
            </w:r>
            <w:r w:rsidRPr="008571DC">
              <w:rPr>
                <w:rFonts w:ascii="DFKai-SB" w:eastAsia="DFKai-SB" w:hAnsi="DFKai-SB" w:cs="DFKai-SB"/>
                <w:b/>
                <w:color w:val="1E2124"/>
                <w:lang w:eastAsia="zh-CN"/>
              </w:rPr>
              <w:t xml:space="preserve"> </w:t>
            </w:r>
          </w:p>
        </w:tc>
      </w:tr>
      <w:tr w:rsidR="00E55720" w:rsidRPr="008571DC" w:rsidTr="00B32B1B">
        <w:tc>
          <w:tcPr>
            <w:tcW w:w="1445" w:type="pct"/>
          </w:tcPr>
          <w:p w:rsidR="00E55720" w:rsidRPr="008571DC" w:rsidRDefault="00E55720" w:rsidP="00B32B1B">
            <w:pPr>
              <w:spacing w:before="180" w:after="100" w:afterAutospacing="1"/>
              <w:jc w:val="center"/>
              <w:rPr>
                <w:rFonts w:ascii="DFKai-SB" w:eastAsia="DFKai-SB" w:hAnsi="DFKai-SB" w:cs="DFKai-SB"/>
                <w:b/>
                <w:color w:val="1E2124"/>
                <w:lang w:eastAsia="zh-CN"/>
              </w:rPr>
            </w:pPr>
            <w:r w:rsidRPr="008571DC">
              <w:rPr>
                <w:rFonts w:ascii="DFKai-SB" w:eastAsia="DFKai-SB" w:hAnsi="DFKai-SB" w:cs="DFKai-SB" w:hint="eastAsia"/>
                <w:b/>
                <w:lang w:eastAsia="zh-CN"/>
              </w:rPr>
              <w:t>价格范围（港元）</w:t>
            </w:r>
            <w:r w:rsidRPr="008571DC">
              <w:rPr>
                <w:rFonts w:ascii="DFKai-SB" w:eastAsia="DFKai-SB" w:hAnsi="DFKai-SB" w:cs="DFKai-SB"/>
                <w:b/>
                <w:lang w:eastAsia="zh-CN"/>
              </w:rPr>
              <w:t xml:space="preserve"> </w:t>
            </w:r>
          </w:p>
        </w:tc>
        <w:tc>
          <w:tcPr>
            <w:tcW w:w="765" w:type="pct"/>
          </w:tcPr>
          <w:p w:rsidR="00E55720" w:rsidRPr="008571DC" w:rsidRDefault="00E55720" w:rsidP="00B32B1B">
            <w:pPr>
              <w:spacing w:before="180" w:after="100" w:afterAutospacing="1"/>
              <w:jc w:val="center"/>
              <w:rPr>
                <w:rFonts w:ascii="DFKai-SB" w:eastAsia="DFKai-SB" w:hAnsi="DFKai-SB" w:cs="DFKai-SB"/>
                <w:b/>
                <w:color w:val="1E2124"/>
                <w:lang w:eastAsia="zh-CN"/>
              </w:rPr>
            </w:pPr>
            <w:r w:rsidRPr="008571DC">
              <w:rPr>
                <w:rFonts w:ascii="DFKai-SB" w:eastAsia="DFKai-SB" w:hAnsi="DFKai-SB" w:cs="DFKai-SB" w:hint="eastAsia"/>
                <w:b/>
                <w:color w:val="1E2124"/>
                <w:lang w:eastAsia="zh-CN"/>
              </w:rPr>
              <w:t>原有最低上落价位</w:t>
            </w:r>
            <w:r w:rsidRPr="008571DC">
              <w:rPr>
                <w:rFonts w:ascii="DFKai-SB" w:eastAsia="DFKai-SB" w:hAnsi="DFKai-SB" w:cs="DFKai-SB"/>
                <w:b/>
                <w:color w:val="1E2124"/>
                <w:lang w:eastAsia="zh-CN"/>
              </w:rPr>
              <w:t xml:space="preserve"> </w:t>
            </w:r>
          </w:p>
        </w:tc>
        <w:tc>
          <w:tcPr>
            <w:tcW w:w="1068" w:type="pct"/>
          </w:tcPr>
          <w:p w:rsidR="00E55720" w:rsidRPr="008571DC" w:rsidRDefault="00E55720" w:rsidP="00B32B1B">
            <w:pPr>
              <w:spacing w:before="180" w:after="100" w:afterAutospacing="1"/>
              <w:jc w:val="center"/>
              <w:rPr>
                <w:rFonts w:ascii="DFKai-SB" w:eastAsia="DFKai-SB" w:hAnsi="DFKai-SB" w:cs="DFKai-SB"/>
                <w:b/>
                <w:color w:val="1E2124"/>
                <w:lang w:eastAsia="zh-CN"/>
              </w:rPr>
            </w:pPr>
            <w:r w:rsidRPr="008571DC">
              <w:rPr>
                <w:rFonts w:ascii="DFKai-SB" w:eastAsia="DFKai-SB" w:hAnsi="DFKai-SB" w:cs="DFKai-SB" w:hint="eastAsia"/>
                <w:b/>
                <w:color w:val="1E2124"/>
                <w:lang w:eastAsia="zh-CN"/>
              </w:rPr>
              <w:t>建议中最低上落价位</w:t>
            </w:r>
            <w:r w:rsidRPr="008571DC">
              <w:rPr>
                <w:rFonts w:ascii="DFKai-SB" w:eastAsia="DFKai-SB" w:hAnsi="DFKai-SB" w:cs="DFKai-SB"/>
                <w:b/>
                <w:color w:val="1E2124"/>
                <w:lang w:eastAsia="zh-CN"/>
              </w:rPr>
              <w:t xml:space="preserve"> </w:t>
            </w:r>
          </w:p>
        </w:tc>
        <w:tc>
          <w:tcPr>
            <w:tcW w:w="799" w:type="pct"/>
          </w:tcPr>
          <w:p w:rsidR="00E55720" w:rsidRPr="008571DC" w:rsidRDefault="00E55720" w:rsidP="00B32B1B">
            <w:pPr>
              <w:spacing w:before="180" w:after="100" w:afterAutospacing="1"/>
              <w:jc w:val="center"/>
              <w:rPr>
                <w:rFonts w:ascii="DFKai-SB" w:eastAsia="DFKai-SB" w:hAnsi="DFKai-SB" w:cs="DFKai-SB"/>
                <w:b/>
                <w:color w:val="1E2124"/>
                <w:lang w:eastAsia="zh-CN"/>
              </w:rPr>
            </w:pPr>
            <w:r w:rsidRPr="008571DC">
              <w:rPr>
                <w:rFonts w:ascii="DFKai-SB" w:eastAsia="DFKai-SB" w:hAnsi="DFKai-SB" w:cs="DFKai-SB" w:hint="eastAsia"/>
                <w:b/>
                <w:color w:val="1E2124"/>
                <w:lang w:eastAsia="zh-CN"/>
              </w:rPr>
              <w:t>原有价位价格比率（点子）</w:t>
            </w:r>
          </w:p>
        </w:tc>
        <w:tc>
          <w:tcPr>
            <w:tcW w:w="921" w:type="pct"/>
          </w:tcPr>
          <w:p w:rsidR="00E55720" w:rsidRPr="008571DC" w:rsidRDefault="00E55720" w:rsidP="00B32B1B">
            <w:pPr>
              <w:spacing w:before="180" w:after="100" w:afterAutospacing="1"/>
              <w:jc w:val="center"/>
              <w:rPr>
                <w:rFonts w:ascii="DFKai-SB" w:eastAsia="DFKai-SB" w:hAnsi="DFKai-SB" w:cs="DFKai-SB"/>
                <w:b/>
                <w:color w:val="1E2124"/>
                <w:lang w:eastAsia="zh-CN"/>
              </w:rPr>
            </w:pPr>
            <w:r w:rsidRPr="008571DC">
              <w:rPr>
                <w:rFonts w:ascii="DFKai-SB" w:eastAsia="DFKai-SB" w:hAnsi="DFKai-SB" w:cs="DFKai-SB" w:hint="eastAsia"/>
                <w:b/>
                <w:color w:val="1E2124"/>
                <w:lang w:eastAsia="zh-CN"/>
              </w:rPr>
              <w:t>建议中价位价格比率（点子）</w:t>
            </w:r>
          </w:p>
        </w:tc>
      </w:tr>
      <w:tr w:rsidR="00E55720" w:rsidRPr="008571DC" w:rsidTr="00B32B1B">
        <w:tc>
          <w:tcPr>
            <w:tcW w:w="1445" w:type="pct"/>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hint="eastAsia"/>
                <w:lang w:eastAsia="zh-CN"/>
              </w:rPr>
              <w:t>由</w:t>
            </w:r>
            <w:r w:rsidRPr="008571DC">
              <w:rPr>
                <w:rFonts w:ascii="DFKai-SB" w:eastAsia="DFKai-SB" w:hAnsi="DFKai-SB" w:cs="DFKai-SB"/>
                <w:lang w:eastAsia="zh-CN"/>
              </w:rPr>
              <w:t xml:space="preserve">0.01 </w:t>
            </w:r>
            <w:r w:rsidRPr="008571DC">
              <w:rPr>
                <w:rFonts w:ascii="DFKai-SB" w:eastAsia="DFKai-SB" w:hAnsi="DFKai-SB" w:cs="DFKai-SB" w:hint="eastAsia"/>
                <w:lang w:eastAsia="zh-CN"/>
              </w:rPr>
              <w:t>至</w:t>
            </w:r>
            <w:r w:rsidRPr="008571DC">
              <w:rPr>
                <w:rFonts w:ascii="DFKai-SB" w:eastAsia="DFKai-SB" w:hAnsi="DFKai-SB" w:cs="DFKai-SB"/>
                <w:lang w:eastAsia="zh-CN"/>
              </w:rPr>
              <w:t xml:space="preserve"> 0.25</w:t>
            </w:r>
          </w:p>
        </w:tc>
        <w:tc>
          <w:tcPr>
            <w:tcW w:w="1834" w:type="pct"/>
            <w:gridSpan w:val="2"/>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lang w:eastAsia="zh-CN"/>
              </w:rPr>
              <w:t>0.001</w:t>
            </w:r>
          </w:p>
        </w:tc>
        <w:tc>
          <w:tcPr>
            <w:tcW w:w="1720" w:type="pct"/>
            <w:gridSpan w:val="2"/>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lang w:eastAsia="zh-CN"/>
              </w:rPr>
              <w:t>40-1000</w:t>
            </w:r>
          </w:p>
        </w:tc>
      </w:tr>
      <w:tr w:rsidR="00E55720" w:rsidRPr="008571DC" w:rsidTr="00B32B1B">
        <w:tc>
          <w:tcPr>
            <w:tcW w:w="1445" w:type="pct"/>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hint="eastAsia"/>
                <w:lang w:eastAsia="zh-CN"/>
              </w:rPr>
              <w:t>高于</w:t>
            </w:r>
            <w:r w:rsidRPr="008571DC">
              <w:rPr>
                <w:rFonts w:ascii="DFKai-SB" w:eastAsia="DFKai-SB" w:hAnsi="DFKai-SB" w:cs="DFKai-SB"/>
                <w:lang w:eastAsia="zh-CN"/>
              </w:rPr>
              <w:t xml:space="preserve">0.25 </w:t>
            </w:r>
            <w:r w:rsidRPr="008571DC">
              <w:rPr>
                <w:rFonts w:ascii="DFKai-SB" w:eastAsia="DFKai-SB" w:hAnsi="DFKai-SB" w:cs="DFKai-SB" w:hint="eastAsia"/>
                <w:lang w:eastAsia="zh-CN"/>
              </w:rPr>
              <w:t>至</w:t>
            </w:r>
            <w:r w:rsidRPr="008571DC">
              <w:rPr>
                <w:rFonts w:ascii="DFKai-SB" w:eastAsia="DFKai-SB" w:hAnsi="DFKai-SB" w:cs="DFKai-SB"/>
                <w:lang w:eastAsia="zh-CN"/>
              </w:rPr>
              <w:t xml:space="preserve"> 0.50</w:t>
            </w:r>
          </w:p>
        </w:tc>
        <w:tc>
          <w:tcPr>
            <w:tcW w:w="1834" w:type="pct"/>
            <w:gridSpan w:val="2"/>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lang w:eastAsia="zh-CN"/>
              </w:rPr>
              <w:t>0.005</w:t>
            </w:r>
          </w:p>
        </w:tc>
        <w:tc>
          <w:tcPr>
            <w:tcW w:w="1720" w:type="pct"/>
            <w:gridSpan w:val="2"/>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lang w:eastAsia="zh-CN"/>
              </w:rPr>
              <w:t>100-200</w:t>
            </w:r>
          </w:p>
        </w:tc>
      </w:tr>
      <w:tr w:rsidR="00E55720" w:rsidRPr="008571DC" w:rsidTr="00B32B1B">
        <w:tc>
          <w:tcPr>
            <w:tcW w:w="1445" w:type="pct"/>
          </w:tcPr>
          <w:p w:rsidR="00E55720" w:rsidRPr="008571DC" w:rsidRDefault="00E55720" w:rsidP="00B32B1B">
            <w:pPr>
              <w:tabs>
                <w:tab w:val="left" w:pos="458"/>
              </w:tabs>
              <w:spacing w:before="180" w:after="100" w:afterAutospacing="1"/>
              <w:jc w:val="center"/>
              <w:rPr>
                <w:rFonts w:ascii="DFKai-SB" w:eastAsia="DFKai-SB" w:hAnsi="DFKai-SB" w:cs="DFKai-SB"/>
                <w:color w:val="1E2124"/>
              </w:rPr>
            </w:pPr>
            <w:r w:rsidRPr="008571DC">
              <w:rPr>
                <w:rFonts w:ascii="DFKai-SB" w:eastAsia="DFKai-SB" w:hAnsi="DFKai-SB" w:cs="DFKai-SB" w:hint="eastAsia"/>
                <w:lang w:eastAsia="zh-CN"/>
              </w:rPr>
              <w:t>高于</w:t>
            </w:r>
            <w:r w:rsidRPr="008571DC">
              <w:rPr>
                <w:rFonts w:ascii="DFKai-SB" w:eastAsia="DFKai-SB" w:hAnsi="DFKai-SB" w:cs="DFKai-SB"/>
                <w:lang w:eastAsia="zh-CN"/>
              </w:rPr>
              <w:t xml:space="preserve"> 0.50 </w:t>
            </w:r>
            <w:r w:rsidRPr="008571DC">
              <w:rPr>
                <w:rFonts w:ascii="DFKai-SB" w:eastAsia="DFKai-SB" w:hAnsi="DFKai-SB" w:cs="DFKai-SB" w:hint="eastAsia"/>
                <w:lang w:eastAsia="zh-CN"/>
              </w:rPr>
              <w:t>至</w:t>
            </w:r>
            <w:r w:rsidRPr="008571DC">
              <w:rPr>
                <w:rFonts w:ascii="DFKai-SB" w:eastAsia="DFKai-SB" w:hAnsi="DFKai-SB" w:cs="DFKai-SB"/>
                <w:lang w:eastAsia="zh-CN"/>
              </w:rPr>
              <w:t xml:space="preserve"> 10.00</w:t>
            </w:r>
          </w:p>
        </w:tc>
        <w:tc>
          <w:tcPr>
            <w:tcW w:w="1834" w:type="pct"/>
            <w:gridSpan w:val="2"/>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lang w:eastAsia="zh-CN"/>
              </w:rPr>
              <w:t>0.010</w:t>
            </w:r>
          </w:p>
        </w:tc>
        <w:tc>
          <w:tcPr>
            <w:tcW w:w="1720" w:type="pct"/>
            <w:gridSpan w:val="2"/>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lang w:eastAsia="zh-CN"/>
              </w:rPr>
              <w:t>10-200</w:t>
            </w:r>
          </w:p>
        </w:tc>
      </w:tr>
      <w:tr w:rsidR="00E55720" w:rsidRPr="008571DC" w:rsidTr="00B32B1B">
        <w:tc>
          <w:tcPr>
            <w:tcW w:w="1445" w:type="pct"/>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lang w:eastAsia="zh-CN"/>
              </w:rPr>
              <w:t xml:space="preserve">0.50 </w:t>
            </w:r>
            <w:r w:rsidRPr="008571DC">
              <w:rPr>
                <w:rFonts w:ascii="DFKai-SB" w:eastAsia="DFKai-SB" w:hAnsi="DFKai-SB" w:cs="DFKai-SB" w:hint="eastAsia"/>
                <w:lang w:eastAsia="zh-CN"/>
              </w:rPr>
              <w:t>至</w:t>
            </w:r>
            <w:r w:rsidRPr="008571DC">
              <w:rPr>
                <w:rFonts w:ascii="DFKai-SB" w:eastAsia="DFKai-SB" w:hAnsi="DFKai-SB" w:cs="DFKai-SB"/>
                <w:lang w:eastAsia="zh-CN"/>
              </w:rPr>
              <w:t xml:space="preserve"> 1.00</w:t>
            </w:r>
          </w:p>
        </w:tc>
        <w:tc>
          <w:tcPr>
            <w:tcW w:w="1834" w:type="pct"/>
            <w:gridSpan w:val="2"/>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lang w:eastAsia="zh-CN"/>
              </w:rPr>
              <w:t>0.010</w:t>
            </w:r>
          </w:p>
        </w:tc>
        <w:tc>
          <w:tcPr>
            <w:tcW w:w="1720" w:type="pct"/>
            <w:gridSpan w:val="2"/>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lang w:eastAsia="zh-CN"/>
              </w:rPr>
              <w:t>100-200</w:t>
            </w:r>
          </w:p>
        </w:tc>
      </w:tr>
      <w:tr w:rsidR="00E55720" w:rsidRPr="008571DC" w:rsidTr="00B32B1B">
        <w:trPr>
          <w:trHeight w:val="90"/>
        </w:trPr>
        <w:tc>
          <w:tcPr>
            <w:tcW w:w="1445" w:type="pct"/>
          </w:tcPr>
          <w:p w:rsidR="00E55720" w:rsidRPr="008571DC" w:rsidRDefault="00E55720" w:rsidP="00B32B1B">
            <w:pPr>
              <w:spacing w:before="180" w:after="100" w:afterAutospacing="1"/>
              <w:jc w:val="center"/>
              <w:rPr>
                <w:rFonts w:ascii="DFKai-SB" w:eastAsia="DFKai-SB" w:hAnsi="DFKai-SB" w:cs="DFKai-SB"/>
              </w:rPr>
            </w:pPr>
            <w:r w:rsidRPr="008571DC">
              <w:rPr>
                <w:rFonts w:ascii="DFKai-SB" w:eastAsia="DFKai-SB" w:hAnsi="DFKai-SB" w:cs="DFKai-SB"/>
                <w:lang w:eastAsia="zh-CN"/>
              </w:rPr>
              <w:t xml:space="preserve">1.00 </w:t>
            </w:r>
            <w:r w:rsidRPr="008571DC">
              <w:rPr>
                <w:rFonts w:ascii="DFKai-SB" w:eastAsia="DFKai-SB" w:hAnsi="DFKai-SB" w:cs="DFKai-SB" w:hint="eastAsia"/>
                <w:lang w:eastAsia="zh-CN"/>
              </w:rPr>
              <w:t>至</w:t>
            </w:r>
            <w:r w:rsidRPr="008571DC">
              <w:rPr>
                <w:rFonts w:ascii="DFKai-SB" w:eastAsia="DFKai-SB" w:hAnsi="DFKai-SB" w:cs="DFKai-SB"/>
                <w:lang w:eastAsia="zh-CN"/>
              </w:rPr>
              <w:t xml:space="preserve"> 2.00</w:t>
            </w:r>
          </w:p>
        </w:tc>
        <w:tc>
          <w:tcPr>
            <w:tcW w:w="1834" w:type="pct"/>
            <w:gridSpan w:val="2"/>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lang w:eastAsia="zh-CN"/>
              </w:rPr>
              <w:t>0.010</w:t>
            </w:r>
          </w:p>
        </w:tc>
        <w:tc>
          <w:tcPr>
            <w:tcW w:w="1720" w:type="pct"/>
            <w:gridSpan w:val="2"/>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lang w:eastAsia="zh-CN"/>
              </w:rPr>
              <w:t>50-100</w:t>
            </w:r>
          </w:p>
        </w:tc>
      </w:tr>
      <w:tr w:rsidR="00E55720" w:rsidRPr="008571DC" w:rsidTr="00B32B1B">
        <w:trPr>
          <w:trHeight w:val="236"/>
        </w:trPr>
        <w:tc>
          <w:tcPr>
            <w:tcW w:w="1445" w:type="pct"/>
          </w:tcPr>
          <w:p w:rsidR="00E55720" w:rsidRPr="008571DC" w:rsidRDefault="00E55720" w:rsidP="00B32B1B">
            <w:pPr>
              <w:spacing w:before="180" w:after="100" w:afterAutospacing="1"/>
              <w:jc w:val="center"/>
              <w:rPr>
                <w:rFonts w:ascii="DFKai-SB" w:eastAsia="DFKai-SB" w:hAnsi="DFKai-SB" w:cs="DFKai-SB"/>
              </w:rPr>
            </w:pPr>
            <w:r w:rsidRPr="008571DC">
              <w:rPr>
                <w:rFonts w:ascii="DFKai-SB" w:eastAsia="DFKai-SB" w:hAnsi="DFKai-SB" w:cs="DFKai-SB"/>
                <w:lang w:eastAsia="zh-CN"/>
              </w:rPr>
              <w:t xml:space="preserve">2.00 </w:t>
            </w:r>
            <w:r w:rsidRPr="008571DC">
              <w:rPr>
                <w:rFonts w:ascii="DFKai-SB" w:eastAsia="DFKai-SB" w:hAnsi="DFKai-SB" w:cs="DFKai-SB" w:hint="eastAsia"/>
                <w:lang w:eastAsia="zh-CN"/>
              </w:rPr>
              <w:t>至</w:t>
            </w:r>
            <w:r w:rsidRPr="008571DC">
              <w:rPr>
                <w:rFonts w:ascii="DFKai-SB" w:eastAsia="DFKai-SB" w:hAnsi="DFKai-SB" w:cs="DFKai-SB"/>
                <w:lang w:eastAsia="zh-CN"/>
              </w:rPr>
              <w:t xml:space="preserve"> 5.00</w:t>
            </w:r>
          </w:p>
        </w:tc>
        <w:tc>
          <w:tcPr>
            <w:tcW w:w="1834" w:type="pct"/>
            <w:gridSpan w:val="2"/>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lang w:eastAsia="zh-CN"/>
              </w:rPr>
              <w:t>0.010</w:t>
            </w:r>
          </w:p>
        </w:tc>
        <w:tc>
          <w:tcPr>
            <w:tcW w:w="1720" w:type="pct"/>
            <w:gridSpan w:val="2"/>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lang w:eastAsia="zh-CN"/>
              </w:rPr>
              <w:t>20-50</w:t>
            </w:r>
          </w:p>
        </w:tc>
      </w:tr>
      <w:tr w:rsidR="00E55720" w:rsidRPr="008571DC" w:rsidTr="00B32B1B">
        <w:tc>
          <w:tcPr>
            <w:tcW w:w="1445" w:type="pct"/>
          </w:tcPr>
          <w:p w:rsidR="00E55720" w:rsidRPr="008571DC" w:rsidRDefault="00E55720" w:rsidP="00B32B1B">
            <w:pPr>
              <w:spacing w:before="180" w:after="100" w:afterAutospacing="1"/>
              <w:jc w:val="center"/>
              <w:rPr>
                <w:rFonts w:ascii="DFKai-SB" w:eastAsia="DFKai-SB" w:hAnsi="DFKai-SB" w:cs="DFKai-SB"/>
              </w:rPr>
            </w:pPr>
            <w:r w:rsidRPr="008571DC">
              <w:rPr>
                <w:rFonts w:ascii="DFKai-SB" w:eastAsia="DFKai-SB" w:hAnsi="DFKai-SB" w:cs="DFKai-SB"/>
                <w:lang w:eastAsia="zh-CN"/>
              </w:rPr>
              <w:t xml:space="preserve">5.00 </w:t>
            </w:r>
            <w:r w:rsidRPr="008571DC">
              <w:rPr>
                <w:rFonts w:ascii="DFKai-SB" w:eastAsia="DFKai-SB" w:hAnsi="DFKai-SB" w:cs="DFKai-SB" w:hint="eastAsia"/>
                <w:lang w:eastAsia="zh-CN"/>
              </w:rPr>
              <w:t>至</w:t>
            </w:r>
            <w:r w:rsidRPr="008571DC">
              <w:rPr>
                <w:rFonts w:ascii="DFKai-SB" w:eastAsia="DFKai-SB" w:hAnsi="DFKai-SB" w:cs="DFKai-SB"/>
                <w:lang w:eastAsia="zh-CN"/>
              </w:rPr>
              <w:t xml:space="preserve"> 10.00</w:t>
            </w:r>
          </w:p>
        </w:tc>
        <w:tc>
          <w:tcPr>
            <w:tcW w:w="1834" w:type="pct"/>
            <w:gridSpan w:val="2"/>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lang w:eastAsia="zh-CN"/>
              </w:rPr>
              <w:t>0.010</w:t>
            </w:r>
          </w:p>
        </w:tc>
        <w:tc>
          <w:tcPr>
            <w:tcW w:w="1720" w:type="pct"/>
            <w:gridSpan w:val="2"/>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lang w:eastAsia="zh-CN"/>
              </w:rPr>
              <w:t>10-20</w:t>
            </w:r>
          </w:p>
        </w:tc>
      </w:tr>
      <w:tr w:rsidR="00E55720" w:rsidRPr="008571DC" w:rsidTr="00B32B1B">
        <w:tc>
          <w:tcPr>
            <w:tcW w:w="1445" w:type="pct"/>
          </w:tcPr>
          <w:p w:rsidR="00E55720" w:rsidRPr="008571DC" w:rsidRDefault="00E55720" w:rsidP="00B32B1B">
            <w:pPr>
              <w:spacing w:before="180" w:after="100" w:afterAutospacing="1"/>
              <w:jc w:val="center"/>
              <w:rPr>
                <w:rFonts w:ascii="DFKai-SB" w:eastAsia="DFKai-SB" w:hAnsi="DFKai-SB" w:cs="DFKai-SB"/>
                <w:b/>
                <w:color w:val="1E2124"/>
              </w:rPr>
            </w:pPr>
            <w:r w:rsidRPr="008571DC">
              <w:rPr>
                <w:rFonts w:ascii="DFKai-SB" w:eastAsia="DFKai-SB" w:hAnsi="DFKai-SB" w:cs="DFKai-SB" w:hint="eastAsia"/>
                <w:b/>
                <w:lang w:eastAsia="zh-CN"/>
              </w:rPr>
              <w:t>高于</w:t>
            </w:r>
            <w:r w:rsidRPr="008571DC">
              <w:rPr>
                <w:rFonts w:ascii="DFKai-SB" w:eastAsia="DFKai-SB" w:hAnsi="DFKai-SB" w:cs="DFKai-SB"/>
                <w:b/>
                <w:lang w:eastAsia="zh-CN"/>
              </w:rPr>
              <w:t xml:space="preserve">10.00 </w:t>
            </w:r>
            <w:r w:rsidRPr="008571DC">
              <w:rPr>
                <w:rFonts w:ascii="DFKai-SB" w:eastAsia="DFKai-SB" w:hAnsi="DFKai-SB" w:cs="DFKai-SB" w:hint="eastAsia"/>
                <w:b/>
                <w:lang w:eastAsia="zh-CN"/>
              </w:rPr>
              <w:t>至</w:t>
            </w:r>
            <w:r w:rsidRPr="008571DC">
              <w:rPr>
                <w:rFonts w:ascii="DFKai-SB" w:eastAsia="DFKai-SB" w:hAnsi="DFKai-SB" w:cs="DFKai-SB"/>
                <w:b/>
                <w:lang w:eastAsia="zh-CN"/>
              </w:rPr>
              <w:t xml:space="preserve"> 20.00</w:t>
            </w:r>
          </w:p>
        </w:tc>
        <w:tc>
          <w:tcPr>
            <w:tcW w:w="765" w:type="pct"/>
          </w:tcPr>
          <w:p w:rsidR="00E55720" w:rsidRPr="008571DC" w:rsidRDefault="00E55720" w:rsidP="00B32B1B">
            <w:pPr>
              <w:spacing w:before="180" w:after="100" w:afterAutospacing="1"/>
              <w:jc w:val="center"/>
              <w:rPr>
                <w:rFonts w:ascii="DFKai-SB" w:eastAsia="DFKai-SB" w:hAnsi="DFKai-SB" w:cs="DFKai-SB"/>
                <w:b/>
                <w:color w:val="1E2124"/>
              </w:rPr>
            </w:pPr>
            <w:r w:rsidRPr="008571DC">
              <w:rPr>
                <w:rFonts w:ascii="DFKai-SB" w:eastAsia="DFKai-SB" w:hAnsi="DFKai-SB" w:cs="DFKai-SB"/>
                <w:b/>
                <w:lang w:eastAsia="zh-CN"/>
              </w:rPr>
              <w:t>0.020</w:t>
            </w:r>
          </w:p>
        </w:tc>
        <w:tc>
          <w:tcPr>
            <w:tcW w:w="1068" w:type="pct"/>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b/>
                <w:lang w:eastAsia="zh-CN"/>
              </w:rPr>
              <w:t>0.010</w:t>
            </w:r>
            <w:r w:rsidRPr="008571DC">
              <w:rPr>
                <w:rFonts w:ascii="DFKai-SB" w:eastAsia="DFKai-SB" w:hAnsi="DFKai-SB" w:cs="DFKai-SB"/>
                <w:lang w:eastAsia="zh-CN"/>
              </w:rPr>
              <w:t xml:space="preserve"> </w:t>
            </w:r>
            <w:r w:rsidRPr="008571DC">
              <w:rPr>
                <w:rFonts w:ascii="DFKai-SB" w:eastAsia="DFKai-SB" w:hAnsi="DFKai-SB" w:cs="DFKai-SB"/>
                <w:b/>
                <w:color w:val="FF0000"/>
                <w:lang w:eastAsia="zh-CN"/>
              </w:rPr>
              <w:t>(-50%)</w:t>
            </w:r>
          </w:p>
        </w:tc>
        <w:tc>
          <w:tcPr>
            <w:tcW w:w="799" w:type="pct"/>
          </w:tcPr>
          <w:p w:rsidR="00E55720" w:rsidRPr="008571DC" w:rsidRDefault="00E55720" w:rsidP="00B32B1B">
            <w:pPr>
              <w:spacing w:before="180" w:after="100" w:afterAutospacing="1"/>
              <w:jc w:val="center"/>
              <w:rPr>
                <w:rFonts w:ascii="DFKai-SB" w:eastAsia="DFKai-SB" w:hAnsi="DFKai-SB" w:cs="DFKai-SB"/>
                <w:b/>
                <w:color w:val="1E2124"/>
              </w:rPr>
            </w:pPr>
            <w:r w:rsidRPr="008571DC">
              <w:rPr>
                <w:rFonts w:ascii="DFKai-SB" w:eastAsia="DFKai-SB" w:hAnsi="DFKai-SB" w:cs="DFKai-SB"/>
                <w:b/>
                <w:lang w:eastAsia="zh-CN"/>
              </w:rPr>
              <w:t>10-20</w:t>
            </w:r>
          </w:p>
        </w:tc>
        <w:tc>
          <w:tcPr>
            <w:tcW w:w="921" w:type="pct"/>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b/>
                <w:lang w:eastAsia="zh-CN"/>
              </w:rPr>
              <w:t>5-10</w:t>
            </w:r>
            <w:r w:rsidRPr="008571DC">
              <w:rPr>
                <w:rFonts w:ascii="DFKai-SB" w:eastAsia="DFKai-SB" w:hAnsi="DFKai-SB" w:cs="DFKai-SB"/>
                <w:lang w:eastAsia="zh-CN"/>
              </w:rPr>
              <w:t xml:space="preserve"> </w:t>
            </w:r>
            <w:r w:rsidRPr="008571DC">
              <w:rPr>
                <w:rFonts w:ascii="DFKai-SB" w:eastAsia="DFKai-SB" w:hAnsi="DFKai-SB" w:cs="DFKai-SB"/>
                <w:b/>
                <w:color w:val="FF0000"/>
                <w:lang w:eastAsia="zh-CN"/>
              </w:rPr>
              <w:t>(-50%)</w:t>
            </w:r>
          </w:p>
        </w:tc>
      </w:tr>
      <w:tr w:rsidR="00E55720" w:rsidRPr="008571DC" w:rsidTr="00B32B1B">
        <w:tc>
          <w:tcPr>
            <w:tcW w:w="1445" w:type="pct"/>
          </w:tcPr>
          <w:p w:rsidR="00E55720" w:rsidRPr="008571DC" w:rsidRDefault="00E55720" w:rsidP="00B32B1B">
            <w:pPr>
              <w:spacing w:before="180" w:after="100" w:afterAutospacing="1"/>
              <w:jc w:val="center"/>
              <w:rPr>
                <w:rFonts w:ascii="DFKai-SB" w:eastAsia="DFKai-SB" w:hAnsi="DFKai-SB" w:cs="DFKai-SB"/>
                <w:b/>
                <w:color w:val="1E2124"/>
              </w:rPr>
            </w:pPr>
            <w:r w:rsidRPr="008571DC">
              <w:rPr>
                <w:rFonts w:ascii="DFKai-SB" w:eastAsia="DFKai-SB" w:hAnsi="DFKai-SB" w:cs="DFKai-SB" w:hint="eastAsia"/>
                <w:b/>
                <w:lang w:eastAsia="zh-CN"/>
              </w:rPr>
              <w:t>高于</w:t>
            </w:r>
            <w:r w:rsidRPr="008571DC">
              <w:rPr>
                <w:rFonts w:ascii="DFKai-SB" w:eastAsia="DFKai-SB" w:hAnsi="DFKai-SB" w:cs="DFKai-SB"/>
                <w:b/>
                <w:lang w:eastAsia="zh-CN"/>
              </w:rPr>
              <w:t xml:space="preserve">20.00 </w:t>
            </w:r>
            <w:r w:rsidRPr="008571DC">
              <w:rPr>
                <w:rFonts w:ascii="DFKai-SB" w:eastAsia="DFKai-SB" w:hAnsi="DFKai-SB" w:cs="DFKai-SB" w:hint="eastAsia"/>
                <w:b/>
                <w:lang w:eastAsia="zh-CN"/>
              </w:rPr>
              <w:t>至</w:t>
            </w:r>
            <w:r w:rsidRPr="008571DC">
              <w:rPr>
                <w:rFonts w:ascii="DFKai-SB" w:eastAsia="DFKai-SB" w:hAnsi="DFKai-SB" w:cs="DFKai-SB"/>
                <w:b/>
                <w:lang w:eastAsia="zh-CN"/>
              </w:rPr>
              <w:t>100.00</w:t>
            </w:r>
          </w:p>
        </w:tc>
        <w:tc>
          <w:tcPr>
            <w:tcW w:w="765" w:type="pct"/>
          </w:tcPr>
          <w:p w:rsidR="00E55720" w:rsidRPr="008571DC" w:rsidRDefault="00E55720" w:rsidP="00B32B1B">
            <w:pPr>
              <w:spacing w:before="180" w:after="100" w:afterAutospacing="1"/>
              <w:jc w:val="center"/>
              <w:rPr>
                <w:rFonts w:ascii="DFKai-SB" w:eastAsia="DFKai-SB" w:hAnsi="DFKai-SB" w:cs="DFKai-SB"/>
                <w:b/>
                <w:color w:val="1E2124"/>
              </w:rPr>
            </w:pPr>
            <w:r w:rsidRPr="008571DC">
              <w:rPr>
                <w:rFonts w:ascii="DFKai-SB" w:eastAsia="DFKai-SB" w:hAnsi="DFKai-SB" w:cs="DFKai-SB"/>
                <w:b/>
                <w:lang w:eastAsia="zh-CN"/>
              </w:rPr>
              <w:t>0.050</w:t>
            </w:r>
          </w:p>
        </w:tc>
        <w:tc>
          <w:tcPr>
            <w:tcW w:w="1068" w:type="pct"/>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b/>
                <w:lang w:eastAsia="zh-CN"/>
              </w:rPr>
              <w:t xml:space="preserve">0.020 </w:t>
            </w:r>
            <w:r w:rsidRPr="008571DC">
              <w:rPr>
                <w:rFonts w:ascii="DFKai-SB" w:eastAsia="DFKai-SB" w:hAnsi="DFKai-SB" w:cs="DFKai-SB"/>
                <w:b/>
                <w:color w:val="FF0000"/>
                <w:lang w:eastAsia="zh-CN"/>
              </w:rPr>
              <w:t>(-60%)</w:t>
            </w:r>
            <w:r w:rsidRPr="008571DC">
              <w:rPr>
                <w:rFonts w:ascii="DFKai-SB" w:eastAsia="DFKai-SB" w:hAnsi="DFKai-SB" w:cs="DFKai-SB"/>
                <w:lang w:eastAsia="zh-CN"/>
              </w:rPr>
              <w:t xml:space="preserve"> </w:t>
            </w:r>
            <w:r w:rsidRPr="008571DC">
              <w:rPr>
                <w:rFonts w:ascii="DFKai-SB" w:eastAsia="DFKai-SB" w:hAnsi="DFKai-SB" w:cs="DFKai-SB"/>
                <w:b/>
                <w:lang w:eastAsia="zh-CN"/>
              </w:rPr>
              <w:t>/0.050</w:t>
            </w:r>
          </w:p>
        </w:tc>
        <w:tc>
          <w:tcPr>
            <w:tcW w:w="799" w:type="pct"/>
          </w:tcPr>
          <w:p w:rsidR="00E55720" w:rsidRPr="008571DC" w:rsidRDefault="00E55720" w:rsidP="00B32B1B">
            <w:pPr>
              <w:spacing w:before="180" w:after="100" w:afterAutospacing="1"/>
              <w:jc w:val="center"/>
              <w:rPr>
                <w:rFonts w:ascii="DFKai-SB" w:eastAsia="DFKai-SB" w:hAnsi="DFKai-SB" w:cs="DFKai-SB"/>
                <w:b/>
                <w:color w:val="1E2124"/>
              </w:rPr>
            </w:pPr>
            <w:r w:rsidRPr="008571DC">
              <w:rPr>
                <w:rFonts w:ascii="DFKai-SB" w:eastAsia="DFKai-SB" w:hAnsi="DFKai-SB" w:cs="DFKai-SB"/>
                <w:b/>
                <w:lang w:eastAsia="zh-CN"/>
              </w:rPr>
              <w:t>5-25</w:t>
            </w:r>
          </w:p>
        </w:tc>
        <w:tc>
          <w:tcPr>
            <w:tcW w:w="921" w:type="pct"/>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b/>
                <w:lang w:eastAsia="zh-CN"/>
              </w:rPr>
              <w:t>4-10</w:t>
            </w:r>
            <w:r w:rsidRPr="008571DC">
              <w:rPr>
                <w:rFonts w:ascii="DFKai-SB" w:eastAsia="DFKai-SB" w:hAnsi="DFKai-SB" w:cs="DFKai-SB"/>
                <w:lang w:eastAsia="zh-CN"/>
              </w:rPr>
              <w:t xml:space="preserve"> </w:t>
            </w:r>
            <w:r w:rsidRPr="008571DC">
              <w:rPr>
                <w:rFonts w:ascii="DFKai-SB" w:eastAsia="DFKai-SB" w:hAnsi="DFKai-SB" w:cs="DFKai-SB"/>
                <w:b/>
                <w:color w:val="FF0000"/>
                <w:lang w:eastAsia="zh-CN"/>
              </w:rPr>
              <w:t>(-60%)</w:t>
            </w:r>
            <w:r w:rsidRPr="008571DC">
              <w:rPr>
                <w:rFonts w:ascii="DFKai-SB" w:eastAsia="DFKai-SB" w:hAnsi="DFKai-SB" w:cs="DFKai-SB"/>
                <w:lang w:eastAsia="zh-CN"/>
              </w:rPr>
              <w:t xml:space="preserve"> </w:t>
            </w:r>
            <w:r w:rsidRPr="008571DC">
              <w:rPr>
                <w:rFonts w:ascii="DFKai-SB" w:eastAsia="DFKai-SB" w:hAnsi="DFKai-SB" w:cs="DFKai-SB"/>
                <w:b/>
                <w:lang w:eastAsia="zh-CN"/>
              </w:rPr>
              <w:t xml:space="preserve"> / 5-10</w:t>
            </w:r>
          </w:p>
        </w:tc>
      </w:tr>
      <w:tr w:rsidR="00E55720" w:rsidRPr="008571DC" w:rsidTr="00B32B1B">
        <w:tc>
          <w:tcPr>
            <w:tcW w:w="1445" w:type="pct"/>
          </w:tcPr>
          <w:p w:rsidR="00E55720" w:rsidRPr="008571DC" w:rsidRDefault="00E55720" w:rsidP="00B32B1B">
            <w:pPr>
              <w:spacing w:before="180" w:after="100" w:afterAutospacing="1"/>
              <w:jc w:val="center"/>
              <w:rPr>
                <w:rFonts w:ascii="DFKai-SB" w:eastAsia="DFKai-SB" w:hAnsi="DFKai-SB" w:cs="DFKai-SB"/>
                <w:b/>
                <w:color w:val="1E2124"/>
              </w:rPr>
            </w:pPr>
            <w:r w:rsidRPr="008571DC">
              <w:rPr>
                <w:rFonts w:ascii="DFKai-SB" w:eastAsia="DFKai-SB" w:hAnsi="DFKai-SB" w:cs="DFKai-SB"/>
                <w:b/>
                <w:lang w:eastAsia="zh-CN"/>
              </w:rPr>
              <w:t xml:space="preserve">20.00 </w:t>
            </w:r>
            <w:r w:rsidRPr="008571DC">
              <w:rPr>
                <w:rFonts w:ascii="DFKai-SB" w:eastAsia="DFKai-SB" w:hAnsi="DFKai-SB" w:cs="DFKai-SB" w:hint="eastAsia"/>
                <w:b/>
                <w:lang w:eastAsia="zh-CN"/>
              </w:rPr>
              <w:t>至</w:t>
            </w:r>
            <w:r w:rsidRPr="008571DC">
              <w:rPr>
                <w:rFonts w:ascii="DFKai-SB" w:eastAsia="DFKai-SB" w:hAnsi="DFKai-SB" w:cs="DFKai-SB"/>
                <w:b/>
                <w:lang w:eastAsia="zh-CN"/>
              </w:rPr>
              <w:t xml:space="preserve"> 50.00</w:t>
            </w:r>
          </w:p>
        </w:tc>
        <w:tc>
          <w:tcPr>
            <w:tcW w:w="765" w:type="pct"/>
          </w:tcPr>
          <w:p w:rsidR="00E55720" w:rsidRPr="008571DC" w:rsidRDefault="00E55720" w:rsidP="00B32B1B">
            <w:pPr>
              <w:spacing w:before="180" w:after="100" w:afterAutospacing="1"/>
              <w:jc w:val="center"/>
              <w:rPr>
                <w:rFonts w:ascii="DFKai-SB" w:eastAsia="DFKai-SB" w:hAnsi="DFKai-SB" w:cs="DFKai-SB"/>
                <w:b/>
                <w:color w:val="1E2124"/>
              </w:rPr>
            </w:pPr>
            <w:r w:rsidRPr="008571DC">
              <w:rPr>
                <w:rFonts w:ascii="DFKai-SB" w:eastAsia="DFKai-SB" w:hAnsi="DFKai-SB" w:cs="DFKai-SB"/>
                <w:b/>
                <w:lang w:eastAsia="zh-CN"/>
              </w:rPr>
              <w:t>0.050</w:t>
            </w:r>
          </w:p>
        </w:tc>
        <w:tc>
          <w:tcPr>
            <w:tcW w:w="1068" w:type="pct"/>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b/>
                <w:lang w:eastAsia="zh-CN"/>
              </w:rPr>
              <w:t xml:space="preserve">0.020 </w:t>
            </w:r>
            <w:r w:rsidRPr="008571DC">
              <w:rPr>
                <w:rFonts w:ascii="DFKai-SB" w:eastAsia="DFKai-SB" w:hAnsi="DFKai-SB" w:cs="DFKai-SB"/>
                <w:b/>
                <w:color w:val="FF0000"/>
                <w:lang w:eastAsia="zh-CN"/>
              </w:rPr>
              <w:t>(-60%)</w:t>
            </w:r>
          </w:p>
        </w:tc>
        <w:tc>
          <w:tcPr>
            <w:tcW w:w="799" w:type="pct"/>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b/>
                <w:lang w:eastAsia="zh-CN"/>
              </w:rPr>
              <w:t>10-25</w:t>
            </w:r>
          </w:p>
        </w:tc>
        <w:tc>
          <w:tcPr>
            <w:tcW w:w="921" w:type="pct"/>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b/>
                <w:lang w:eastAsia="zh-CN"/>
              </w:rPr>
              <w:t>4-10</w:t>
            </w:r>
            <w:r w:rsidRPr="008571DC">
              <w:rPr>
                <w:rFonts w:ascii="DFKai-SB" w:eastAsia="DFKai-SB" w:hAnsi="DFKai-SB" w:cs="DFKai-SB"/>
                <w:lang w:eastAsia="zh-CN"/>
              </w:rPr>
              <w:t xml:space="preserve"> </w:t>
            </w:r>
            <w:r w:rsidRPr="008571DC">
              <w:rPr>
                <w:rFonts w:ascii="DFKai-SB" w:eastAsia="DFKai-SB" w:hAnsi="DFKai-SB" w:cs="DFKai-SB"/>
                <w:b/>
                <w:color w:val="FF0000"/>
                <w:lang w:eastAsia="zh-CN"/>
              </w:rPr>
              <w:t>(-80%)</w:t>
            </w:r>
          </w:p>
        </w:tc>
      </w:tr>
      <w:tr w:rsidR="00E55720" w:rsidRPr="008571DC" w:rsidTr="00B32B1B">
        <w:tc>
          <w:tcPr>
            <w:tcW w:w="1445" w:type="pct"/>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lang w:eastAsia="zh-CN"/>
              </w:rPr>
              <w:t>50.00</w:t>
            </w:r>
            <w:r w:rsidRPr="008571DC">
              <w:rPr>
                <w:rFonts w:ascii="DFKai-SB" w:eastAsia="DFKai-SB" w:hAnsi="DFKai-SB" w:cs="DFKai-SB" w:hint="eastAsia"/>
                <w:lang w:eastAsia="zh-CN"/>
              </w:rPr>
              <w:t>至</w:t>
            </w:r>
            <w:r w:rsidRPr="008571DC">
              <w:rPr>
                <w:rFonts w:ascii="DFKai-SB" w:eastAsia="DFKai-SB" w:hAnsi="DFKai-SB" w:cs="DFKai-SB"/>
                <w:lang w:eastAsia="zh-CN"/>
              </w:rPr>
              <w:t>100.00</w:t>
            </w:r>
          </w:p>
        </w:tc>
        <w:tc>
          <w:tcPr>
            <w:tcW w:w="1834" w:type="pct"/>
            <w:gridSpan w:val="2"/>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lang w:eastAsia="zh-CN"/>
              </w:rPr>
              <w:t>0.050</w:t>
            </w:r>
          </w:p>
        </w:tc>
        <w:tc>
          <w:tcPr>
            <w:tcW w:w="1720" w:type="pct"/>
            <w:gridSpan w:val="2"/>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lang w:eastAsia="zh-CN"/>
              </w:rPr>
              <w:t>5-10</w:t>
            </w:r>
          </w:p>
        </w:tc>
      </w:tr>
      <w:tr w:rsidR="00E55720" w:rsidRPr="008571DC" w:rsidTr="00B32B1B">
        <w:tc>
          <w:tcPr>
            <w:tcW w:w="1445" w:type="pct"/>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hint="eastAsia"/>
                <w:lang w:eastAsia="zh-CN"/>
              </w:rPr>
              <w:t>高于</w:t>
            </w:r>
            <w:r w:rsidRPr="008571DC">
              <w:rPr>
                <w:rFonts w:ascii="DFKai-SB" w:eastAsia="DFKai-SB" w:hAnsi="DFKai-SB" w:cs="DFKai-SB"/>
                <w:lang w:eastAsia="zh-CN"/>
              </w:rPr>
              <w:t xml:space="preserve"> 100.00</w:t>
            </w:r>
            <w:r w:rsidRPr="008571DC">
              <w:rPr>
                <w:rFonts w:ascii="DFKai-SB" w:eastAsia="DFKai-SB" w:hAnsi="DFKai-SB" w:cs="DFKai-SB" w:hint="eastAsia"/>
                <w:lang w:eastAsia="zh-CN"/>
              </w:rPr>
              <w:t>至</w:t>
            </w:r>
            <w:r w:rsidRPr="008571DC">
              <w:rPr>
                <w:rFonts w:ascii="DFKai-SB" w:eastAsia="DFKai-SB" w:hAnsi="DFKai-SB" w:cs="DFKai-SB"/>
                <w:lang w:eastAsia="zh-CN"/>
              </w:rPr>
              <w:t>200.00</w:t>
            </w:r>
          </w:p>
        </w:tc>
        <w:tc>
          <w:tcPr>
            <w:tcW w:w="1834" w:type="pct"/>
            <w:gridSpan w:val="2"/>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lang w:eastAsia="zh-CN"/>
              </w:rPr>
              <w:t>0.100</w:t>
            </w:r>
          </w:p>
        </w:tc>
        <w:tc>
          <w:tcPr>
            <w:tcW w:w="1720" w:type="pct"/>
            <w:gridSpan w:val="2"/>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lang w:eastAsia="zh-CN"/>
              </w:rPr>
              <w:t>5-10</w:t>
            </w:r>
          </w:p>
        </w:tc>
      </w:tr>
      <w:tr w:rsidR="00E55720" w:rsidRPr="008571DC" w:rsidTr="00B32B1B">
        <w:tc>
          <w:tcPr>
            <w:tcW w:w="1445" w:type="pct"/>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hint="eastAsia"/>
                <w:lang w:eastAsia="zh-CN"/>
              </w:rPr>
              <w:t>高于</w:t>
            </w:r>
            <w:r w:rsidRPr="008571DC">
              <w:rPr>
                <w:rFonts w:ascii="DFKai-SB" w:eastAsia="DFKai-SB" w:hAnsi="DFKai-SB" w:cs="DFKai-SB"/>
                <w:lang w:eastAsia="zh-CN"/>
              </w:rPr>
              <w:t>200.00</w:t>
            </w:r>
            <w:r w:rsidRPr="008571DC">
              <w:rPr>
                <w:rFonts w:ascii="DFKai-SB" w:eastAsia="DFKai-SB" w:hAnsi="DFKai-SB" w:cs="DFKai-SB" w:hint="eastAsia"/>
                <w:lang w:eastAsia="zh-CN"/>
              </w:rPr>
              <w:t>至</w:t>
            </w:r>
            <w:r w:rsidRPr="008571DC">
              <w:rPr>
                <w:rFonts w:ascii="DFKai-SB" w:eastAsia="DFKai-SB" w:hAnsi="DFKai-SB" w:cs="DFKai-SB"/>
                <w:lang w:eastAsia="zh-CN"/>
              </w:rPr>
              <w:t>500.00</w:t>
            </w:r>
          </w:p>
        </w:tc>
        <w:tc>
          <w:tcPr>
            <w:tcW w:w="1834" w:type="pct"/>
            <w:gridSpan w:val="2"/>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lang w:eastAsia="zh-CN"/>
              </w:rPr>
              <w:t>0.200</w:t>
            </w:r>
          </w:p>
        </w:tc>
        <w:tc>
          <w:tcPr>
            <w:tcW w:w="1720" w:type="pct"/>
            <w:gridSpan w:val="2"/>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lang w:eastAsia="zh-CN"/>
              </w:rPr>
              <w:t>4-10</w:t>
            </w:r>
          </w:p>
        </w:tc>
      </w:tr>
      <w:tr w:rsidR="00E55720" w:rsidRPr="008571DC" w:rsidTr="00B32B1B">
        <w:tc>
          <w:tcPr>
            <w:tcW w:w="1445" w:type="pct"/>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hint="eastAsia"/>
                <w:lang w:eastAsia="zh-CN"/>
              </w:rPr>
              <w:t>高于</w:t>
            </w:r>
            <w:r w:rsidRPr="008571DC">
              <w:rPr>
                <w:rFonts w:ascii="DFKai-SB" w:eastAsia="DFKai-SB" w:hAnsi="DFKai-SB" w:cs="DFKai-SB"/>
                <w:lang w:eastAsia="zh-CN"/>
              </w:rPr>
              <w:t>500.00</w:t>
            </w:r>
            <w:r w:rsidRPr="008571DC">
              <w:rPr>
                <w:rFonts w:ascii="DFKai-SB" w:eastAsia="DFKai-SB" w:hAnsi="DFKai-SB" w:cs="DFKai-SB" w:hint="eastAsia"/>
                <w:lang w:eastAsia="zh-CN"/>
              </w:rPr>
              <w:t>至</w:t>
            </w:r>
            <w:r w:rsidRPr="008571DC">
              <w:rPr>
                <w:rFonts w:ascii="DFKai-SB" w:eastAsia="DFKai-SB" w:hAnsi="DFKai-SB" w:cs="DFKai-SB"/>
                <w:lang w:eastAsia="zh-CN"/>
              </w:rPr>
              <w:t>1,000.00</w:t>
            </w:r>
          </w:p>
        </w:tc>
        <w:tc>
          <w:tcPr>
            <w:tcW w:w="1834" w:type="pct"/>
            <w:gridSpan w:val="2"/>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lang w:eastAsia="zh-CN"/>
              </w:rPr>
              <w:t>0.500</w:t>
            </w:r>
          </w:p>
        </w:tc>
        <w:tc>
          <w:tcPr>
            <w:tcW w:w="1720" w:type="pct"/>
            <w:gridSpan w:val="2"/>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lang w:eastAsia="zh-CN"/>
              </w:rPr>
              <w:t>5-10</w:t>
            </w:r>
          </w:p>
        </w:tc>
      </w:tr>
      <w:tr w:rsidR="00E55720" w:rsidRPr="008571DC" w:rsidTr="00B32B1B">
        <w:tc>
          <w:tcPr>
            <w:tcW w:w="1445" w:type="pct"/>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hint="eastAsia"/>
                <w:lang w:eastAsia="zh-CN"/>
              </w:rPr>
              <w:t>高于</w:t>
            </w:r>
            <w:r w:rsidRPr="008571DC">
              <w:rPr>
                <w:rFonts w:ascii="DFKai-SB" w:eastAsia="DFKai-SB" w:hAnsi="DFKai-SB" w:cs="DFKai-SB"/>
                <w:lang w:eastAsia="zh-CN"/>
              </w:rPr>
              <w:t xml:space="preserve"> 1,000.00</w:t>
            </w:r>
            <w:r w:rsidRPr="008571DC">
              <w:rPr>
                <w:rFonts w:ascii="DFKai-SB" w:eastAsia="DFKai-SB" w:hAnsi="DFKai-SB" w:cs="DFKai-SB" w:hint="eastAsia"/>
                <w:lang w:eastAsia="zh-CN"/>
              </w:rPr>
              <w:t>至</w:t>
            </w:r>
            <w:r w:rsidRPr="008571DC">
              <w:rPr>
                <w:rFonts w:ascii="DFKai-SB" w:eastAsia="DFKai-SB" w:hAnsi="DFKai-SB" w:cs="DFKai-SB"/>
                <w:lang w:eastAsia="zh-CN"/>
              </w:rPr>
              <w:t xml:space="preserve">  2,000.00</w:t>
            </w:r>
          </w:p>
        </w:tc>
        <w:tc>
          <w:tcPr>
            <w:tcW w:w="1834" w:type="pct"/>
            <w:gridSpan w:val="2"/>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lang w:eastAsia="zh-CN"/>
              </w:rPr>
              <w:t>1.000</w:t>
            </w:r>
          </w:p>
        </w:tc>
        <w:tc>
          <w:tcPr>
            <w:tcW w:w="1720" w:type="pct"/>
            <w:gridSpan w:val="2"/>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lang w:eastAsia="zh-CN"/>
              </w:rPr>
              <w:t>5-10</w:t>
            </w:r>
          </w:p>
        </w:tc>
      </w:tr>
      <w:tr w:rsidR="00E55720" w:rsidRPr="008571DC" w:rsidTr="00B32B1B">
        <w:tc>
          <w:tcPr>
            <w:tcW w:w="1445" w:type="pct"/>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hint="eastAsia"/>
                <w:lang w:eastAsia="zh-CN"/>
              </w:rPr>
              <w:t>高于</w:t>
            </w:r>
            <w:r w:rsidRPr="008571DC">
              <w:rPr>
                <w:rFonts w:ascii="DFKai-SB" w:eastAsia="DFKai-SB" w:hAnsi="DFKai-SB" w:cs="DFKai-SB"/>
                <w:lang w:eastAsia="zh-CN"/>
              </w:rPr>
              <w:t xml:space="preserve"> 2,000.00</w:t>
            </w:r>
            <w:r w:rsidRPr="008571DC">
              <w:rPr>
                <w:rFonts w:ascii="DFKai-SB" w:eastAsia="DFKai-SB" w:hAnsi="DFKai-SB" w:cs="DFKai-SB" w:hint="eastAsia"/>
                <w:lang w:eastAsia="zh-CN"/>
              </w:rPr>
              <w:t>至</w:t>
            </w:r>
            <w:r w:rsidRPr="008571DC">
              <w:rPr>
                <w:rFonts w:ascii="DFKai-SB" w:eastAsia="DFKai-SB" w:hAnsi="DFKai-SB" w:cs="DFKai-SB"/>
                <w:lang w:eastAsia="zh-CN"/>
              </w:rPr>
              <w:t xml:space="preserve">  5,000.00</w:t>
            </w:r>
          </w:p>
        </w:tc>
        <w:tc>
          <w:tcPr>
            <w:tcW w:w="1834" w:type="pct"/>
            <w:gridSpan w:val="2"/>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lang w:eastAsia="zh-CN"/>
              </w:rPr>
              <w:t>2.000</w:t>
            </w:r>
          </w:p>
        </w:tc>
        <w:tc>
          <w:tcPr>
            <w:tcW w:w="1720" w:type="pct"/>
            <w:gridSpan w:val="2"/>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lang w:eastAsia="zh-CN"/>
              </w:rPr>
              <w:t>4-10</w:t>
            </w:r>
          </w:p>
        </w:tc>
      </w:tr>
      <w:tr w:rsidR="00E55720" w:rsidRPr="008571DC" w:rsidTr="00B32B1B">
        <w:tc>
          <w:tcPr>
            <w:tcW w:w="1445" w:type="pct"/>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hint="eastAsia"/>
                <w:lang w:eastAsia="zh-CN"/>
              </w:rPr>
              <w:t>高于</w:t>
            </w:r>
            <w:r w:rsidRPr="008571DC">
              <w:rPr>
                <w:rFonts w:ascii="DFKai-SB" w:eastAsia="DFKai-SB" w:hAnsi="DFKai-SB" w:cs="DFKai-SB"/>
                <w:lang w:eastAsia="zh-CN"/>
              </w:rPr>
              <w:t>5,000.00</w:t>
            </w:r>
            <w:r w:rsidRPr="008571DC">
              <w:rPr>
                <w:rFonts w:ascii="DFKai-SB" w:eastAsia="DFKai-SB" w:hAnsi="DFKai-SB" w:cs="DFKai-SB" w:hint="eastAsia"/>
                <w:lang w:eastAsia="zh-CN"/>
              </w:rPr>
              <w:t>至</w:t>
            </w:r>
            <w:r w:rsidRPr="008571DC">
              <w:rPr>
                <w:rFonts w:ascii="DFKai-SB" w:eastAsia="DFKai-SB" w:hAnsi="DFKai-SB" w:cs="DFKai-SB"/>
                <w:lang w:eastAsia="zh-CN"/>
              </w:rPr>
              <w:t xml:space="preserve">  9,995.00</w:t>
            </w:r>
          </w:p>
        </w:tc>
        <w:tc>
          <w:tcPr>
            <w:tcW w:w="1834" w:type="pct"/>
            <w:gridSpan w:val="2"/>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lang w:eastAsia="zh-CN"/>
              </w:rPr>
              <w:t>5.000</w:t>
            </w:r>
          </w:p>
        </w:tc>
        <w:tc>
          <w:tcPr>
            <w:tcW w:w="1720" w:type="pct"/>
            <w:gridSpan w:val="2"/>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lang w:eastAsia="zh-CN"/>
              </w:rPr>
              <w:t>5-10</w:t>
            </w:r>
          </w:p>
        </w:tc>
      </w:tr>
    </w:tbl>
    <w:p w:rsidR="00E55720" w:rsidRPr="00E55720" w:rsidRDefault="00E55720">
      <w:pPr>
        <w:pStyle w:val="FirstParagraph"/>
        <w:rPr>
          <w:rFonts w:eastAsiaTheme="minorEastAsia" w:hint="eastAsia"/>
          <w:lang w:eastAsia="zh-CN"/>
        </w:rPr>
      </w:pPr>
    </w:p>
    <w:p w:rsidR="00E55720" w:rsidRDefault="00E55720">
      <w:pPr>
        <w:pStyle w:val="BodyText"/>
        <w:rPr>
          <w:rFonts w:eastAsiaTheme="minorEastAsia"/>
          <w:b/>
          <w:lang w:eastAsia="zh-CN"/>
        </w:rPr>
      </w:pPr>
    </w:p>
    <w:tbl>
      <w:tblPr>
        <w:tblStyle w:val="TableGrid"/>
        <w:tblW w:w="5000" w:type="pct"/>
        <w:jc w:val="center"/>
        <w:tblLook w:val="04A0" w:firstRow="1" w:lastRow="0" w:firstColumn="1" w:lastColumn="0" w:noHBand="0" w:noVBand="1"/>
      </w:tblPr>
      <w:tblGrid>
        <w:gridCol w:w="2642"/>
        <w:gridCol w:w="1405"/>
        <w:gridCol w:w="704"/>
        <w:gridCol w:w="1259"/>
        <w:gridCol w:w="478"/>
        <w:gridCol w:w="804"/>
        <w:gridCol w:w="856"/>
        <w:gridCol w:w="2246"/>
      </w:tblGrid>
      <w:tr w:rsidR="00E55720" w:rsidRPr="008571DC" w:rsidTr="00B32B1B">
        <w:trPr>
          <w:jc w:val="center"/>
        </w:trPr>
        <w:tc>
          <w:tcPr>
            <w:tcW w:w="10394" w:type="dxa"/>
            <w:gridSpan w:val="8"/>
          </w:tcPr>
          <w:p w:rsidR="00E55720" w:rsidRPr="008571DC" w:rsidRDefault="00E55720" w:rsidP="00B32B1B">
            <w:pPr>
              <w:spacing w:before="180" w:after="100" w:afterAutospacing="1"/>
              <w:jc w:val="center"/>
              <w:rPr>
                <w:rFonts w:ascii="DFKai-SB" w:eastAsia="DFKai-SB" w:hAnsi="DFKai-SB" w:cs="DFKai-SB"/>
                <w:b/>
                <w:color w:val="1E2124"/>
                <w:lang w:eastAsia="zh-CN"/>
              </w:rPr>
            </w:pPr>
            <w:r w:rsidRPr="008571DC">
              <w:rPr>
                <w:rFonts w:ascii="DFKai-SB" w:eastAsia="DFKai-SB" w:hAnsi="DFKai-SB" w:cs="DFKai-SB" w:hint="eastAsia"/>
                <w:b/>
                <w:color w:val="1E2124"/>
                <w:lang w:eastAsia="zh-CN"/>
              </w:rPr>
              <w:lastRenderedPageBreak/>
              <w:t>第二一阶段建议最低上落价位</w:t>
            </w:r>
            <w:r w:rsidRPr="008571DC">
              <w:rPr>
                <w:rFonts w:ascii="DFKai-SB" w:eastAsia="DFKai-SB" w:hAnsi="DFKai-SB" w:cs="DFKai-SB"/>
                <w:b/>
                <w:color w:val="1E2124"/>
                <w:lang w:eastAsia="zh-CN"/>
              </w:rPr>
              <w:t xml:space="preserve"> </w:t>
            </w:r>
          </w:p>
        </w:tc>
      </w:tr>
      <w:tr w:rsidR="00E55720" w:rsidRPr="008571DC" w:rsidTr="00B32B1B">
        <w:trPr>
          <w:jc w:val="center"/>
        </w:trPr>
        <w:tc>
          <w:tcPr>
            <w:tcW w:w="2642" w:type="dxa"/>
          </w:tcPr>
          <w:p w:rsidR="00E55720" w:rsidRPr="008571DC" w:rsidRDefault="00E55720" w:rsidP="00B32B1B">
            <w:pPr>
              <w:spacing w:before="180" w:after="100" w:afterAutospacing="1"/>
              <w:jc w:val="center"/>
              <w:rPr>
                <w:rFonts w:ascii="DFKai-SB" w:eastAsia="DFKai-SB" w:hAnsi="DFKai-SB" w:cs="DFKai-SB"/>
                <w:b/>
                <w:color w:val="1E2124"/>
              </w:rPr>
            </w:pPr>
            <w:r w:rsidRPr="008571DC">
              <w:rPr>
                <w:rFonts w:ascii="DFKai-SB" w:eastAsia="DFKai-SB" w:hAnsi="DFKai-SB" w:cs="DFKai-SB" w:hint="eastAsia"/>
                <w:b/>
                <w:lang w:eastAsia="zh-CN"/>
              </w:rPr>
              <w:t>价格范围（港元）</w:t>
            </w:r>
            <w:r w:rsidRPr="008571DC">
              <w:rPr>
                <w:rFonts w:ascii="DFKai-SB" w:eastAsia="DFKai-SB" w:hAnsi="DFKai-SB" w:cs="DFKai-SB"/>
                <w:b/>
                <w:lang w:eastAsia="zh-CN"/>
              </w:rPr>
              <w:t xml:space="preserve"> </w:t>
            </w:r>
          </w:p>
        </w:tc>
        <w:tc>
          <w:tcPr>
            <w:tcW w:w="2109" w:type="dxa"/>
            <w:gridSpan w:val="2"/>
          </w:tcPr>
          <w:p w:rsidR="00E55720" w:rsidRPr="008571DC" w:rsidRDefault="00E55720" w:rsidP="00B32B1B">
            <w:pPr>
              <w:spacing w:before="180" w:after="100" w:afterAutospacing="1"/>
              <w:jc w:val="center"/>
              <w:rPr>
                <w:rFonts w:ascii="DFKai-SB" w:eastAsia="DFKai-SB" w:hAnsi="DFKai-SB" w:cs="DFKai-SB"/>
                <w:b/>
                <w:color w:val="1E2124"/>
              </w:rPr>
            </w:pPr>
            <w:r w:rsidRPr="008571DC">
              <w:rPr>
                <w:rFonts w:ascii="DFKai-SB" w:eastAsia="DFKai-SB" w:hAnsi="DFKai-SB" w:cs="DFKai-SB" w:hint="eastAsia"/>
                <w:b/>
                <w:color w:val="1E2124"/>
                <w:lang w:eastAsia="zh-CN"/>
              </w:rPr>
              <w:t>原有最低上落价位</w:t>
            </w:r>
            <w:r w:rsidRPr="008571DC">
              <w:rPr>
                <w:rFonts w:ascii="DFKai-SB" w:eastAsia="DFKai-SB" w:hAnsi="DFKai-SB" w:cs="DFKai-SB"/>
                <w:b/>
                <w:color w:val="1E2124"/>
                <w:lang w:eastAsia="zh-CN"/>
              </w:rPr>
              <w:t xml:space="preserve"> </w:t>
            </w:r>
          </w:p>
        </w:tc>
        <w:tc>
          <w:tcPr>
            <w:tcW w:w="1737" w:type="dxa"/>
            <w:gridSpan w:val="2"/>
          </w:tcPr>
          <w:p w:rsidR="00E55720" w:rsidRPr="008571DC" w:rsidRDefault="00E55720" w:rsidP="00B32B1B">
            <w:pPr>
              <w:spacing w:before="180" w:after="100" w:afterAutospacing="1"/>
              <w:jc w:val="center"/>
              <w:rPr>
                <w:rFonts w:ascii="DFKai-SB" w:eastAsia="DFKai-SB" w:hAnsi="DFKai-SB" w:cs="DFKai-SB"/>
                <w:b/>
                <w:color w:val="1E2124"/>
              </w:rPr>
            </w:pPr>
            <w:r w:rsidRPr="008571DC">
              <w:rPr>
                <w:rFonts w:ascii="DFKai-SB" w:eastAsia="DFKai-SB" w:hAnsi="DFKai-SB" w:cs="DFKai-SB" w:hint="eastAsia"/>
                <w:b/>
                <w:color w:val="1E2124"/>
                <w:lang w:eastAsia="zh-CN"/>
              </w:rPr>
              <w:t>建议中最低上落价位</w:t>
            </w:r>
            <w:r w:rsidRPr="008571DC">
              <w:rPr>
                <w:rFonts w:ascii="DFKai-SB" w:eastAsia="DFKai-SB" w:hAnsi="DFKai-SB" w:cs="DFKai-SB"/>
                <w:b/>
                <w:color w:val="1E2124"/>
                <w:lang w:eastAsia="zh-CN"/>
              </w:rPr>
              <w:t xml:space="preserve"> </w:t>
            </w:r>
          </w:p>
        </w:tc>
        <w:tc>
          <w:tcPr>
            <w:tcW w:w="1660" w:type="dxa"/>
            <w:gridSpan w:val="2"/>
          </w:tcPr>
          <w:p w:rsidR="00E55720" w:rsidRPr="008571DC" w:rsidRDefault="00E55720" w:rsidP="00B32B1B">
            <w:pPr>
              <w:spacing w:before="180" w:after="100" w:afterAutospacing="1"/>
              <w:jc w:val="center"/>
              <w:rPr>
                <w:rFonts w:ascii="DFKai-SB" w:eastAsia="DFKai-SB" w:hAnsi="DFKai-SB" w:cs="DFKai-SB"/>
                <w:b/>
                <w:color w:val="1E2124"/>
                <w:lang w:eastAsia="zh-CN"/>
              </w:rPr>
            </w:pPr>
            <w:r w:rsidRPr="008571DC">
              <w:rPr>
                <w:rFonts w:ascii="DFKai-SB" w:eastAsia="DFKai-SB" w:hAnsi="DFKai-SB" w:cs="DFKai-SB" w:hint="eastAsia"/>
                <w:b/>
                <w:color w:val="1E2124"/>
                <w:lang w:eastAsia="zh-CN"/>
              </w:rPr>
              <w:t>原有价位价格比率（点子）</w:t>
            </w:r>
          </w:p>
        </w:tc>
        <w:tc>
          <w:tcPr>
            <w:tcW w:w="2246" w:type="dxa"/>
          </w:tcPr>
          <w:p w:rsidR="00E55720" w:rsidRPr="008571DC" w:rsidRDefault="00E55720" w:rsidP="00B32B1B">
            <w:pPr>
              <w:spacing w:before="180" w:after="100" w:afterAutospacing="1"/>
              <w:jc w:val="center"/>
              <w:rPr>
                <w:rFonts w:ascii="DFKai-SB" w:eastAsia="DFKai-SB" w:hAnsi="DFKai-SB" w:cs="DFKai-SB"/>
                <w:b/>
                <w:color w:val="1E2124"/>
                <w:lang w:eastAsia="zh-CN"/>
              </w:rPr>
            </w:pPr>
            <w:r w:rsidRPr="008571DC">
              <w:rPr>
                <w:rFonts w:ascii="DFKai-SB" w:eastAsia="DFKai-SB" w:hAnsi="DFKai-SB" w:cs="DFKai-SB" w:hint="eastAsia"/>
                <w:b/>
                <w:color w:val="1E2124"/>
                <w:lang w:eastAsia="zh-CN"/>
              </w:rPr>
              <w:t>建议中价位价格比率（点子）</w:t>
            </w:r>
          </w:p>
        </w:tc>
      </w:tr>
      <w:tr w:rsidR="00E55720" w:rsidRPr="008571DC" w:rsidTr="00B32B1B">
        <w:trPr>
          <w:jc w:val="center"/>
        </w:trPr>
        <w:tc>
          <w:tcPr>
            <w:tcW w:w="2642" w:type="dxa"/>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hint="eastAsia"/>
                <w:lang w:eastAsia="zh-CN"/>
              </w:rPr>
              <w:t>由</w:t>
            </w:r>
            <w:r w:rsidRPr="008571DC">
              <w:rPr>
                <w:rFonts w:ascii="DFKai-SB" w:eastAsia="DFKai-SB" w:hAnsi="DFKai-SB" w:cs="DFKai-SB"/>
                <w:lang w:eastAsia="zh-CN"/>
              </w:rPr>
              <w:t xml:space="preserve">0.01 </w:t>
            </w:r>
            <w:r w:rsidRPr="008571DC">
              <w:rPr>
                <w:rFonts w:ascii="DFKai-SB" w:eastAsia="DFKai-SB" w:hAnsi="DFKai-SB" w:cs="DFKai-SB" w:hint="eastAsia"/>
                <w:lang w:eastAsia="zh-CN"/>
              </w:rPr>
              <w:t>至</w:t>
            </w:r>
            <w:r w:rsidRPr="008571DC">
              <w:rPr>
                <w:rFonts w:ascii="DFKai-SB" w:eastAsia="DFKai-SB" w:hAnsi="DFKai-SB" w:cs="DFKai-SB"/>
                <w:lang w:eastAsia="zh-CN"/>
              </w:rPr>
              <w:t xml:space="preserve"> 0.25</w:t>
            </w:r>
          </w:p>
        </w:tc>
        <w:tc>
          <w:tcPr>
            <w:tcW w:w="3368" w:type="dxa"/>
            <w:gridSpan w:val="3"/>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lang w:eastAsia="zh-CN"/>
              </w:rPr>
              <w:t>0.001</w:t>
            </w:r>
          </w:p>
        </w:tc>
        <w:tc>
          <w:tcPr>
            <w:tcW w:w="4384" w:type="dxa"/>
            <w:gridSpan w:val="4"/>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lang w:eastAsia="zh-CN"/>
              </w:rPr>
              <w:t>40-1000</w:t>
            </w:r>
          </w:p>
        </w:tc>
      </w:tr>
      <w:tr w:rsidR="00E55720" w:rsidRPr="008571DC" w:rsidTr="00B32B1B">
        <w:trPr>
          <w:jc w:val="center"/>
        </w:trPr>
        <w:tc>
          <w:tcPr>
            <w:tcW w:w="2642" w:type="dxa"/>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hint="eastAsia"/>
                <w:lang w:eastAsia="zh-CN"/>
              </w:rPr>
              <w:t>高于</w:t>
            </w:r>
            <w:r w:rsidRPr="008571DC">
              <w:rPr>
                <w:rFonts w:ascii="DFKai-SB" w:eastAsia="DFKai-SB" w:hAnsi="DFKai-SB" w:cs="DFKai-SB"/>
                <w:lang w:eastAsia="zh-CN"/>
              </w:rPr>
              <w:t xml:space="preserve"> 0.25</w:t>
            </w:r>
            <w:r w:rsidRPr="008571DC">
              <w:rPr>
                <w:rFonts w:ascii="DFKai-SB" w:eastAsia="DFKai-SB" w:hAnsi="DFKai-SB" w:cs="DFKai-SB" w:hint="eastAsia"/>
                <w:lang w:eastAsia="zh-CN"/>
              </w:rPr>
              <w:t>至</w:t>
            </w:r>
            <w:r w:rsidRPr="008571DC">
              <w:rPr>
                <w:rFonts w:ascii="DFKai-SB" w:eastAsia="DFKai-SB" w:hAnsi="DFKai-SB" w:cs="DFKai-SB"/>
                <w:lang w:eastAsia="zh-CN"/>
              </w:rPr>
              <w:t xml:space="preserve">  0.50</w:t>
            </w:r>
          </w:p>
        </w:tc>
        <w:tc>
          <w:tcPr>
            <w:tcW w:w="3368" w:type="dxa"/>
            <w:gridSpan w:val="3"/>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lang w:eastAsia="zh-CN"/>
              </w:rPr>
              <w:t>0.005</w:t>
            </w:r>
          </w:p>
        </w:tc>
        <w:tc>
          <w:tcPr>
            <w:tcW w:w="4384" w:type="dxa"/>
            <w:gridSpan w:val="4"/>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lang w:eastAsia="zh-CN"/>
              </w:rPr>
              <w:t>100-200</w:t>
            </w:r>
          </w:p>
        </w:tc>
      </w:tr>
      <w:tr w:rsidR="00E55720" w:rsidRPr="008571DC" w:rsidTr="00B32B1B">
        <w:trPr>
          <w:trHeight w:val="108"/>
          <w:jc w:val="center"/>
        </w:trPr>
        <w:tc>
          <w:tcPr>
            <w:tcW w:w="2642" w:type="dxa"/>
          </w:tcPr>
          <w:p w:rsidR="00E55720" w:rsidRPr="008571DC" w:rsidRDefault="00E55720" w:rsidP="00B32B1B">
            <w:pPr>
              <w:tabs>
                <w:tab w:val="left" w:pos="458"/>
              </w:tabs>
              <w:spacing w:before="180" w:after="100" w:afterAutospacing="1"/>
              <w:jc w:val="center"/>
              <w:rPr>
                <w:rFonts w:ascii="DFKai-SB" w:eastAsia="DFKai-SB" w:hAnsi="DFKai-SB" w:cs="DFKai-SB"/>
                <w:b/>
                <w:color w:val="1E2124"/>
              </w:rPr>
            </w:pPr>
            <w:r w:rsidRPr="008571DC">
              <w:rPr>
                <w:rFonts w:ascii="DFKai-SB" w:eastAsia="DFKai-SB" w:hAnsi="DFKai-SB" w:cs="DFKai-SB" w:hint="eastAsia"/>
                <w:b/>
                <w:lang w:eastAsia="zh-CN"/>
              </w:rPr>
              <w:t>高于</w:t>
            </w:r>
            <w:r w:rsidRPr="008571DC">
              <w:rPr>
                <w:rFonts w:ascii="DFKai-SB" w:eastAsia="DFKai-SB" w:hAnsi="DFKai-SB" w:cs="DFKai-SB"/>
                <w:b/>
                <w:lang w:eastAsia="zh-CN"/>
              </w:rPr>
              <w:t xml:space="preserve">0.50 </w:t>
            </w:r>
            <w:r w:rsidRPr="008571DC">
              <w:rPr>
                <w:rFonts w:ascii="DFKai-SB" w:eastAsia="DFKai-SB" w:hAnsi="DFKai-SB" w:cs="DFKai-SB" w:hint="eastAsia"/>
                <w:b/>
                <w:lang w:eastAsia="zh-CN"/>
              </w:rPr>
              <w:t>至</w:t>
            </w:r>
            <w:r w:rsidRPr="008571DC">
              <w:rPr>
                <w:rFonts w:ascii="DFKai-SB" w:eastAsia="DFKai-SB" w:hAnsi="DFKai-SB" w:cs="DFKai-SB"/>
                <w:b/>
                <w:lang w:eastAsia="zh-CN"/>
              </w:rPr>
              <w:t xml:space="preserve"> 10.00</w:t>
            </w:r>
          </w:p>
        </w:tc>
        <w:tc>
          <w:tcPr>
            <w:tcW w:w="1405" w:type="dxa"/>
          </w:tcPr>
          <w:p w:rsidR="00E55720" w:rsidRPr="008571DC" w:rsidRDefault="00E55720" w:rsidP="00B32B1B">
            <w:pPr>
              <w:spacing w:before="180" w:after="100" w:afterAutospacing="1"/>
              <w:jc w:val="center"/>
              <w:rPr>
                <w:rFonts w:ascii="DFKai-SB" w:eastAsia="DFKai-SB" w:hAnsi="DFKai-SB" w:cs="DFKai-SB"/>
                <w:b/>
                <w:color w:val="1E2124"/>
              </w:rPr>
            </w:pPr>
            <w:r w:rsidRPr="008571DC">
              <w:rPr>
                <w:rFonts w:ascii="DFKai-SB" w:eastAsia="DFKai-SB" w:hAnsi="DFKai-SB" w:cs="DFKai-SB"/>
                <w:b/>
                <w:lang w:eastAsia="zh-CN"/>
              </w:rPr>
              <w:t>0.010</w:t>
            </w:r>
          </w:p>
        </w:tc>
        <w:tc>
          <w:tcPr>
            <w:tcW w:w="1963" w:type="dxa"/>
            <w:gridSpan w:val="2"/>
          </w:tcPr>
          <w:p w:rsidR="00E55720" w:rsidRPr="008571DC" w:rsidRDefault="00E55720" w:rsidP="00B32B1B">
            <w:pPr>
              <w:spacing w:before="180" w:after="100" w:afterAutospacing="1"/>
              <w:jc w:val="center"/>
              <w:rPr>
                <w:rFonts w:ascii="DFKai-SB" w:eastAsia="DFKai-SB" w:hAnsi="DFKai-SB" w:cs="DFKai-SB"/>
                <w:b/>
                <w:color w:val="1E2124"/>
              </w:rPr>
            </w:pPr>
            <w:r w:rsidRPr="008571DC">
              <w:rPr>
                <w:rFonts w:ascii="DFKai-SB" w:eastAsia="DFKai-SB" w:hAnsi="DFKai-SB" w:cs="DFKai-SB"/>
                <w:b/>
                <w:lang w:eastAsia="zh-CN"/>
              </w:rPr>
              <w:t>0.005</w:t>
            </w:r>
          </w:p>
        </w:tc>
        <w:tc>
          <w:tcPr>
            <w:tcW w:w="1282" w:type="dxa"/>
            <w:gridSpan w:val="2"/>
          </w:tcPr>
          <w:p w:rsidR="00E55720" w:rsidRPr="008571DC" w:rsidRDefault="00E55720" w:rsidP="00B32B1B">
            <w:pPr>
              <w:spacing w:before="180" w:after="100" w:afterAutospacing="1"/>
              <w:jc w:val="center"/>
              <w:rPr>
                <w:rFonts w:ascii="DFKai-SB" w:eastAsia="DFKai-SB" w:hAnsi="DFKai-SB" w:cs="DFKai-SB"/>
                <w:b/>
                <w:color w:val="1E2124"/>
              </w:rPr>
            </w:pPr>
            <w:r w:rsidRPr="008571DC">
              <w:rPr>
                <w:rFonts w:ascii="DFKai-SB" w:eastAsia="DFKai-SB" w:hAnsi="DFKai-SB" w:cs="DFKai-SB"/>
                <w:b/>
                <w:lang w:eastAsia="zh-CN"/>
              </w:rPr>
              <w:t>10-200</w:t>
            </w:r>
          </w:p>
        </w:tc>
        <w:tc>
          <w:tcPr>
            <w:tcW w:w="3102" w:type="dxa"/>
            <w:gridSpan w:val="2"/>
          </w:tcPr>
          <w:p w:rsidR="00E55720" w:rsidRPr="008571DC" w:rsidRDefault="00E55720" w:rsidP="00B32B1B">
            <w:pPr>
              <w:spacing w:before="180" w:after="100" w:afterAutospacing="1"/>
              <w:jc w:val="center"/>
              <w:rPr>
                <w:rFonts w:ascii="DFKai-SB" w:eastAsia="DFKai-SB" w:hAnsi="DFKai-SB" w:cs="DFKai-SB"/>
                <w:b/>
                <w:color w:val="1E2124"/>
              </w:rPr>
            </w:pPr>
            <w:r w:rsidRPr="008571DC">
              <w:rPr>
                <w:rFonts w:ascii="DFKai-SB" w:eastAsia="DFKai-SB" w:hAnsi="DFKai-SB" w:cs="DFKai-SB"/>
                <w:b/>
                <w:color w:val="1E2124"/>
                <w:lang w:eastAsia="zh-CN"/>
              </w:rPr>
              <w:t>5-100</w:t>
            </w:r>
          </w:p>
        </w:tc>
      </w:tr>
      <w:tr w:rsidR="00E55720" w:rsidRPr="008571DC" w:rsidTr="00B32B1B">
        <w:trPr>
          <w:trHeight w:val="366"/>
          <w:jc w:val="center"/>
        </w:trPr>
        <w:tc>
          <w:tcPr>
            <w:tcW w:w="2642" w:type="dxa"/>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lang w:eastAsia="zh-CN"/>
              </w:rPr>
              <w:t xml:space="preserve">0.50 </w:t>
            </w:r>
            <w:r w:rsidRPr="008571DC">
              <w:rPr>
                <w:rFonts w:ascii="DFKai-SB" w:eastAsia="DFKai-SB" w:hAnsi="DFKai-SB" w:cs="DFKai-SB" w:hint="eastAsia"/>
                <w:lang w:eastAsia="zh-CN"/>
              </w:rPr>
              <w:t>至</w:t>
            </w:r>
            <w:r w:rsidRPr="008571DC">
              <w:rPr>
                <w:rFonts w:ascii="DFKai-SB" w:eastAsia="DFKai-SB" w:hAnsi="DFKai-SB" w:cs="DFKai-SB"/>
                <w:lang w:eastAsia="zh-CN"/>
              </w:rPr>
              <w:t xml:space="preserve"> 1.00</w:t>
            </w:r>
          </w:p>
        </w:tc>
        <w:tc>
          <w:tcPr>
            <w:tcW w:w="1405" w:type="dxa"/>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lang w:eastAsia="zh-CN"/>
              </w:rPr>
              <w:t>0.010</w:t>
            </w:r>
          </w:p>
        </w:tc>
        <w:tc>
          <w:tcPr>
            <w:tcW w:w="1963" w:type="dxa"/>
            <w:gridSpan w:val="2"/>
          </w:tcPr>
          <w:p w:rsidR="00E55720" w:rsidRPr="008571DC" w:rsidRDefault="00E55720" w:rsidP="00B32B1B">
            <w:pPr>
              <w:spacing w:before="180" w:after="100" w:afterAutospacing="1"/>
              <w:ind w:hanging="86"/>
              <w:jc w:val="center"/>
              <w:rPr>
                <w:rFonts w:ascii="DFKai-SB" w:eastAsia="DFKai-SB" w:hAnsi="DFKai-SB" w:cs="DFKai-SB"/>
                <w:color w:val="1E2124"/>
              </w:rPr>
            </w:pPr>
            <w:r w:rsidRPr="008571DC">
              <w:rPr>
                <w:rFonts w:ascii="DFKai-SB" w:eastAsia="DFKai-SB" w:hAnsi="DFKai-SB" w:cs="DFKai-SB"/>
                <w:lang w:eastAsia="zh-CN"/>
              </w:rPr>
              <w:t xml:space="preserve">0.005 </w:t>
            </w:r>
            <w:r w:rsidRPr="008571DC">
              <w:rPr>
                <w:rFonts w:ascii="DFKai-SB" w:eastAsia="DFKai-SB" w:hAnsi="DFKai-SB" w:cs="DFKai-SB"/>
                <w:b/>
                <w:color w:val="FF0000"/>
                <w:lang w:eastAsia="zh-CN"/>
              </w:rPr>
              <w:t>(-50%)</w:t>
            </w:r>
          </w:p>
        </w:tc>
        <w:tc>
          <w:tcPr>
            <w:tcW w:w="4384" w:type="dxa"/>
            <w:gridSpan w:val="4"/>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lang w:eastAsia="zh-CN"/>
              </w:rPr>
              <w:t xml:space="preserve">50-100 </w:t>
            </w:r>
            <w:r w:rsidRPr="008571DC">
              <w:rPr>
                <w:rFonts w:ascii="DFKai-SB" w:eastAsia="DFKai-SB" w:hAnsi="DFKai-SB" w:cs="DFKai-SB"/>
                <w:b/>
                <w:color w:val="FF0000"/>
                <w:lang w:eastAsia="zh-CN"/>
              </w:rPr>
              <w:t>(-50%)</w:t>
            </w:r>
          </w:p>
        </w:tc>
      </w:tr>
      <w:tr w:rsidR="00E55720" w:rsidRPr="008571DC" w:rsidTr="00B32B1B">
        <w:trPr>
          <w:trHeight w:val="261"/>
          <w:jc w:val="center"/>
        </w:trPr>
        <w:tc>
          <w:tcPr>
            <w:tcW w:w="2642" w:type="dxa"/>
          </w:tcPr>
          <w:p w:rsidR="00E55720" w:rsidRPr="008571DC" w:rsidRDefault="00E55720" w:rsidP="00B32B1B">
            <w:pPr>
              <w:spacing w:before="180" w:after="100" w:afterAutospacing="1"/>
              <w:jc w:val="center"/>
              <w:rPr>
                <w:rFonts w:ascii="DFKai-SB" w:eastAsia="DFKai-SB" w:hAnsi="DFKai-SB" w:cs="DFKai-SB"/>
              </w:rPr>
            </w:pPr>
            <w:r w:rsidRPr="008571DC">
              <w:rPr>
                <w:rFonts w:ascii="DFKai-SB" w:eastAsia="DFKai-SB" w:hAnsi="DFKai-SB" w:cs="DFKai-SB"/>
                <w:lang w:eastAsia="zh-CN"/>
              </w:rPr>
              <w:t>1.00</w:t>
            </w:r>
            <w:r w:rsidRPr="008571DC">
              <w:rPr>
                <w:rFonts w:ascii="DFKai-SB" w:eastAsia="DFKai-SB" w:hAnsi="DFKai-SB" w:cs="DFKai-SB" w:hint="eastAsia"/>
                <w:lang w:eastAsia="zh-CN"/>
              </w:rPr>
              <w:t>至</w:t>
            </w:r>
            <w:r w:rsidRPr="008571DC">
              <w:rPr>
                <w:rFonts w:ascii="DFKai-SB" w:eastAsia="DFKai-SB" w:hAnsi="DFKai-SB" w:cs="DFKai-SB"/>
                <w:lang w:eastAsia="zh-CN"/>
              </w:rPr>
              <w:t xml:space="preserve"> 2.00</w:t>
            </w:r>
          </w:p>
        </w:tc>
        <w:tc>
          <w:tcPr>
            <w:tcW w:w="1405" w:type="dxa"/>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lang w:eastAsia="zh-CN"/>
              </w:rPr>
              <w:t>0.010</w:t>
            </w:r>
          </w:p>
        </w:tc>
        <w:tc>
          <w:tcPr>
            <w:tcW w:w="1963" w:type="dxa"/>
            <w:gridSpan w:val="2"/>
          </w:tcPr>
          <w:p w:rsidR="00E55720" w:rsidRPr="008571DC" w:rsidRDefault="00E55720" w:rsidP="00B32B1B">
            <w:pPr>
              <w:spacing w:before="180" w:after="100" w:afterAutospacing="1"/>
              <w:ind w:hanging="86"/>
              <w:jc w:val="center"/>
              <w:rPr>
                <w:rFonts w:ascii="DFKai-SB" w:eastAsia="DFKai-SB" w:hAnsi="DFKai-SB" w:cs="DFKai-SB"/>
                <w:color w:val="1E2124"/>
              </w:rPr>
            </w:pPr>
            <w:r w:rsidRPr="008571DC">
              <w:rPr>
                <w:rFonts w:ascii="DFKai-SB" w:eastAsia="DFKai-SB" w:hAnsi="DFKai-SB" w:cs="DFKai-SB"/>
                <w:lang w:eastAsia="zh-CN"/>
              </w:rPr>
              <w:t xml:space="preserve">0.005 </w:t>
            </w:r>
            <w:r w:rsidRPr="008571DC">
              <w:rPr>
                <w:rFonts w:ascii="DFKai-SB" w:eastAsia="DFKai-SB" w:hAnsi="DFKai-SB" w:cs="DFKai-SB"/>
                <w:b/>
                <w:color w:val="FF0000"/>
                <w:lang w:eastAsia="zh-CN"/>
              </w:rPr>
              <w:t>(-50%)</w:t>
            </w:r>
          </w:p>
        </w:tc>
        <w:tc>
          <w:tcPr>
            <w:tcW w:w="4384" w:type="dxa"/>
            <w:gridSpan w:val="4"/>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lang w:eastAsia="zh-CN"/>
              </w:rPr>
              <w:t xml:space="preserve">25-100 </w:t>
            </w:r>
            <w:r w:rsidRPr="008571DC">
              <w:rPr>
                <w:rFonts w:ascii="DFKai-SB" w:eastAsia="DFKai-SB" w:hAnsi="DFKai-SB" w:cs="DFKai-SB"/>
                <w:b/>
                <w:color w:val="FF0000"/>
                <w:lang w:eastAsia="zh-CN"/>
              </w:rPr>
              <w:t>(-50%)</w:t>
            </w:r>
          </w:p>
        </w:tc>
      </w:tr>
      <w:tr w:rsidR="00E55720" w:rsidRPr="008571DC" w:rsidTr="00B32B1B">
        <w:trPr>
          <w:trHeight w:val="125"/>
          <w:jc w:val="center"/>
        </w:trPr>
        <w:tc>
          <w:tcPr>
            <w:tcW w:w="2642" w:type="dxa"/>
          </w:tcPr>
          <w:p w:rsidR="00E55720" w:rsidRPr="008571DC" w:rsidRDefault="00E55720" w:rsidP="00B32B1B">
            <w:pPr>
              <w:spacing w:before="180" w:after="100" w:afterAutospacing="1"/>
              <w:jc w:val="center"/>
              <w:rPr>
                <w:rFonts w:ascii="DFKai-SB" w:eastAsia="DFKai-SB" w:hAnsi="DFKai-SB" w:cs="DFKai-SB"/>
              </w:rPr>
            </w:pPr>
            <w:r w:rsidRPr="008571DC">
              <w:rPr>
                <w:rFonts w:ascii="DFKai-SB" w:eastAsia="DFKai-SB" w:hAnsi="DFKai-SB" w:cs="DFKai-SB"/>
                <w:lang w:eastAsia="zh-CN"/>
              </w:rPr>
              <w:t xml:space="preserve">2.00 </w:t>
            </w:r>
            <w:r w:rsidRPr="008571DC">
              <w:rPr>
                <w:rFonts w:ascii="DFKai-SB" w:eastAsia="DFKai-SB" w:hAnsi="DFKai-SB" w:cs="DFKai-SB" w:hint="eastAsia"/>
                <w:lang w:eastAsia="zh-CN"/>
              </w:rPr>
              <w:t>至</w:t>
            </w:r>
            <w:r w:rsidRPr="008571DC">
              <w:rPr>
                <w:rFonts w:ascii="DFKai-SB" w:eastAsia="DFKai-SB" w:hAnsi="DFKai-SB" w:cs="DFKai-SB"/>
                <w:lang w:eastAsia="zh-CN"/>
              </w:rPr>
              <w:t xml:space="preserve"> 5.00</w:t>
            </w:r>
          </w:p>
        </w:tc>
        <w:tc>
          <w:tcPr>
            <w:tcW w:w="1405" w:type="dxa"/>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lang w:eastAsia="zh-CN"/>
              </w:rPr>
              <w:t>0.010</w:t>
            </w:r>
          </w:p>
        </w:tc>
        <w:tc>
          <w:tcPr>
            <w:tcW w:w="1963" w:type="dxa"/>
            <w:gridSpan w:val="2"/>
          </w:tcPr>
          <w:p w:rsidR="00E55720" w:rsidRPr="008571DC" w:rsidRDefault="00E55720" w:rsidP="00B32B1B">
            <w:pPr>
              <w:spacing w:before="180" w:after="100" w:afterAutospacing="1"/>
              <w:ind w:hanging="86"/>
              <w:jc w:val="center"/>
              <w:rPr>
                <w:rFonts w:ascii="DFKai-SB" w:eastAsia="DFKai-SB" w:hAnsi="DFKai-SB" w:cs="DFKai-SB"/>
                <w:color w:val="1E2124"/>
              </w:rPr>
            </w:pPr>
            <w:r>
              <w:rPr>
                <w:rFonts w:ascii="DFKai-SB" w:eastAsia="DFKai-SB" w:hAnsi="DFKai-SB" w:cs="DFKai-SB"/>
                <w:lang w:eastAsia="zh-CN"/>
              </w:rPr>
              <w:t>0.00</w:t>
            </w:r>
            <w:r w:rsidRPr="008571DC">
              <w:rPr>
                <w:rFonts w:ascii="DFKai-SB" w:eastAsia="DFKai-SB" w:hAnsi="DFKai-SB" w:cs="DFKai-SB"/>
                <w:lang w:eastAsia="zh-CN"/>
              </w:rPr>
              <w:t xml:space="preserve">5 </w:t>
            </w:r>
            <w:r w:rsidRPr="008571DC">
              <w:rPr>
                <w:rFonts w:ascii="DFKai-SB" w:eastAsia="DFKai-SB" w:hAnsi="DFKai-SB" w:cs="DFKai-SB"/>
                <w:b/>
                <w:color w:val="FF0000"/>
                <w:lang w:eastAsia="zh-CN"/>
              </w:rPr>
              <w:t>(-50%)</w:t>
            </w:r>
          </w:p>
        </w:tc>
        <w:tc>
          <w:tcPr>
            <w:tcW w:w="4384" w:type="dxa"/>
            <w:gridSpan w:val="4"/>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lang w:eastAsia="zh-CN"/>
              </w:rPr>
              <w:t xml:space="preserve">10-25 </w:t>
            </w:r>
            <w:r w:rsidRPr="008571DC">
              <w:rPr>
                <w:rFonts w:ascii="DFKai-SB" w:eastAsia="DFKai-SB" w:hAnsi="DFKai-SB" w:cs="DFKai-SB"/>
                <w:b/>
                <w:color w:val="FF0000"/>
                <w:lang w:eastAsia="zh-CN"/>
              </w:rPr>
              <w:t>(-50%)</w:t>
            </w:r>
          </w:p>
        </w:tc>
      </w:tr>
      <w:tr w:rsidR="00E55720" w:rsidRPr="008571DC" w:rsidTr="00B32B1B">
        <w:trPr>
          <w:trHeight w:val="131"/>
          <w:jc w:val="center"/>
        </w:trPr>
        <w:tc>
          <w:tcPr>
            <w:tcW w:w="2642" w:type="dxa"/>
          </w:tcPr>
          <w:p w:rsidR="00E55720" w:rsidRPr="008571DC" w:rsidRDefault="00E55720" w:rsidP="00B32B1B">
            <w:pPr>
              <w:spacing w:before="180" w:after="100" w:afterAutospacing="1"/>
              <w:jc w:val="center"/>
              <w:rPr>
                <w:rFonts w:ascii="DFKai-SB" w:eastAsia="DFKai-SB" w:hAnsi="DFKai-SB" w:cs="DFKai-SB"/>
              </w:rPr>
            </w:pPr>
            <w:r w:rsidRPr="008571DC">
              <w:rPr>
                <w:rFonts w:ascii="DFKai-SB" w:eastAsia="DFKai-SB" w:hAnsi="DFKai-SB" w:cs="DFKai-SB"/>
                <w:lang w:eastAsia="zh-CN"/>
              </w:rPr>
              <w:t xml:space="preserve">5.00 </w:t>
            </w:r>
            <w:r w:rsidRPr="008571DC">
              <w:rPr>
                <w:rFonts w:ascii="DFKai-SB" w:eastAsia="DFKai-SB" w:hAnsi="DFKai-SB" w:cs="DFKai-SB" w:hint="eastAsia"/>
                <w:lang w:eastAsia="zh-CN"/>
              </w:rPr>
              <w:t>至</w:t>
            </w:r>
            <w:r w:rsidRPr="008571DC">
              <w:rPr>
                <w:rFonts w:ascii="DFKai-SB" w:eastAsia="DFKai-SB" w:hAnsi="DFKai-SB" w:cs="DFKai-SB"/>
                <w:lang w:eastAsia="zh-CN"/>
              </w:rPr>
              <w:t xml:space="preserve"> 10.00</w:t>
            </w:r>
          </w:p>
        </w:tc>
        <w:tc>
          <w:tcPr>
            <w:tcW w:w="1405" w:type="dxa"/>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lang w:eastAsia="zh-CN"/>
              </w:rPr>
              <w:t>0.010</w:t>
            </w:r>
          </w:p>
        </w:tc>
        <w:tc>
          <w:tcPr>
            <w:tcW w:w="1963" w:type="dxa"/>
            <w:gridSpan w:val="2"/>
          </w:tcPr>
          <w:p w:rsidR="00E55720" w:rsidRPr="008571DC" w:rsidRDefault="00E55720" w:rsidP="00B32B1B">
            <w:pPr>
              <w:spacing w:before="180" w:after="100" w:afterAutospacing="1"/>
              <w:ind w:hanging="86"/>
              <w:jc w:val="center"/>
              <w:rPr>
                <w:rFonts w:ascii="DFKai-SB" w:eastAsia="DFKai-SB" w:hAnsi="DFKai-SB" w:cs="DFKai-SB"/>
                <w:color w:val="1E2124"/>
              </w:rPr>
            </w:pPr>
            <w:r w:rsidRPr="008571DC">
              <w:rPr>
                <w:rFonts w:ascii="DFKai-SB" w:eastAsia="DFKai-SB" w:hAnsi="DFKai-SB" w:cs="DFKai-SB"/>
                <w:lang w:eastAsia="zh-CN"/>
              </w:rPr>
              <w:t xml:space="preserve">0.005 </w:t>
            </w:r>
            <w:r w:rsidRPr="008571DC">
              <w:rPr>
                <w:rFonts w:ascii="DFKai-SB" w:eastAsia="DFKai-SB" w:hAnsi="DFKai-SB" w:cs="DFKai-SB"/>
                <w:b/>
                <w:color w:val="FF0000"/>
                <w:lang w:eastAsia="zh-CN"/>
              </w:rPr>
              <w:t>(-50%)</w:t>
            </w:r>
          </w:p>
        </w:tc>
        <w:tc>
          <w:tcPr>
            <w:tcW w:w="4384" w:type="dxa"/>
            <w:gridSpan w:val="4"/>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lang w:eastAsia="zh-CN"/>
              </w:rPr>
              <w:t xml:space="preserve">10-20 </w:t>
            </w:r>
            <w:r w:rsidRPr="008571DC">
              <w:rPr>
                <w:rFonts w:ascii="DFKai-SB" w:eastAsia="DFKai-SB" w:hAnsi="DFKai-SB" w:cs="DFKai-SB"/>
                <w:b/>
                <w:color w:val="FF0000"/>
                <w:lang w:eastAsia="zh-CN"/>
              </w:rPr>
              <w:t>(-50%)</w:t>
            </w:r>
          </w:p>
        </w:tc>
      </w:tr>
      <w:tr w:rsidR="00E55720" w:rsidRPr="008571DC" w:rsidTr="00B32B1B">
        <w:trPr>
          <w:jc w:val="center"/>
        </w:trPr>
        <w:tc>
          <w:tcPr>
            <w:tcW w:w="2642" w:type="dxa"/>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hint="eastAsia"/>
                <w:lang w:eastAsia="zh-CN"/>
              </w:rPr>
              <w:t>高于</w:t>
            </w:r>
            <w:r w:rsidRPr="008571DC">
              <w:rPr>
                <w:rFonts w:ascii="DFKai-SB" w:eastAsia="DFKai-SB" w:hAnsi="DFKai-SB" w:cs="DFKai-SB"/>
                <w:lang w:eastAsia="zh-CN"/>
              </w:rPr>
              <w:t xml:space="preserve">10.00 </w:t>
            </w:r>
            <w:r w:rsidRPr="008571DC">
              <w:rPr>
                <w:rFonts w:ascii="DFKai-SB" w:eastAsia="DFKai-SB" w:hAnsi="DFKai-SB" w:cs="DFKai-SB" w:hint="eastAsia"/>
                <w:lang w:eastAsia="zh-CN"/>
              </w:rPr>
              <w:t>至</w:t>
            </w:r>
            <w:r w:rsidRPr="008571DC">
              <w:rPr>
                <w:rFonts w:ascii="DFKai-SB" w:eastAsia="DFKai-SB" w:hAnsi="DFKai-SB" w:cs="DFKai-SB"/>
                <w:lang w:eastAsia="zh-CN"/>
              </w:rPr>
              <w:t xml:space="preserve"> 20.00</w:t>
            </w:r>
          </w:p>
        </w:tc>
        <w:tc>
          <w:tcPr>
            <w:tcW w:w="3368" w:type="dxa"/>
            <w:gridSpan w:val="3"/>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lang w:eastAsia="zh-CN"/>
              </w:rPr>
              <w:t>0.010</w:t>
            </w:r>
          </w:p>
        </w:tc>
        <w:tc>
          <w:tcPr>
            <w:tcW w:w="4384" w:type="dxa"/>
            <w:gridSpan w:val="4"/>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lang w:eastAsia="zh-CN"/>
              </w:rPr>
              <w:t>5-10</w:t>
            </w:r>
          </w:p>
        </w:tc>
      </w:tr>
      <w:tr w:rsidR="00E55720" w:rsidRPr="008571DC" w:rsidTr="00B32B1B">
        <w:trPr>
          <w:jc w:val="center"/>
        </w:trPr>
        <w:tc>
          <w:tcPr>
            <w:tcW w:w="2642" w:type="dxa"/>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hint="eastAsia"/>
                <w:lang w:eastAsia="zh-CN"/>
              </w:rPr>
              <w:t>高于</w:t>
            </w:r>
            <w:r w:rsidRPr="008571DC">
              <w:rPr>
                <w:rFonts w:ascii="DFKai-SB" w:eastAsia="DFKai-SB" w:hAnsi="DFKai-SB" w:cs="DFKai-SB"/>
                <w:lang w:eastAsia="zh-CN"/>
              </w:rPr>
              <w:t xml:space="preserve"> 20.00 </w:t>
            </w:r>
            <w:r w:rsidRPr="008571DC">
              <w:rPr>
                <w:rFonts w:ascii="DFKai-SB" w:eastAsia="DFKai-SB" w:hAnsi="DFKai-SB" w:cs="DFKai-SB" w:hint="eastAsia"/>
                <w:lang w:eastAsia="zh-CN"/>
              </w:rPr>
              <w:t>至</w:t>
            </w:r>
            <w:r w:rsidRPr="008571DC">
              <w:rPr>
                <w:rFonts w:ascii="DFKai-SB" w:eastAsia="DFKai-SB" w:hAnsi="DFKai-SB" w:cs="DFKai-SB"/>
                <w:lang w:eastAsia="zh-CN"/>
              </w:rPr>
              <w:t xml:space="preserve"> 50.00</w:t>
            </w:r>
          </w:p>
        </w:tc>
        <w:tc>
          <w:tcPr>
            <w:tcW w:w="3368" w:type="dxa"/>
            <w:gridSpan w:val="3"/>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lang w:eastAsia="zh-CN"/>
              </w:rPr>
              <w:t>0.020</w:t>
            </w:r>
          </w:p>
        </w:tc>
        <w:tc>
          <w:tcPr>
            <w:tcW w:w="4384" w:type="dxa"/>
            <w:gridSpan w:val="4"/>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lang w:eastAsia="zh-CN"/>
              </w:rPr>
              <w:t>4-10</w:t>
            </w:r>
          </w:p>
        </w:tc>
      </w:tr>
      <w:tr w:rsidR="00E55720" w:rsidRPr="008571DC" w:rsidTr="00B32B1B">
        <w:trPr>
          <w:jc w:val="center"/>
        </w:trPr>
        <w:tc>
          <w:tcPr>
            <w:tcW w:w="2642" w:type="dxa"/>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hint="eastAsia"/>
                <w:lang w:eastAsia="zh-CN"/>
              </w:rPr>
              <w:t>高于</w:t>
            </w:r>
            <w:r w:rsidRPr="008571DC">
              <w:rPr>
                <w:rFonts w:ascii="DFKai-SB" w:eastAsia="DFKai-SB" w:hAnsi="DFKai-SB" w:cs="DFKai-SB"/>
                <w:lang w:eastAsia="zh-CN"/>
              </w:rPr>
              <w:t xml:space="preserve"> 50.00</w:t>
            </w:r>
            <w:r w:rsidRPr="008571DC">
              <w:rPr>
                <w:rFonts w:ascii="DFKai-SB" w:eastAsia="DFKai-SB" w:hAnsi="DFKai-SB" w:cs="DFKai-SB" w:hint="eastAsia"/>
                <w:lang w:eastAsia="zh-CN"/>
              </w:rPr>
              <w:t>至</w:t>
            </w:r>
            <w:r w:rsidRPr="008571DC">
              <w:rPr>
                <w:rFonts w:ascii="DFKai-SB" w:eastAsia="DFKai-SB" w:hAnsi="DFKai-SB" w:cs="DFKai-SB"/>
                <w:lang w:eastAsia="zh-CN"/>
              </w:rPr>
              <w:t>100.00</w:t>
            </w:r>
          </w:p>
        </w:tc>
        <w:tc>
          <w:tcPr>
            <w:tcW w:w="3368" w:type="dxa"/>
            <w:gridSpan w:val="3"/>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lang w:eastAsia="zh-CN"/>
              </w:rPr>
              <w:t>0.050</w:t>
            </w:r>
          </w:p>
        </w:tc>
        <w:tc>
          <w:tcPr>
            <w:tcW w:w="4384" w:type="dxa"/>
            <w:gridSpan w:val="4"/>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lang w:eastAsia="zh-CN"/>
              </w:rPr>
              <w:t>5-10</w:t>
            </w:r>
          </w:p>
        </w:tc>
      </w:tr>
      <w:tr w:rsidR="00E55720" w:rsidRPr="008571DC" w:rsidTr="00B32B1B">
        <w:trPr>
          <w:jc w:val="center"/>
        </w:trPr>
        <w:tc>
          <w:tcPr>
            <w:tcW w:w="2642" w:type="dxa"/>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hint="eastAsia"/>
                <w:lang w:eastAsia="zh-CN"/>
              </w:rPr>
              <w:t>高于</w:t>
            </w:r>
            <w:r w:rsidRPr="008571DC">
              <w:rPr>
                <w:rFonts w:ascii="DFKai-SB" w:eastAsia="DFKai-SB" w:hAnsi="DFKai-SB" w:cs="DFKai-SB"/>
                <w:lang w:eastAsia="zh-CN"/>
              </w:rPr>
              <w:t xml:space="preserve"> 100.00 </w:t>
            </w:r>
            <w:r w:rsidRPr="008571DC">
              <w:rPr>
                <w:rFonts w:ascii="DFKai-SB" w:eastAsia="DFKai-SB" w:hAnsi="DFKai-SB" w:cs="DFKai-SB" w:hint="eastAsia"/>
                <w:lang w:eastAsia="zh-CN"/>
              </w:rPr>
              <w:t>至</w:t>
            </w:r>
            <w:r w:rsidRPr="008571DC">
              <w:rPr>
                <w:rFonts w:ascii="DFKai-SB" w:eastAsia="DFKai-SB" w:hAnsi="DFKai-SB" w:cs="DFKai-SB"/>
                <w:lang w:eastAsia="zh-CN"/>
              </w:rPr>
              <w:t xml:space="preserve"> 200.00</w:t>
            </w:r>
          </w:p>
        </w:tc>
        <w:tc>
          <w:tcPr>
            <w:tcW w:w="3368" w:type="dxa"/>
            <w:gridSpan w:val="3"/>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lang w:eastAsia="zh-CN"/>
              </w:rPr>
              <w:t>0.100</w:t>
            </w:r>
          </w:p>
        </w:tc>
        <w:tc>
          <w:tcPr>
            <w:tcW w:w="4384" w:type="dxa"/>
            <w:gridSpan w:val="4"/>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lang w:eastAsia="zh-CN"/>
              </w:rPr>
              <w:t>5-10</w:t>
            </w:r>
          </w:p>
        </w:tc>
      </w:tr>
      <w:tr w:rsidR="00E55720" w:rsidRPr="008571DC" w:rsidTr="00B32B1B">
        <w:trPr>
          <w:jc w:val="center"/>
        </w:trPr>
        <w:tc>
          <w:tcPr>
            <w:tcW w:w="2642" w:type="dxa"/>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hint="eastAsia"/>
                <w:lang w:eastAsia="zh-CN"/>
              </w:rPr>
              <w:t>高于</w:t>
            </w:r>
            <w:r w:rsidRPr="008571DC">
              <w:rPr>
                <w:rFonts w:ascii="DFKai-SB" w:eastAsia="DFKai-SB" w:hAnsi="DFKai-SB" w:cs="DFKai-SB"/>
                <w:lang w:eastAsia="zh-CN"/>
              </w:rPr>
              <w:t xml:space="preserve"> 200.00 </w:t>
            </w:r>
            <w:r w:rsidRPr="008571DC">
              <w:rPr>
                <w:rFonts w:ascii="DFKai-SB" w:eastAsia="DFKai-SB" w:hAnsi="DFKai-SB" w:cs="DFKai-SB" w:hint="eastAsia"/>
                <w:lang w:eastAsia="zh-CN"/>
              </w:rPr>
              <w:t>至</w:t>
            </w:r>
            <w:r w:rsidRPr="008571DC">
              <w:rPr>
                <w:rFonts w:ascii="DFKai-SB" w:eastAsia="DFKai-SB" w:hAnsi="DFKai-SB" w:cs="DFKai-SB"/>
                <w:lang w:eastAsia="zh-CN"/>
              </w:rPr>
              <w:t xml:space="preserve"> 500.00</w:t>
            </w:r>
          </w:p>
        </w:tc>
        <w:tc>
          <w:tcPr>
            <w:tcW w:w="3368" w:type="dxa"/>
            <w:gridSpan w:val="3"/>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lang w:eastAsia="zh-CN"/>
              </w:rPr>
              <w:t>0.200</w:t>
            </w:r>
          </w:p>
        </w:tc>
        <w:tc>
          <w:tcPr>
            <w:tcW w:w="4384" w:type="dxa"/>
            <w:gridSpan w:val="4"/>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lang w:eastAsia="zh-CN"/>
              </w:rPr>
              <w:t>4-10</w:t>
            </w:r>
          </w:p>
        </w:tc>
      </w:tr>
      <w:tr w:rsidR="00E55720" w:rsidRPr="008571DC" w:rsidTr="00B32B1B">
        <w:trPr>
          <w:jc w:val="center"/>
        </w:trPr>
        <w:tc>
          <w:tcPr>
            <w:tcW w:w="2642" w:type="dxa"/>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hint="eastAsia"/>
                <w:lang w:eastAsia="zh-CN"/>
              </w:rPr>
              <w:t>高于</w:t>
            </w:r>
            <w:r w:rsidRPr="008571DC">
              <w:rPr>
                <w:rFonts w:ascii="DFKai-SB" w:eastAsia="DFKai-SB" w:hAnsi="DFKai-SB" w:cs="DFKai-SB"/>
                <w:lang w:eastAsia="zh-CN"/>
              </w:rPr>
              <w:t xml:space="preserve"> 500.00 </w:t>
            </w:r>
            <w:r w:rsidRPr="008571DC">
              <w:rPr>
                <w:rFonts w:ascii="DFKai-SB" w:eastAsia="DFKai-SB" w:hAnsi="DFKai-SB" w:cs="DFKai-SB" w:hint="eastAsia"/>
                <w:lang w:eastAsia="zh-CN"/>
              </w:rPr>
              <w:t>至</w:t>
            </w:r>
            <w:r w:rsidRPr="008571DC">
              <w:rPr>
                <w:rFonts w:ascii="DFKai-SB" w:eastAsia="DFKai-SB" w:hAnsi="DFKai-SB" w:cs="DFKai-SB"/>
                <w:lang w:eastAsia="zh-CN"/>
              </w:rPr>
              <w:t xml:space="preserve"> 1,000.00</w:t>
            </w:r>
          </w:p>
        </w:tc>
        <w:tc>
          <w:tcPr>
            <w:tcW w:w="3368" w:type="dxa"/>
            <w:gridSpan w:val="3"/>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lang w:eastAsia="zh-CN"/>
              </w:rPr>
              <w:t>0.500</w:t>
            </w:r>
          </w:p>
        </w:tc>
        <w:tc>
          <w:tcPr>
            <w:tcW w:w="4384" w:type="dxa"/>
            <w:gridSpan w:val="4"/>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lang w:eastAsia="zh-CN"/>
              </w:rPr>
              <w:t>5-10</w:t>
            </w:r>
          </w:p>
        </w:tc>
      </w:tr>
      <w:tr w:rsidR="00E55720" w:rsidRPr="008571DC" w:rsidTr="00B32B1B">
        <w:trPr>
          <w:jc w:val="center"/>
        </w:trPr>
        <w:tc>
          <w:tcPr>
            <w:tcW w:w="2642" w:type="dxa"/>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hint="eastAsia"/>
                <w:lang w:eastAsia="zh-CN"/>
              </w:rPr>
              <w:t>高于</w:t>
            </w:r>
            <w:r w:rsidRPr="008571DC">
              <w:rPr>
                <w:rFonts w:ascii="DFKai-SB" w:eastAsia="DFKai-SB" w:hAnsi="DFKai-SB" w:cs="DFKai-SB"/>
                <w:lang w:eastAsia="zh-CN"/>
              </w:rPr>
              <w:t xml:space="preserve"> 1,000.00</w:t>
            </w:r>
            <w:r w:rsidRPr="008571DC">
              <w:rPr>
                <w:rFonts w:ascii="DFKai-SB" w:eastAsia="DFKai-SB" w:hAnsi="DFKai-SB" w:cs="DFKai-SB" w:hint="eastAsia"/>
                <w:lang w:eastAsia="zh-CN"/>
              </w:rPr>
              <w:t>至</w:t>
            </w:r>
            <w:r w:rsidRPr="008571DC">
              <w:rPr>
                <w:rFonts w:ascii="DFKai-SB" w:eastAsia="DFKai-SB" w:hAnsi="DFKai-SB" w:cs="DFKai-SB"/>
                <w:lang w:eastAsia="zh-CN"/>
              </w:rPr>
              <w:t xml:space="preserve"> 2,000.00</w:t>
            </w:r>
          </w:p>
        </w:tc>
        <w:tc>
          <w:tcPr>
            <w:tcW w:w="3368" w:type="dxa"/>
            <w:gridSpan w:val="3"/>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lang w:eastAsia="zh-CN"/>
              </w:rPr>
              <w:t>1.000</w:t>
            </w:r>
          </w:p>
        </w:tc>
        <w:tc>
          <w:tcPr>
            <w:tcW w:w="4384" w:type="dxa"/>
            <w:gridSpan w:val="4"/>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lang w:eastAsia="zh-CN"/>
              </w:rPr>
              <w:t>5-10</w:t>
            </w:r>
          </w:p>
        </w:tc>
      </w:tr>
      <w:tr w:rsidR="00E55720" w:rsidRPr="008571DC" w:rsidTr="00B32B1B">
        <w:trPr>
          <w:jc w:val="center"/>
        </w:trPr>
        <w:tc>
          <w:tcPr>
            <w:tcW w:w="2642" w:type="dxa"/>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hint="eastAsia"/>
                <w:lang w:eastAsia="zh-CN"/>
              </w:rPr>
              <w:t>高于</w:t>
            </w:r>
            <w:r w:rsidRPr="008571DC">
              <w:rPr>
                <w:rFonts w:ascii="DFKai-SB" w:eastAsia="DFKai-SB" w:hAnsi="DFKai-SB" w:cs="DFKai-SB"/>
                <w:lang w:eastAsia="zh-CN"/>
              </w:rPr>
              <w:t>2,000.00</w:t>
            </w:r>
            <w:r w:rsidRPr="008571DC">
              <w:rPr>
                <w:rFonts w:ascii="DFKai-SB" w:eastAsia="DFKai-SB" w:hAnsi="DFKai-SB" w:cs="DFKai-SB" w:hint="eastAsia"/>
                <w:lang w:eastAsia="zh-CN"/>
              </w:rPr>
              <w:t>至</w:t>
            </w:r>
            <w:r w:rsidRPr="008571DC">
              <w:rPr>
                <w:rFonts w:ascii="DFKai-SB" w:eastAsia="DFKai-SB" w:hAnsi="DFKai-SB" w:cs="DFKai-SB"/>
                <w:lang w:eastAsia="zh-CN"/>
              </w:rPr>
              <w:t xml:space="preserve"> 5,000.00</w:t>
            </w:r>
          </w:p>
        </w:tc>
        <w:tc>
          <w:tcPr>
            <w:tcW w:w="3368" w:type="dxa"/>
            <w:gridSpan w:val="3"/>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lang w:eastAsia="zh-CN"/>
              </w:rPr>
              <w:t>2.000</w:t>
            </w:r>
          </w:p>
        </w:tc>
        <w:tc>
          <w:tcPr>
            <w:tcW w:w="4384" w:type="dxa"/>
            <w:gridSpan w:val="4"/>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lang w:eastAsia="zh-CN"/>
              </w:rPr>
              <w:t>4-10</w:t>
            </w:r>
          </w:p>
        </w:tc>
      </w:tr>
      <w:tr w:rsidR="00E55720" w:rsidRPr="008571DC" w:rsidTr="00B32B1B">
        <w:trPr>
          <w:jc w:val="center"/>
        </w:trPr>
        <w:tc>
          <w:tcPr>
            <w:tcW w:w="2642" w:type="dxa"/>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hint="eastAsia"/>
                <w:lang w:eastAsia="zh-CN"/>
              </w:rPr>
              <w:t>高于</w:t>
            </w:r>
            <w:r w:rsidRPr="008571DC">
              <w:rPr>
                <w:rFonts w:ascii="DFKai-SB" w:eastAsia="DFKai-SB" w:hAnsi="DFKai-SB" w:cs="DFKai-SB"/>
                <w:lang w:eastAsia="zh-CN"/>
              </w:rPr>
              <w:t xml:space="preserve"> 5,000.00 </w:t>
            </w:r>
            <w:r w:rsidRPr="008571DC">
              <w:rPr>
                <w:rFonts w:ascii="DFKai-SB" w:eastAsia="DFKai-SB" w:hAnsi="DFKai-SB" w:cs="DFKai-SB" w:hint="eastAsia"/>
                <w:lang w:eastAsia="zh-CN"/>
              </w:rPr>
              <w:t>至</w:t>
            </w:r>
            <w:r w:rsidRPr="008571DC">
              <w:rPr>
                <w:rFonts w:ascii="DFKai-SB" w:eastAsia="DFKai-SB" w:hAnsi="DFKai-SB" w:cs="DFKai-SB"/>
                <w:lang w:eastAsia="zh-CN"/>
              </w:rPr>
              <w:t xml:space="preserve"> 9,995.00</w:t>
            </w:r>
          </w:p>
        </w:tc>
        <w:tc>
          <w:tcPr>
            <w:tcW w:w="3368" w:type="dxa"/>
            <w:gridSpan w:val="3"/>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lang w:eastAsia="zh-CN"/>
              </w:rPr>
              <w:t>5.000</w:t>
            </w:r>
          </w:p>
        </w:tc>
        <w:tc>
          <w:tcPr>
            <w:tcW w:w="4384" w:type="dxa"/>
            <w:gridSpan w:val="4"/>
          </w:tcPr>
          <w:p w:rsidR="00E55720" w:rsidRPr="008571DC" w:rsidRDefault="00E55720" w:rsidP="00B32B1B">
            <w:pPr>
              <w:spacing w:before="180" w:after="100" w:afterAutospacing="1"/>
              <w:jc w:val="center"/>
              <w:rPr>
                <w:rFonts w:ascii="DFKai-SB" w:eastAsia="DFKai-SB" w:hAnsi="DFKai-SB" w:cs="DFKai-SB"/>
                <w:color w:val="1E2124"/>
              </w:rPr>
            </w:pPr>
            <w:r w:rsidRPr="008571DC">
              <w:rPr>
                <w:rFonts w:ascii="DFKai-SB" w:eastAsia="DFKai-SB" w:hAnsi="DFKai-SB" w:cs="DFKai-SB"/>
                <w:lang w:eastAsia="zh-CN"/>
              </w:rPr>
              <w:t>5-10</w:t>
            </w:r>
          </w:p>
        </w:tc>
      </w:tr>
    </w:tbl>
    <w:p w:rsidR="00E55720" w:rsidRDefault="00E55720">
      <w:pPr>
        <w:pStyle w:val="BodyText"/>
        <w:rPr>
          <w:rFonts w:eastAsiaTheme="minorEastAsia"/>
          <w:b/>
          <w:lang w:eastAsia="zh-CN"/>
        </w:rPr>
      </w:pPr>
    </w:p>
    <w:p w:rsidR="00DB587D" w:rsidRDefault="00FD197F">
      <w:pPr>
        <w:pStyle w:val="BodyText"/>
        <w:rPr>
          <w:lang w:eastAsia="zh-CN"/>
        </w:rPr>
      </w:pPr>
      <w:r>
        <w:rPr>
          <w:lang w:eastAsia="zh-CN"/>
        </w:rPr>
        <w:t>下调最低上落价位的影响</w:t>
      </w:r>
    </w:p>
    <w:p w:rsidR="00DB587D" w:rsidRDefault="00FD197F">
      <w:pPr>
        <w:pStyle w:val="BodyText"/>
        <w:rPr>
          <w:lang w:eastAsia="zh-CN"/>
        </w:rPr>
      </w:pPr>
      <w:r>
        <w:rPr>
          <w:lang w:eastAsia="zh-CN"/>
        </w:rPr>
        <w:t>建议的变动量化情况如下：</w:t>
      </w:r>
    </w:p>
    <w:p w:rsidR="00DB587D" w:rsidRDefault="00FD197F">
      <w:pPr>
        <w:pStyle w:val="Compact"/>
        <w:numPr>
          <w:ilvl w:val="0"/>
          <w:numId w:val="7"/>
        </w:numPr>
        <w:rPr>
          <w:lang w:eastAsia="zh-CN"/>
        </w:rPr>
      </w:pPr>
      <w:r>
        <w:rPr>
          <w:lang w:eastAsia="zh-CN"/>
        </w:rPr>
        <w:t>第一阶段：</w:t>
      </w:r>
      <w:r>
        <w:rPr>
          <w:lang w:eastAsia="zh-CN"/>
        </w:rPr>
        <w:t>283</w:t>
      </w:r>
      <w:r>
        <w:rPr>
          <w:lang w:eastAsia="zh-CN"/>
        </w:rPr>
        <w:t>只（约占适用证券的</w:t>
      </w:r>
      <w:r>
        <w:rPr>
          <w:lang w:eastAsia="zh-CN"/>
        </w:rPr>
        <w:t>11%</w:t>
      </w:r>
      <w:r>
        <w:rPr>
          <w:lang w:eastAsia="zh-CN"/>
        </w:rPr>
        <w:t>，占适用证券日均成交金额约</w:t>
      </w:r>
      <w:r>
        <w:rPr>
          <w:lang w:eastAsia="zh-CN"/>
        </w:rPr>
        <w:t>29%</w:t>
      </w:r>
      <w:r>
        <w:rPr>
          <w:lang w:eastAsia="zh-CN"/>
        </w:rPr>
        <w:t>）；及</w:t>
      </w:r>
    </w:p>
    <w:p w:rsidR="00DB587D" w:rsidRDefault="00FD197F">
      <w:pPr>
        <w:pStyle w:val="Compact"/>
        <w:numPr>
          <w:ilvl w:val="0"/>
          <w:numId w:val="7"/>
        </w:numPr>
        <w:rPr>
          <w:lang w:eastAsia="zh-CN"/>
        </w:rPr>
      </w:pPr>
      <w:r>
        <w:rPr>
          <w:lang w:eastAsia="zh-CN"/>
        </w:rPr>
        <w:t>第二阶段：</w:t>
      </w:r>
      <w:r>
        <w:rPr>
          <w:lang w:eastAsia="zh-CN"/>
        </w:rPr>
        <w:t>1,345</w:t>
      </w:r>
      <w:r>
        <w:rPr>
          <w:lang w:eastAsia="zh-CN"/>
        </w:rPr>
        <w:t>只（约占适用证券的</w:t>
      </w:r>
      <w:r>
        <w:rPr>
          <w:lang w:eastAsia="zh-CN"/>
        </w:rPr>
        <w:t>51%</w:t>
      </w:r>
      <w:r>
        <w:rPr>
          <w:lang w:eastAsia="zh-CN"/>
        </w:rPr>
        <w:t>，占适用证券日均成交金额约</w:t>
      </w:r>
      <w:r>
        <w:rPr>
          <w:lang w:eastAsia="zh-CN"/>
        </w:rPr>
        <w:t>24%</w:t>
      </w:r>
      <w:r>
        <w:rPr>
          <w:lang w:eastAsia="zh-CN"/>
        </w:rPr>
        <w:t>）。</w:t>
      </w:r>
    </w:p>
    <w:p w:rsidR="00DB587D" w:rsidRDefault="00FD197F">
      <w:pPr>
        <w:pStyle w:val="FirstParagraph"/>
        <w:rPr>
          <w:lang w:eastAsia="zh-CN"/>
        </w:rPr>
      </w:pPr>
      <w:r>
        <w:rPr>
          <w:lang w:eastAsia="zh-CN"/>
        </w:rPr>
        <w:t>价位表安排</w:t>
      </w:r>
    </w:p>
    <w:p w:rsidR="00DB587D" w:rsidRDefault="00FD197F">
      <w:pPr>
        <w:pStyle w:val="BodyText"/>
        <w:rPr>
          <w:lang w:eastAsia="zh-CN"/>
        </w:rPr>
      </w:pPr>
      <w:r>
        <w:rPr>
          <w:lang w:eastAsia="zh-CN"/>
        </w:rPr>
        <w:lastRenderedPageBreak/>
        <w:t>在香港，统一的价位表适用于所有股票，该价位表设定的最低上落价位随价格区间上升，但不根据流动性进行区分。这种系统保持了一致的价位与价格比率，有利于在特定产品内成交策略。</w:t>
      </w:r>
    </w:p>
    <w:p w:rsidR="00DB587D" w:rsidRDefault="00FD197F">
      <w:pPr>
        <w:pStyle w:val="BodyText"/>
        <w:rPr>
          <w:lang w:eastAsia="zh-CN"/>
        </w:rPr>
      </w:pPr>
      <w:r>
        <w:rPr>
          <w:lang w:eastAsia="zh-CN"/>
        </w:rPr>
        <w:t>然而，单一价位表方法的一个显着缺点是它没有考虑到个股的流动性。高流动性的股票可能受到较大的最低上落价位限制（受价位限制），而流动性较低的股票的买卖盘可能分散在许多不同价格</w:t>
      </w:r>
      <w:r>
        <w:rPr>
          <w:lang w:eastAsia="zh-CN"/>
        </w:rPr>
        <w:t>队伍上，这可能会稀释可见的流动性并有碍有效的价格发现。</w:t>
      </w:r>
    </w:p>
    <w:p w:rsidR="00DB587D" w:rsidRDefault="00FD197F">
      <w:pPr>
        <w:pStyle w:val="BodyText"/>
        <w:rPr>
          <w:lang w:eastAsia="zh-CN"/>
        </w:rPr>
      </w:pPr>
      <w:r>
        <w:rPr>
          <w:lang w:eastAsia="zh-CN"/>
        </w:rPr>
        <w:t>在股票市场中，根据各自的价格及流动性，设定不同最低上落价位，以减轻流动性较低的股票有买卖盘分散的情况。然而，此模式很复杂，需要定期考虑股票流动性的变化，也需要市场参与者更多的主动参与，将相关参数输入交易系统，更可能需要为了采用程序交易策略而进行额外回溯测试。</w:t>
      </w:r>
    </w:p>
    <w:p w:rsidR="00DB587D" w:rsidRDefault="00FD197F">
      <w:pPr>
        <w:pStyle w:val="BodyText"/>
        <w:rPr>
          <w:lang w:eastAsia="zh-CN"/>
        </w:rPr>
      </w:pPr>
      <w:r>
        <w:rPr>
          <w:lang w:eastAsia="zh-CN"/>
        </w:rPr>
        <w:t>在初期的市场反馈中，多位市场参与者主张采用单一价位表模式，以维持港股市场简单、一致且低成本的市场结构。因此，谘询文件提议所有适用证券均使用单一价位表。</w:t>
      </w:r>
    </w:p>
    <w:p w:rsidR="00DB587D" w:rsidRDefault="00FD197F">
      <w:pPr>
        <w:pStyle w:val="BodyText"/>
        <w:rPr>
          <w:lang w:eastAsia="zh-CN"/>
        </w:rPr>
      </w:pPr>
      <w:r>
        <w:rPr>
          <w:lang w:eastAsia="zh-CN"/>
        </w:rPr>
        <w:t>建议的下调最低上落价位会影响的其他事项</w:t>
      </w:r>
    </w:p>
    <w:p w:rsidR="00DB587D" w:rsidRDefault="00FD197F">
      <w:pPr>
        <w:pStyle w:val="BodyText"/>
        <w:rPr>
          <w:lang w:eastAsia="zh-CN"/>
        </w:rPr>
      </w:pPr>
      <w:r>
        <w:rPr>
          <w:lang w:eastAsia="zh-CN"/>
        </w:rPr>
        <w:t>报价规则</w:t>
      </w:r>
    </w:p>
    <w:p w:rsidR="00DB587D" w:rsidRDefault="00FD197F">
      <w:pPr>
        <w:pStyle w:val="BodyText"/>
        <w:rPr>
          <w:lang w:eastAsia="zh-CN"/>
        </w:rPr>
      </w:pPr>
      <w:r>
        <w:rPr>
          <w:lang w:eastAsia="zh-CN"/>
        </w:rPr>
        <w:t>以最低上落价位数量为基准，适用证券受到报价规则所监管，因此下调最低上落价位的建议将会收紧适用证券买卖盘允许的输入价格范围。有见及此，联交所认为需要对最低上落价位及报价规则一并检讨。</w:t>
      </w:r>
    </w:p>
    <w:p w:rsidR="00DB587D" w:rsidRDefault="00FD197F">
      <w:pPr>
        <w:pStyle w:val="BodyText"/>
        <w:rPr>
          <w:lang w:eastAsia="zh-CN"/>
        </w:rPr>
      </w:pPr>
      <w:r>
        <w:rPr>
          <w:lang w:eastAsia="zh-CN"/>
        </w:rPr>
        <w:t>持续交易时段的买卖盘输入价格受交易所规则下相关的报价规则所规管。报价规则旨在确保在特定价格范围内输入的买卖盘会可以被传送至联交所的交易系统，以确保平稳的价格发现过程以及交易系统容量管理。</w:t>
      </w:r>
    </w:p>
    <w:p w:rsidR="00DB587D" w:rsidRDefault="00FD197F">
      <w:pPr>
        <w:pStyle w:val="BodyText"/>
        <w:rPr>
          <w:lang w:eastAsia="zh-CN"/>
        </w:rPr>
      </w:pPr>
      <w:r>
        <w:rPr>
          <w:lang w:eastAsia="zh-CN"/>
        </w:rPr>
        <w:t>目前，适用证券的允许限价设定在</w:t>
      </w:r>
      <w:r>
        <w:rPr>
          <w:lang w:eastAsia="zh-CN"/>
        </w:rPr>
        <w:t>±24</w:t>
      </w:r>
      <w:r>
        <w:rPr>
          <w:lang w:eastAsia="zh-CN"/>
        </w:rPr>
        <w:t>个价位内，但随着建议的最低上落价位缩小，这些限制可能会降低</w:t>
      </w:r>
      <w:r>
        <w:rPr>
          <w:lang w:eastAsia="zh-CN"/>
        </w:rPr>
        <w:t>50%</w:t>
      </w:r>
      <w:r>
        <w:rPr>
          <w:lang w:eastAsia="zh-CN"/>
        </w:rPr>
        <w:t>60%</w:t>
      </w:r>
      <w:r>
        <w:rPr>
          <w:lang w:eastAsia="zh-CN"/>
        </w:rPr>
        <w:t>。为减低这种降低的影响，</w:t>
      </w:r>
      <w:r>
        <w:rPr>
          <w:lang w:eastAsia="zh-CN"/>
        </w:rPr>
        <w:t>联交所正在考虑调整适用证券的报价规则。它正在考虑采用双重结构的价格限制系统，该系统已经用于交易所买卖产品，并且还将以百分比基准设定买卖盘输入的价格限制，这是上海、深圳和韩国等其他交易所采用的方法。</w:t>
      </w:r>
    </w:p>
    <w:p w:rsidR="00DB587D" w:rsidRDefault="00FD197F">
      <w:pPr>
        <w:pStyle w:val="BodyText"/>
        <w:rPr>
          <w:lang w:eastAsia="zh-CN"/>
        </w:rPr>
      </w:pPr>
      <w:r>
        <w:rPr>
          <w:lang w:eastAsia="zh-CN"/>
        </w:rPr>
        <w:t>该建议将涉及在固定最低上落价位数目或参考价的基础上加设按百分比设定的买卖盘输入价格限制，以较高百分比者为准。联交所提议采用与适用于交易所买卖产品相同的报价规则。适用证券的价格限制与参考价相隔</w:t>
      </w:r>
      <w:r>
        <w:rPr>
          <w:lang w:eastAsia="zh-CN"/>
        </w:rPr>
        <w:t xml:space="preserve"> 24</w:t>
      </w:r>
      <w:r>
        <w:rPr>
          <w:lang w:eastAsia="zh-CN"/>
        </w:rPr>
        <w:t>个价位或</w:t>
      </w:r>
      <w:r>
        <w:rPr>
          <w:lang w:eastAsia="zh-CN"/>
        </w:rPr>
        <w:t xml:space="preserve"> 3.5%</w:t>
      </w:r>
      <w:r>
        <w:rPr>
          <w:lang w:eastAsia="zh-CN"/>
        </w:rPr>
        <w:t>，</w:t>
      </w:r>
      <w:r>
        <w:rPr>
          <w:lang w:eastAsia="zh-CN"/>
        </w:rPr>
        <w:t xml:space="preserve"> </w:t>
      </w:r>
      <w:r>
        <w:rPr>
          <w:lang w:eastAsia="zh-CN"/>
        </w:rPr>
        <w:t>以较高百分比者为准。这种方法透过统一所有证券的现有报价规则，解决限价收窄的问题，就采用难度及技术</w:t>
      </w:r>
      <w:r>
        <w:rPr>
          <w:lang w:eastAsia="zh-CN"/>
        </w:rPr>
        <w:t>设置而言，这种一致的做法对市场参与者亦较为容易。</w:t>
      </w:r>
    </w:p>
    <w:p w:rsidR="00DB587D" w:rsidRDefault="00FD197F">
      <w:pPr>
        <w:pStyle w:val="BodyText"/>
        <w:rPr>
          <w:lang w:eastAsia="zh-CN"/>
        </w:rPr>
      </w:pPr>
      <w:r>
        <w:rPr>
          <w:lang w:eastAsia="zh-CN"/>
        </w:rPr>
        <w:t>联交所还建议使开市报价价以及联交所交易系统以外达成的交易的相关规则保持一致。</w:t>
      </w:r>
    </w:p>
    <w:p w:rsidR="00DB587D" w:rsidRDefault="00FD197F">
      <w:pPr>
        <w:pStyle w:val="BodyText"/>
        <w:rPr>
          <w:lang w:eastAsia="zh-CN"/>
        </w:rPr>
      </w:pPr>
      <w:r>
        <w:rPr>
          <w:lang w:eastAsia="zh-CN"/>
        </w:rPr>
        <w:t>市场系统适应性</w:t>
      </w:r>
    </w:p>
    <w:p w:rsidR="00DB587D" w:rsidRDefault="00FD197F">
      <w:pPr>
        <w:pStyle w:val="BodyText"/>
        <w:rPr>
          <w:lang w:eastAsia="zh-CN"/>
        </w:rPr>
      </w:pPr>
      <w:r>
        <w:rPr>
          <w:lang w:eastAsia="zh-CN"/>
        </w:rPr>
        <w:t>若联交所进一步下调</w:t>
      </w:r>
      <w:r>
        <w:rPr>
          <w:lang w:eastAsia="zh-CN"/>
        </w:rPr>
        <w:t>10</w:t>
      </w:r>
      <w:r>
        <w:rPr>
          <w:lang w:eastAsia="zh-CN"/>
        </w:rPr>
        <w:t>港元以下价格范围的最低上落价位，</w:t>
      </w:r>
      <w:r>
        <w:rPr>
          <w:lang w:eastAsia="zh-CN"/>
        </w:rPr>
        <w:t>0.5</w:t>
      </w:r>
      <w:r>
        <w:rPr>
          <w:lang w:eastAsia="zh-CN"/>
        </w:rPr>
        <w:t>港元至</w:t>
      </w:r>
      <w:bookmarkStart w:id="0" w:name="_GoBack"/>
      <w:bookmarkEnd w:id="0"/>
      <w:r>
        <w:rPr>
          <w:lang w:eastAsia="zh-CN"/>
        </w:rPr>
        <w:t>10</w:t>
      </w:r>
      <w:r>
        <w:rPr>
          <w:lang w:eastAsia="zh-CN"/>
        </w:rPr>
        <w:t>港元股票的最低上落价位将减至</w:t>
      </w:r>
      <w:r>
        <w:rPr>
          <w:lang w:eastAsia="zh-CN"/>
        </w:rPr>
        <w:t>0.005</w:t>
      </w:r>
      <w:r>
        <w:rPr>
          <w:lang w:eastAsia="zh-CN"/>
        </w:rPr>
        <w:t>港元。市场参与者的初步反馈显示，就交易所买卖期权等产品的交易，有部分的市场参与者系统或需优化，才能处理多于两个小数位的价位，因此他们需要更多时间筹备实施。</w:t>
      </w:r>
    </w:p>
    <w:p w:rsidR="00DB587D" w:rsidRDefault="00FD197F">
      <w:pPr>
        <w:pStyle w:val="DisclaimerBold"/>
        <w:rPr>
          <w:lang w:eastAsia="zh-CN"/>
        </w:rPr>
      </w:pPr>
      <w:r>
        <w:rPr>
          <w:lang w:eastAsia="zh-CN"/>
        </w:rPr>
        <w:t>此法讯仅为提供相关资料信息之用，其内容并</w:t>
      </w:r>
    </w:p>
    <w:p w:rsidR="00DB587D" w:rsidRDefault="00FD197F">
      <w:pPr>
        <w:pStyle w:val="Disclaimer"/>
        <w:rPr>
          <w:lang w:eastAsia="zh-CN"/>
        </w:rPr>
      </w:pPr>
      <w:r>
        <w:rPr>
          <w:lang w:eastAsia="zh-CN"/>
        </w:rPr>
        <w:t>不构成法律建议及个案的法律分析。</w:t>
      </w:r>
    </w:p>
    <w:p w:rsidR="00DB587D" w:rsidRDefault="00FD197F">
      <w:pPr>
        <w:pStyle w:val="Disclaimer"/>
        <w:rPr>
          <w:lang w:eastAsia="zh-CN"/>
        </w:rPr>
      </w:pPr>
      <w:r>
        <w:rPr>
          <w:lang w:eastAsia="zh-CN"/>
        </w:rPr>
        <w:t>此法讯的发送并不是为了在易周</w:t>
      </w:r>
      <w:r>
        <w:rPr>
          <w:lang w:eastAsia="zh-CN"/>
        </w:rPr>
        <w:t>律师行与用户或浏览者之间建立一种律师与客户之关系。</w:t>
      </w:r>
    </w:p>
    <w:p w:rsidR="00DB587D" w:rsidRDefault="00FD197F">
      <w:pPr>
        <w:pStyle w:val="Disclaimer"/>
        <w:rPr>
          <w:lang w:eastAsia="zh-CN"/>
        </w:rPr>
      </w:pPr>
      <w:r>
        <w:rPr>
          <w:lang w:eastAsia="zh-CN"/>
        </w:rPr>
        <w:t>易周律师行并不对可从互联网获得的任何第三方内容负责。</w:t>
      </w:r>
    </w:p>
    <w:p w:rsidR="00DB587D" w:rsidRDefault="00FD197F">
      <w:pPr>
        <w:pStyle w:val="Disclaimer"/>
        <w:rPr>
          <w:lang w:eastAsia="zh-CN"/>
        </w:rPr>
      </w:pPr>
      <w:r>
        <w:rPr>
          <w:lang w:eastAsia="zh-CN"/>
        </w:rPr>
        <w:t>如你不希望再收到易周法讯，请发送电邮至</w:t>
      </w:r>
      <w:r>
        <w:rPr>
          <w:lang w:eastAsia="zh-CN"/>
        </w:rPr>
        <w:t xml:space="preserve">  </w:t>
      </w:r>
      <w:hyperlink r:id="rId9">
        <w:r>
          <w:rPr>
            <w:lang w:eastAsia="zh-CN"/>
          </w:rPr>
          <w:t>unsubscribe@charltonslaw.com</w:t>
        </w:r>
      </w:hyperlink>
    </w:p>
    <w:p w:rsidR="00DB587D" w:rsidRDefault="00FD197F">
      <w:pPr>
        <w:pStyle w:val="BlackStrips"/>
      </w:pPr>
      <w:r>
        <w:t xml:space="preserve">Charltons - </w:t>
      </w:r>
      <w:r>
        <w:t>香港法律</w:t>
      </w:r>
      <w:r>
        <w:t xml:space="preserve"> - 2024</w:t>
      </w:r>
      <w:r>
        <w:t>年</w:t>
      </w:r>
      <w:r>
        <w:t>10</w:t>
      </w:r>
      <w:r>
        <w:t>月</w:t>
      </w:r>
      <w:r>
        <w:t>9</w:t>
      </w:r>
      <w:r>
        <w:t>日</w:t>
      </w:r>
    </w:p>
    <w:sectPr w:rsidR="00DB587D">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D197F">
      <w:pPr>
        <w:spacing w:after="0"/>
      </w:pPr>
      <w:r>
        <w:separator/>
      </w:r>
    </w:p>
  </w:endnote>
  <w:endnote w:type="continuationSeparator" w:id="0">
    <w:p w:rsidR="00000000" w:rsidRDefault="00FD19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DFKai-SB">
    <w:altName w:val="Microsoft JhengHei Light"/>
    <w:panose1 w:val="03000509000000000000"/>
    <w:charset w:val="88"/>
    <w:family w:val="script"/>
    <w:pitch w:val="fixed"/>
    <w:sig w:usb0="00000000"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87D" w:rsidRDefault="00FD197F">
      <w:r>
        <w:separator/>
      </w:r>
    </w:p>
  </w:footnote>
  <w:footnote w:type="continuationSeparator" w:id="0">
    <w:p w:rsidR="00DB587D" w:rsidRDefault="00FD19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AEC42AA6"/>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4F50108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8216280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num>
  <w:num w:numId="4">
    <w:abstractNumId w:val="0"/>
  </w:num>
  <w:num w:numId="5">
    <w:abstractNumId w:val="0"/>
  </w:num>
  <w:num w:numId="6">
    <w:abstractNumId w:val="0"/>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0D07"/>
    <w:rsid w:val="00011C8B"/>
    <w:rsid w:val="004E29B3"/>
    <w:rsid w:val="00590D07"/>
    <w:rsid w:val="00784D58"/>
    <w:rsid w:val="008D6863"/>
    <w:rsid w:val="00B86B75"/>
    <w:rsid w:val="00BC48D5"/>
    <w:rsid w:val="00C36279"/>
    <w:rsid w:val="00DB587D"/>
    <w:rsid w:val="00E315A3"/>
    <w:rsid w:val="00E55720"/>
    <w:rsid w:val="00FD197F"/>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C8053"/>
  <w15:docId w15:val="{F33FC761-42D8-49AA-80CC-315ECB1C2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rFonts w:eastAsiaTheme="minorHAnsi"/>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rFonts w:eastAsiaTheme="minorHAnsi"/>
      <w:color w:val="00000A"/>
      <w:sz w:val="24"/>
    </w:rPr>
  </w:style>
  <w:style w:type="paragraph" w:styleId="Date">
    <w:name w:val="Date"/>
    <w:qFormat/>
    <w:pPr>
      <w:keepNext/>
      <w:keepLines/>
      <w:jc w:val="center"/>
    </w:pPr>
    <w:rPr>
      <w:rFonts w:eastAsiaTheme="minorHAnsi"/>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styleId="TableGrid">
    <w:name w:val="Table Grid"/>
    <w:basedOn w:val="TableNormal"/>
    <w:uiPriority w:val="39"/>
    <w:rsid w:val="00E55720"/>
    <w:rPr>
      <w:rFonts w:ascii="Times New Roman" w:eastAsia="SimSun" w:hAnsi="Times New Roman"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ex.com.hk/-/media/HKEX-Market/News/Market-Consultations/2016-Present/June-2024-Review-of-Minimum-Spreads/Consultation-Paper/cp202406.pdf" TargetMode="External"/><Relationship Id="rId3" Type="http://schemas.openxmlformats.org/officeDocument/2006/relationships/settings" Target="settings.xml"/><Relationship Id="rId7" Type="http://schemas.openxmlformats.org/officeDocument/2006/relationships/hyperlink" Target="http://www.charltonslaw.com.cn/xiang-gang-lian-jiao-suo-jiu-xia-diao-xiang-gang-zheng-quan-shi-chang-gu-piao-zui-di-shang-luo-jie-wei-zhan-kai-zi-xu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unsubscribe@charltonslaw.com?subject=unsubscribe%20-Hong%20Kong%20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879</Words>
  <Characters>5015</Characters>
  <Application>Microsoft Office Word</Application>
  <DocSecurity>0</DocSecurity>
  <Lines>41</Lines>
  <Paragraphs>11</Paragraphs>
  <ScaleCrop>false</ScaleCrop>
  <Company>Charltons</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3</cp:revision>
  <dcterms:created xsi:type="dcterms:W3CDTF">2024-10-09T03:12:00Z</dcterms:created>
  <dcterms:modified xsi:type="dcterms:W3CDTF">2024-10-09T03:33:00Z</dcterms:modified>
</cp:coreProperties>
</file>