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7A" w:rsidRDefault="007C28AF">
      <w:pPr>
        <w:pStyle w:val="BlackStrips"/>
      </w:pPr>
      <w:r>
        <w:t xml:space="preserve">Charltons - </w:t>
      </w:r>
      <w:r>
        <w:t>香港法律</w:t>
      </w:r>
      <w:r>
        <w:t xml:space="preserve"> - 2024</w:t>
      </w:r>
      <w:r>
        <w:t>年</w:t>
      </w:r>
      <w:r>
        <w:t>11</w:t>
      </w:r>
      <w:r>
        <w:t>月</w:t>
      </w:r>
      <w:r>
        <w:t>26</w:t>
      </w:r>
      <w:r>
        <w:t>日</w:t>
      </w:r>
    </w:p>
    <w:p w:rsidR="007C447A" w:rsidRDefault="007C28AF">
      <w:pPr>
        <w:pStyle w:val="ReadOnline"/>
      </w:pPr>
      <w:hyperlink r:id="rId7">
        <w:r>
          <w:t>online version</w:t>
        </w:r>
      </w:hyperlink>
    </w:p>
    <w:p w:rsidR="007C447A" w:rsidRDefault="007C28AF">
      <w:pPr>
        <w:pStyle w:val="Title"/>
        <w:rPr>
          <w:lang w:eastAsia="zh-CN"/>
        </w:rPr>
      </w:pPr>
      <w:r>
        <w:rPr>
          <w:lang w:eastAsia="zh-CN"/>
        </w:rPr>
        <w:t>香港将内幕交易制度的管辖范围扩大至境外证券及交易</w:t>
      </w:r>
    </w:p>
    <w:p w:rsidR="007C447A" w:rsidRDefault="007C28AF">
      <w:pPr>
        <w:pStyle w:val="FirstParagraph"/>
      </w:pPr>
      <w:r>
        <w:rPr>
          <w:lang w:eastAsia="zh-CN"/>
        </w:rPr>
        <w:t>根据证监会于</w:t>
      </w:r>
      <w:r>
        <w:rPr>
          <w:lang w:eastAsia="zh-CN"/>
        </w:rPr>
        <w:t>2023</w:t>
      </w:r>
      <w:r>
        <w:rPr>
          <w:lang w:eastAsia="zh-CN"/>
        </w:rPr>
        <w:t>年</w:t>
      </w:r>
      <w:r>
        <w:rPr>
          <w:lang w:eastAsia="zh-CN"/>
        </w:rPr>
        <w:t>8</w:t>
      </w:r>
      <w:r>
        <w:rPr>
          <w:lang w:eastAsia="zh-CN"/>
        </w:rPr>
        <w:t>月</w:t>
      </w:r>
      <w:r>
        <w:rPr>
          <w:lang w:eastAsia="zh-CN"/>
        </w:rPr>
        <w:t>8</w:t>
      </w:r>
      <w:r>
        <w:rPr>
          <w:lang w:eastAsia="zh-CN"/>
        </w:rPr>
        <w:t>日发表的</w:t>
      </w:r>
      <w:hyperlink r:id="rId8">
        <w:r>
          <w:rPr>
            <w:lang w:eastAsia="zh-CN"/>
          </w:rPr>
          <w:t>有关建议修订《证券及期货条例》内与执法相关的条文的谘询总结</w:t>
        </w:r>
      </w:hyperlink>
      <w:r>
        <w:rPr>
          <w:lang w:eastAsia="zh-CN"/>
        </w:rPr>
        <w:t>，香港的内幕交易制度将扩大至涵盖香港上市证券的境外内幕交易和境外上市证券及其衍生工具的境内内幕交易。</w:t>
      </w:r>
      <w:r>
        <w:t>不过，证监会已搁置以下建议：</w:t>
      </w:r>
    </w:p>
    <w:p w:rsidR="007C447A" w:rsidRDefault="007C28AF">
      <w:pPr>
        <w:pStyle w:val="Compact"/>
        <w:numPr>
          <w:ilvl w:val="0"/>
          <w:numId w:val="3"/>
        </w:numPr>
        <w:rPr>
          <w:lang w:eastAsia="zh-CN"/>
        </w:rPr>
      </w:pPr>
      <w:r>
        <w:rPr>
          <w:lang w:eastAsia="zh-CN"/>
        </w:rPr>
        <w:t>缩窄专业人士根据《证券及期货条例》第</w:t>
      </w:r>
      <w:r>
        <w:rPr>
          <w:lang w:eastAsia="zh-CN"/>
        </w:rPr>
        <w:t>103(3)(k)</w:t>
      </w:r>
      <w:r>
        <w:rPr>
          <w:lang w:eastAsia="zh-CN"/>
        </w:rPr>
        <w:t>条获得豁免的范围；及</w:t>
      </w:r>
    </w:p>
    <w:p w:rsidR="007C447A" w:rsidRDefault="007C28AF">
      <w:pPr>
        <w:pStyle w:val="Compact"/>
        <w:numPr>
          <w:ilvl w:val="0"/>
          <w:numId w:val="3"/>
        </w:numPr>
        <w:rPr>
          <w:lang w:eastAsia="zh-CN"/>
        </w:rPr>
      </w:pPr>
      <w:r>
        <w:rPr>
          <w:lang w:eastAsia="zh-CN"/>
        </w:rPr>
        <w:t>允许证监会向受证监会规管人士申请法庭复原令，</w:t>
      </w:r>
      <w:r>
        <w:rPr>
          <w:lang w:eastAsia="zh-CN"/>
        </w:rPr>
        <w:t>要求他们赔偿投资者因受规管人士违反证监会非法定守则及指引而造成的损失。</w:t>
      </w:r>
    </w:p>
    <w:p w:rsidR="007C447A" w:rsidRDefault="007C28AF">
      <w:pPr>
        <w:pStyle w:val="FirstParagraph"/>
        <w:rPr>
          <w:lang w:eastAsia="zh-CN"/>
        </w:rPr>
      </w:pPr>
      <w:r>
        <w:rPr>
          <w:lang w:eastAsia="zh-CN"/>
        </w:rPr>
        <w:t>这两项建议的搁置无疑会受到香港市场的欢迎。事实证明，围绕建议实施的问题很复杂，导致证监会选择暂时不推进这些建议。关于</w:t>
      </w:r>
      <w:hyperlink r:id="rId9">
        <w:r>
          <w:rPr>
            <w:lang w:eastAsia="zh-CN"/>
          </w:rPr>
          <w:t>2022</w:t>
        </w:r>
        <w:r>
          <w:rPr>
            <w:lang w:eastAsia="zh-CN"/>
          </w:rPr>
          <w:t>年</w:t>
        </w:r>
        <w:r>
          <w:rPr>
            <w:lang w:eastAsia="zh-CN"/>
          </w:rPr>
          <w:t>6</w:t>
        </w:r>
        <w:r>
          <w:rPr>
            <w:lang w:eastAsia="zh-CN"/>
          </w:rPr>
          <w:t>月的咨询文件</w:t>
        </w:r>
      </w:hyperlink>
      <w:hyperlink w:anchor="footnote-598-1">
        <w:r>
          <w:rPr>
            <w:vertAlign w:val="superscript"/>
            <w:lang w:eastAsia="zh-CN"/>
          </w:rPr>
          <w:t>1</w:t>
        </w:r>
      </w:hyperlink>
      <w:r>
        <w:rPr>
          <w:lang w:eastAsia="zh-CN"/>
        </w:rPr>
        <w:t>原始建议的详情，请参</w:t>
      </w:r>
      <w:r>
        <w:rPr>
          <w:lang w:eastAsia="zh-CN"/>
        </w:rPr>
        <w:t>阅易周律师行</w:t>
      </w:r>
      <w:r>
        <w:rPr>
          <w:lang w:eastAsia="zh-CN"/>
        </w:rPr>
        <w:t xml:space="preserve"> </w:t>
      </w:r>
      <w:hyperlink r:id="rId10">
        <w:r>
          <w:rPr>
            <w:lang w:eastAsia="zh-CN"/>
          </w:rPr>
          <w:t>2022</w:t>
        </w:r>
        <w:r>
          <w:rPr>
            <w:lang w:eastAsia="zh-CN"/>
          </w:rPr>
          <w:t>年</w:t>
        </w:r>
        <w:r>
          <w:rPr>
            <w:lang w:eastAsia="zh-CN"/>
          </w:rPr>
          <w:t>7</w:t>
        </w:r>
        <w:r>
          <w:rPr>
            <w:lang w:eastAsia="zh-CN"/>
          </w:rPr>
          <w:t>月法讯</w:t>
        </w:r>
      </w:hyperlink>
      <w:r>
        <w:rPr>
          <w:lang w:eastAsia="zh-CN"/>
        </w:rPr>
        <w:t>。</w:t>
      </w:r>
    </w:p>
    <w:p w:rsidR="007C447A" w:rsidRDefault="007C28AF">
      <w:pPr>
        <w:pStyle w:val="BodyText"/>
        <w:rPr>
          <w:lang w:eastAsia="zh-CN"/>
        </w:rPr>
      </w:pPr>
      <w:r>
        <w:rPr>
          <w:lang w:eastAsia="zh-CN"/>
        </w:rPr>
        <w:t>因此，证监会只会就《证券及期货条例》第</w:t>
      </w:r>
      <w:r>
        <w:rPr>
          <w:lang w:eastAsia="zh-CN"/>
        </w:rPr>
        <w:t>XIII</w:t>
      </w:r>
      <w:r>
        <w:rPr>
          <w:lang w:eastAsia="zh-CN"/>
        </w:rPr>
        <w:t>部</w:t>
      </w:r>
      <w:r>
        <w:rPr>
          <w:lang w:eastAsia="zh-CN"/>
        </w:rPr>
        <w:t>(</w:t>
      </w:r>
      <w:r>
        <w:rPr>
          <w:lang w:eastAsia="zh-CN"/>
        </w:rPr>
        <w:t>民事</w:t>
      </w:r>
      <w:r>
        <w:rPr>
          <w:lang w:eastAsia="zh-CN"/>
        </w:rPr>
        <w:t>)</w:t>
      </w:r>
      <w:r>
        <w:rPr>
          <w:lang w:eastAsia="zh-CN"/>
        </w:rPr>
        <w:t>及</w:t>
      </w:r>
      <w:r>
        <w:rPr>
          <w:lang w:eastAsia="zh-CN"/>
        </w:rPr>
        <w:t>XIV</w:t>
      </w:r>
      <w:r>
        <w:rPr>
          <w:lang w:eastAsia="zh-CN"/>
        </w:rPr>
        <w:t>部</w:t>
      </w:r>
      <w:r>
        <w:rPr>
          <w:lang w:eastAsia="zh-CN"/>
        </w:rPr>
        <w:t>(</w:t>
      </w:r>
      <w:r>
        <w:rPr>
          <w:lang w:eastAsia="zh-CN"/>
        </w:rPr>
        <w:t>刑事</w:t>
      </w:r>
      <w:r>
        <w:rPr>
          <w:lang w:eastAsia="zh-CN"/>
        </w:rPr>
        <w:t>)</w:t>
      </w:r>
      <w:r>
        <w:rPr>
          <w:lang w:eastAsia="zh-CN"/>
        </w:rPr>
        <w:t>内有关内幕交易条文的修订进行修订，这些修订获广泛支持。这些变化取决于立法程序，有关各方将能够</w:t>
      </w:r>
      <w:r>
        <w:rPr>
          <w:lang w:eastAsia="zh-CN"/>
        </w:rPr>
        <w:t>在这一过程中审查修正案。证监会还表示，将继续监察市场发展，并会考虑在必要时引入进一步的投资者保护措施，例如赋予证监会更大的纪律处分权力。</w:t>
      </w:r>
    </w:p>
    <w:p w:rsidR="007C447A" w:rsidRPr="007C28AF" w:rsidRDefault="007C28AF">
      <w:pPr>
        <w:pStyle w:val="BodyText"/>
        <w:rPr>
          <w:b/>
          <w:color w:val="FF0000"/>
          <w:lang w:eastAsia="zh-CN"/>
        </w:rPr>
      </w:pPr>
      <w:r w:rsidRPr="007C28AF">
        <w:rPr>
          <w:b/>
          <w:color w:val="FF0000"/>
          <w:lang w:eastAsia="zh-CN"/>
        </w:rPr>
        <w:t>有关建议修订《证券及期货条例》内与执法相关的条文的谘询总结</w:t>
      </w:r>
    </w:p>
    <w:p w:rsidR="007C447A" w:rsidRPr="007C28AF" w:rsidRDefault="007C28AF">
      <w:pPr>
        <w:pStyle w:val="BodyText"/>
        <w:rPr>
          <w:color w:val="FF0000"/>
          <w:lang w:eastAsia="zh-CN"/>
        </w:rPr>
      </w:pPr>
      <w:r w:rsidRPr="007C28AF">
        <w:rPr>
          <w:color w:val="FF0000"/>
          <w:lang w:eastAsia="zh-CN"/>
        </w:rPr>
        <w:t>扩大《证券及期货条例》内幕交易制度的地域范围</w:t>
      </w:r>
    </w:p>
    <w:p w:rsidR="007C447A" w:rsidRDefault="007C28AF">
      <w:pPr>
        <w:pStyle w:val="BodyText"/>
        <w:rPr>
          <w:lang w:eastAsia="zh-CN"/>
        </w:rPr>
      </w:pPr>
      <w:r>
        <w:rPr>
          <w:lang w:eastAsia="zh-CN"/>
        </w:rPr>
        <w:t>目前，《香港证券及期货条例》的民事及刑事内幕交易制度，只适用于在公认股票市场（即由香港交易所运营的香港股票市场）上市的证券及其衍生工具的交易。《证券及期货条例》并不规管在香港进行的内幕交易涉及在香港以外上市的证券或其衍生工具，亦没有明确涵盖在香港以外进行的内幕交易涉及</w:t>
      </w:r>
      <w:r>
        <w:rPr>
          <w:lang w:eastAsia="zh-CN"/>
        </w:rPr>
        <w:t>在香港以外上市的证券或其衍生工具。这一立法漏洞阻碍了香港证监会将境外内幕交易商绳之以法的努力：</w:t>
      </w:r>
      <w:r>
        <w:rPr>
          <w:lang w:eastAsia="zh-CN"/>
        </w:rPr>
        <w:t>2017</w:t>
      </w:r>
      <w:r>
        <w:rPr>
          <w:lang w:eastAsia="zh-CN"/>
        </w:rPr>
        <w:t>年至</w:t>
      </w:r>
      <w:r>
        <w:rPr>
          <w:lang w:eastAsia="zh-CN"/>
        </w:rPr>
        <w:t>2021</w:t>
      </w:r>
      <w:r>
        <w:rPr>
          <w:lang w:eastAsia="zh-CN"/>
        </w:rPr>
        <w:t>年期间，证监会内幕交易案件中约</w:t>
      </w:r>
      <w:r>
        <w:rPr>
          <w:lang w:eastAsia="zh-CN"/>
        </w:rPr>
        <w:t>60%</w:t>
      </w:r>
      <w:r>
        <w:rPr>
          <w:lang w:eastAsia="zh-CN"/>
        </w:rPr>
        <w:t>涉及香港上市证券的境外内幕交易，超出了证监会的监管范围。</w:t>
      </w:r>
      <w:hyperlink w:anchor="footnote-598-2">
        <w:r>
          <w:rPr>
            <w:vertAlign w:val="superscript"/>
            <w:lang w:eastAsia="zh-CN"/>
          </w:rPr>
          <w:t>2</w:t>
        </w:r>
      </w:hyperlink>
    </w:p>
    <w:p w:rsidR="007C447A" w:rsidRDefault="007C28AF">
      <w:pPr>
        <w:pStyle w:val="BodyText"/>
        <w:rPr>
          <w:lang w:eastAsia="zh-CN"/>
        </w:rPr>
      </w:pPr>
      <w:r>
        <w:rPr>
          <w:lang w:eastAsia="zh-CN"/>
        </w:rPr>
        <w:t>谘询的大部分回应者支持证监会建议将《证券及期货条例》下内幕交易条文的范围扩阔至涵盖：</w:t>
      </w:r>
    </w:p>
    <w:p w:rsidR="007C447A" w:rsidRDefault="007C28AF">
      <w:pPr>
        <w:pStyle w:val="Compact"/>
        <w:numPr>
          <w:ilvl w:val="0"/>
          <w:numId w:val="4"/>
        </w:numPr>
        <w:rPr>
          <w:lang w:eastAsia="zh-CN"/>
        </w:rPr>
      </w:pPr>
      <w:r>
        <w:rPr>
          <w:lang w:eastAsia="zh-CN"/>
        </w:rPr>
        <w:t>在香港就境外上市证券或其衍生工具进行的内幕交易；及</w:t>
      </w:r>
    </w:p>
    <w:p w:rsidR="007C447A" w:rsidRDefault="007C28AF">
      <w:pPr>
        <w:pStyle w:val="Compact"/>
        <w:numPr>
          <w:ilvl w:val="0"/>
          <w:numId w:val="4"/>
        </w:numPr>
        <w:rPr>
          <w:lang w:eastAsia="zh-CN"/>
        </w:rPr>
      </w:pPr>
      <w:r>
        <w:rPr>
          <w:lang w:eastAsia="zh-CN"/>
        </w:rPr>
        <w:t>在香港以外地方进行的内幕交易（前提是当中涉及任何香港上市证券或其衍生工具）。</w:t>
      </w:r>
    </w:p>
    <w:p w:rsidR="007C447A" w:rsidRDefault="007C28AF">
      <w:pPr>
        <w:pStyle w:val="FirstParagraph"/>
        <w:rPr>
          <w:lang w:eastAsia="zh-CN"/>
        </w:rPr>
      </w:pPr>
      <w:r>
        <w:rPr>
          <w:lang w:eastAsia="zh-CN"/>
        </w:rPr>
        <w:t>修订《证券及</w:t>
      </w:r>
      <w:r>
        <w:rPr>
          <w:lang w:eastAsia="zh-CN"/>
        </w:rPr>
        <w:t>期货条例》扩大内幕交易制度的地域范围</w:t>
      </w:r>
    </w:p>
    <w:p w:rsidR="007C447A" w:rsidRDefault="007C28AF">
      <w:pPr>
        <w:pStyle w:val="BodyText"/>
        <w:rPr>
          <w:lang w:eastAsia="zh-CN"/>
        </w:rPr>
      </w:pPr>
      <w:r>
        <w:rPr>
          <w:lang w:eastAsia="zh-CN"/>
        </w:rPr>
        <w:t>内幕交易制度的地域扩展将受以下因素影响：</w:t>
      </w:r>
    </w:p>
    <w:p w:rsidR="007C447A" w:rsidRDefault="007C28AF">
      <w:pPr>
        <w:pStyle w:val="Compact"/>
        <w:numPr>
          <w:ilvl w:val="0"/>
          <w:numId w:val="5"/>
        </w:numPr>
        <w:rPr>
          <w:lang w:eastAsia="zh-CN"/>
        </w:rPr>
      </w:pPr>
      <w:r>
        <w:rPr>
          <w:lang w:eastAsia="zh-CN"/>
        </w:rPr>
        <w:t>修订《证券及期货条例》第</w:t>
      </w:r>
      <w:r>
        <w:rPr>
          <w:lang w:eastAsia="zh-CN"/>
        </w:rPr>
        <w:t>245(2)</w:t>
      </w:r>
      <w:r>
        <w:rPr>
          <w:lang w:eastAsia="zh-CN"/>
        </w:rPr>
        <w:t>及</w:t>
      </w:r>
      <w:r>
        <w:rPr>
          <w:lang w:eastAsia="zh-CN"/>
        </w:rPr>
        <w:t>285(2)</w:t>
      </w:r>
      <w:r>
        <w:rPr>
          <w:lang w:eastAsia="zh-CN"/>
        </w:rPr>
        <w:t>条</w:t>
      </w:r>
      <w:r>
        <w:rPr>
          <w:lang w:eastAsia="zh-CN"/>
        </w:rPr>
        <w:t>“</w:t>
      </w:r>
      <w:r>
        <w:rPr>
          <w:lang w:eastAsia="zh-CN"/>
        </w:rPr>
        <w:t>上市</w:t>
      </w:r>
      <w:r>
        <w:rPr>
          <w:lang w:eastAsia="zh-CN"/>
        </w:rPr>
        <w:t>”</w:t>
      </w:r>
      <w:r>
        <w:rPr>
          <w:lang w:eastAsia="zh-CN"/>
        </w:rPr>
        <w:t>的定义，以包括在境外上市的证券及其衍生工具，以及在香港交易所上市的证券；</w:t>
      </w:r>
    </w:p>
    <w:p w:rsidR="007C447A" w:rsidRDefault="007C28AF">
      <w:pPr>
        <w:pStyle w:val="Compact"/>
        <w:numPr>
          <w:ilvl w:val="0"/>
          <w:numId w:val="5"/>
        </w:numPr>
        <w:rPr>
          <w:lang w:eastAsia="zh-CN"/>
        </w:rPr>
      </w:pPr>
      <w:r>
        <w:rPr>
          <w:lang w:eastAsia="zh-CN"/>
        </w:rPr>
        <w:t>增加一个新的章节，涵盖：</w:t>
      </w:r>
    </w:p>
    <w:p w:rsidR="007C447A" w:rsidRDefault="007C28AF">
      <w:pPr>
        <w:pStyle w:val="Compact"/>
        <w:numPr>
          <w:ilvl w:val="1"/>
          <w:numId w:val="6"/>
        </w:numPr>
        <w:rPr>
          <w:lang w:eastAsia="zh-CN"/>
        </w:rPr>
      </w:pPr>
      <w:r>
        <w:rPr>
          <w:lang w:eastAsia="zh-CN"/>
        </w:rPr>
        <w:t>涉及香港交易所上市证券或其衍生工具的内幕交易行为（不论发生在何处）；及</w:t>
      </w:r>
    </w:p>
    <w:p w:rsidR="007C447A" w:rsidRDefault="007C28AF">
      <w:pPr>
        <w:pStyle w:val="Compact"/>
        <w:numPr>
          <w:ilvl w:val="1"/>
          <w:numId w:val="6"/>
        </w:numPr>
        <w:rPr>
          <w:lang w:eastAsia="zh-CN"/>
        </w:rPr>
      </w:pPr>
      <w:r>
        <w:rPr>
          <w:lang w:eastAsia="zh-CN"/>
        </w:rPr>
        <w:t>一项或多项内幕交易行为发生在香港的境外上市证券或其衍生工具的内幕交易；</w:t>
      </w:r>
    </w:p>
    <w:p w:rsidR="007C447A" w:rsidRDefault="007C28AF">
      <w:pPr>
        <w:pStyle w:val="Compact"/>
        <w:numPr>
          <w:ilvl w:val="0"/>
          <w:numId w:val="5"/>
        </w:numPr>
        <w:rPr>
          <w:lang w:eastAsia="zh-CN"/>
        </w:rPr>
      </w:pPr>
      <w:r>
        <w:rPr>
          <w:lang w:eastAsia="zh-CN"/>
        </w:rPr>
        <w:t>订明在境外上市证券的内幕交易，只有在该等行为在该等证券的上市司法管辖区内亦属违法，才会构成《证券及期货条例》罪行；</w:t>
      </w:r>
    </w:p>
    <w:p w:rsidR="007C447A" w:rsidRDefault="007C28AF">
      <w:pPr>
        <w:pStyle w:val="Compact"/>
        <w:numPr>
          <w:ilvl w:val="0"/>
          <w:numId w:val="5"/>
        </w:numPr>
        <w:rPr>
          <w:lang w:eastAsia="zh-CN"/>
        </w:rPr>
      </w:pPr>
      <w:r>
        <w:rPr>
          <w:lang w:eastAsia="zh-CN"/>
        </w:rPr>
        <w:lastRenderedPageBreak/>
        <w:t>将《证券及期</w:t>
      </w:r>
      <w:r>
        <w:rPr>
          <w:lang w:eastAsia="zh-CN"/>
        </w:rPr>
        <w:t>货条例》第</w:t>
      </w:r>
      <w:r>
        <w:rPr>
          <w:lang w:eastAsia="zh-CN"/>
        </w:rPr>
        <w:t>271(5)</w:t>
      </w:r>
      <w:r>
        <w:rPr>
          <w:lang w:eastAsia="zh-CN"/>
        </w:rPr>
        <w:t>条的场外交易抗辩扩展至境外上市证券或其衍生工具的内幕交易；及</w:t>
      </w:r>
    </w:p>
    <w:p w:rsidR="007C447A" w:rsidRDefault="007C28AF">
      <w:pPr>
        <w:pStyle w:val="Compact"/>
        <w:numPr>
          <w:ilvl w:val="0"/>
          <w:numId w:val="5"/>
        </w:numPr>
        <w:rPr>
          <w:lang w:eastAsia="zh-CN"/>
        </w:rPr>
      </w:pPr>
      <w:r>
        <w:rPr>
          <w:lang w:eastAsia="zh-CN"/>
        </w:rPr>
        <w:t>废除《证券及期货条例》第</w:t>
      </w:r>
      <w:r>
        <w:rPr>
          <w:lang w:eastAsia="zh-CN"/>
        </w:rPr>
        <w:t>270(2)</w:t>
      </w:r>
      <w:r>
        <w:rPr>
          <w:lang w:eastAsia="zh-CN"/>
        </w:rPr>
        <w:t>及</w:t>
      </w:r>
      <w:r>
        <w:rPr>
          <w:lang w:eastAsia="zh-CN"/>
        </w:rPr>
        <w:t>291(7)</w:t>
      </w:r>
      <w:r>
        <w:rPr>
          <w:lang w:eastAsia="zh-CN"/>
        </w:rPr>
        <w:t>条禁止在香港及境外两地上市的证券或其衍生工具进行内幕交易的规定，因为这些条文在将内幕交易扩展至境外上市的证券方面是多余的。</w:t>
      </w:r>
    </w:p>
    <w:p w:rsidR="007C447A" w:rsidRDefault="007C28AF">
      <w:pPr>
        <w:pStyle w:val="FirstParagraph"/>
        <w:rPr>
          <w:lang w:eastAsia="zh-CN"/>
        </w:rPr>
      </w:pPr>
      <w:r>
        <w:rPr>
          <w:lang w:eastAsia="zh-CN"/>
        </w:rPr>
        <w:t>修订后的规定意味着，内幕交易规定将适用于境外上市债务证券的场外交易，就像目前适用于香港上市债务证券的场外交易一样。</w:t>
      </w:r>
      <w:hyperlink w:anchor="footnote-598-3">
        <w:r>
          <w:rPr>
            <w:vertAlign w:val="superscript"/>
            <w:lang w:eastAsia="zh-CN"/>
          </w:rPr>
          <w:t>3</w:t>
        </w:r>
      </w:hyperlink>
    </w:p>
    <w:p w:rsidR="007C447A" w:rsidRDefault="007C28AF">
      <w:pPr>
        <w:pStyle w:val="BodyText"/>
        <w:rPr>
          <w:lang w:eastAsia="zh-CN"/>
        </w:rPr>
      </w:pPr>
      <w:r>
        <w:rPr>
          <w:lang w:eastAsia="zh-CN"/>
        </w:rPr>
        <w:t>在回应谘询期间提出的问题时，证监会指出，至于根据《证券及期货事</w:t>
      </w:r>
      <w:r>
        <w:rPr>
          <w:lang w:eastAsia="zh-CN"/>
        </w:rPr>
        <w:t>务监察委员会持牌人或注册人操守准则》（</w:t>
      </w:r>
      <w:r>
        <w:rPr>
          <w:b/>
          <w:lang w:eastAsia="zh-CN"/>
        </w:rPr>
        <w:t>《操守准则》</w:t>
      </w:r>
      <w:r>
        <w:rPr>
          <w:lang w:eastAsia="zh-CN"/>
        </w:rPr>
        <w:t>）汇报违反事项方面，违反有关境外上市证券内幕交易的经修订内幕交易条文，须向证监会报告。受证监会监管的中介人在知悉任何涉嫌违反事项时，便应向本会提交报告，以及尽最大努力取得有关资料并在提交其报告时一并提供。</w:t>
      </w:r>
    </w:p>
    <w:p w:rsidR="007C447A" w:rsidRPr="007C28AF" w:rsidRDefault="007C28AF">
      <w:pPr>
        <w:pStyle w:val="BodyText"/>
        <w:rPr>
          <w:b/>
          <w:color w:val="FF0000"/>
          <w:lang w:eastAsia="zh-CN"/>
        </w:rPr>
      </w:pPr>
      <w:r w:rsidRPr="007C28AF">
        <w:rPr>
          <w:b/>
          <w:color w:val="FF0000"/>
          <w:lang w:eastAsia="zh-CN"/>
        </w:rPr>
        <w:t>平衡通过披露发生的内幕交易的犯罪意图元素的修订</w:t>
      </w:r>
    </w:p>
    <w:p w:rsidR="007C447A" w:rsidRDefault="007C28AF">
      <w:pPr>
        <w:pStyle w:val="BodyText"/>
        <w:rPr>
          <w:lang w:eastAsia="zh-CN"/>
        </w:rPr>
      </w:pPr>
      <w:r>
        <w:rPr>
          <w:lang w:eastAsia="zh-CN"/>
        </w:rPr>
        <w:t>证监会将借此机会，对通过披露内幕信息而发生的内幕交易的</w:t>
      </w:r>
      <w:r>
        <w:rPr>
          <w:i/>
          <w:lang w:eastAsia="zh-CN"/>
        </w:rPr>
        <w:t>犯罪意图元素</w:t>
      </w:r>
      <w:r>
        <w:rPr>
          <w:lang w:eastAsia="zh-CN"/>
        </w:rPr>
        <w:t>的两种不同表述进行统一。《证券及期货条例》第</w:t>
      </w:r>
      <w:r>
        <w:rPr>
          <w:lang w:eastAsia="zh-CN"/>
        </w:rPr>
        <w:t>270(2)(b)</w:t>
      </w:r>
      <w:r>
        <w:rPr>
          <w:lang w:eastAsia="zh-CN"/>
        </w:rPr>
        <w:t>及</w:t>
      </w:r>
      <w:r>
        <w:rPr>
          <w:lang w:eastAsia="zh-CN"/>
        </w:rPr>
        <w:t>291(7)(b)</w:t>
      </w:r>
      <w:r>
        <w:rPr>
          <w:lang w:eastAsia="zh-CN"/>
        </w:rPr>
        <w:t>条适用于在香港联交所及境外两地上市的证券及其衍生工具的犯罪意图元素，如披露内幕资料的人知道或有合理因由相信获披露该等资料的另一人</w:t>
      </w:r>
      <w:r>
        <w:rPr>
          <w:lang w:eastAsia="zh-CN"/>
        </w:rPr>
        <w:t>“</w:t>
      </w:r>
      <w:r>
        <w:rPr>
          <w:u w:val="single"/>
          <w:lang w:eastAsia="zh-CN"/>
        </w:rPr>
        <w:t>或其他人士</w:t>
      </w:r>
      <w:r>
        <w:rPr>
          <w:lang w:eastAsia="zh-CN"/>
        </w:rPr>
        <w:t>”</w:t>
      </w:r>
      <w:r>
        <w:rPr>
          <w:lang w:eastAsia="zh-CN"/>
        </w:rPr>
        <w:t>将买卖该等上市证券或其衍生工具，则符合该等证券及衍生工具的</w:t>
      </w:r>
      <w:r>
        <w:rPr>
          <w:i/>
          <w:lang w:eastAsia="zh-CN"/>
        </w:rPr>
        <w:t>犯罪意图元素</w:t>
      </w:r>
      <w:r>
        <w:rPr>
          <w:lang w:eastAsia="zh-CN"/>
        </w:rPr>
        <w:t>。另一方面，如披露内幕资料的人知道或有合理因由相信</w:t>
      </w:r>
      <w:r>
        <w:rPr>
          <w:u w:val="single"/>
          <w:lang w:eastAsia="zh-CN"/>
        </w:rPr>
        <w:t>获披露该等资料的人</w:t>
      </w:r>
      <w:r>
        <w:rPr>
          <w:lang w:eastAsia="zh-CN"/>
        </w:rPr>
        <w:t>（有时称为</w:t>
      </w:r>
      <w:r>
        <w:rPr>
          <w:lang w:eastAsia="zh-CN"/>
        </w:rPr>
        <w:t>“</w:t>
      </w:r>
      <w:r>
        <w:rPr>
          <w:b/>
          <w:lang w:eastAsia="zh-CN"/>
        </w:rPr>
        <w:t>内幕人士</w:t>
      </w:r>
      <w:r>
        <w:rPr>
          <w:lang w:eastAsia="zh-CN"/>
        </w:rPr>
        <w:t>”</w:t>
      </w:r>
      <w:r>
        <w:rPr>
          <w:lang w:eastAsia="zh-CN"/>
        </w:rPr>
        <w:t>）会买卖该等上市证券或其衍生工具，则第</w:t>
      </w:r>
      <w:r>
        <w:rPr>
          <w:lang w:eastAsia="zh-CN"/>
        </w:rPr>
        <w:t>270</w:t>
      </w:r>
      <w:r>
        <w:rPr>
          <w:lang w:eastAsia="zh-CN"/>
        </w:rPr>
        <w:t>及</w:t>
      </w:r>
      <w:r>
        <w:rPr>
          <w:lang w:eastAsia="zh-CN"/>
        </w:rPr>
        <w:t>291</w:t>
      </w:r>
      <w:r>
        <w:rPr>
          <w:lang w:eastAsia="zh-CN"/>
        </w:rPr>
        <w:t>条适用于香港上市证券及其衍生工具的其他分款的</w:t>
      </w:r>
      <w:r>
        <w:rPr>
          <w:i/>
          <w:lang w:eastAsia="zh-CN"/>
        </w:rPr>
        <w:t>犯罪意图元素</w:t>
      </w:r>
      <w:r>
        <w:rPr>
          <w:lang w:eastAsia="zh-CN"/>
        </w:rPr>
        <w:t>便已符合。因此，只适用于在联交所上市的证券的</w:t>
      </w:r>
      <w:r>
        <w:rPr>
          <w:i/>
          <w:lang w:eastAsia="zh-CN"/>
        </w:rPr>
        <w:t>犯罪意图元素</w:t>
      </w:r>
      <w:r>
        <w:rPr>
          <w:lang w:eastAsia="zh-CN"/>
        </w:rPr>
        <w:t>的表述范围较窄，因为它不包括内幕人士认为</w:t>
      </w:r>
      <w:r>
        <w:rPr>
          <w:lang w:eastAsia="zh-CN"/>
        </w:rPr>
        <w:t>“</w:t>
      </w:r>
      <w:r>
        <w:rPr>
          <w:lang w:eastAsia="zh-CN"/>
        </w:rPr>
        <w:t>其他人士</w:t>
      </w:r>
      <w:r>
        <w:rPr>
          <w:lang w:eastAsia="zh-CN"/>
        </w:rPr>
        <w:t>”</w:t>
      </w:r>
      <w:r>
        <w:rPr>
          <w:lang w:eastAsia="zh-CN"/>
        </w:rPr>
        <w:t>将进行交易。因此，证监会将采用第</w:t>
      </w:r>
      <w:r>
        <w:rPr>
          <w:lang w:eastAsia="zh-CN"/>
        </w:rPr>
        <w:t>270(2)(b)</w:t>
      </w:r>
      <w:r>
        <w:rPr>
          <w:lang w:eastAsia="zh-CN"/>
        </w:rPr>
        <w:t>及</w:t>
      </w:r>
      <w:r>
        <w:rPr>
          <w:lang w:eastAsia="zh-CN"/>
        </w:rPr>
        <w:t>291(7)(b)</w:t>
      </w:r>
      <w:r>
        <w:rPr>
          <w:lang w:eastAsia="zh-CN"/>
        </w:rPr>
        <w:t>条中更广泛的提法，使这两种提法一致。</w:t>
      </w:r>
    </w:p>
    <w:p w:rsidR="007C447A" w:rsidRPr="007C28AF" w:rsidRDefault="007C28AF">
      <w:pPr>
        <w:pStyle w:val="BodyText"/>
        <w:rPr>
          <w:b/>
          <w:color w:val="FF0000"/>
          <w:lang w:eastAsia="zh-CN"/>
        </w:rPr>
      </w:pPr>
      <w:r w:rsidRPr="007C28AF">
        <w:rPr>
          <w:b/>
          <w:color w:val="FF0000"/>
          <w:lang w:eastAsia="zh-CN"/>
        </w:rPr>
        <w:t>《证券及期货条例》第</w:t>
      </w:r>
      <w:r w:rsidRPr="007C28AF">
        <w:rPr>
          <w:b/>
          <w:color w:val="FF0000"/>
          <w:lang w:eastAsia="zh-CN"/>
        </w:rPr>
        <w:t>213</w:t>
      </w:r>
      <w:r w:rsidRPr="007C28AF">
        <w:rPr>
          <w:b/>
          <w:color w:val="FF0000"/>
          <w:lang w:eastAsia="zh-CN"/>
        </w:rPr>
        <w:t>条的建议延期被搁置</w:t>
      </w:r>
    </w:p>
    <w:p w:rsidR="007C447A" w:rsidRPr="007C28AF" w:rsidRDefault="007C28AF">
      <w:pPr>
        <w:pStyle w:val="BodyText"/>
        <w:rPr>
          <w:b/>
          <w:lang w:eastAsia="zh-CN"/>
        </w:rPr>
      </w:pPr>
      <w:r w:rsidRPr="007C28AF">
        <w:rPr>
          <w:b/>
          <w:lang w:eastAsia="zh-CN"/>
        </w:rPr>
        <w:t>允许证监会在行使《证券及期货条例》第</w:t>
      </w:r>
      <w:r w:rsidRPr="007C28AF">
        <w:rPr>
          <w:b/>
          <w:lang w:eastAsia="zh-CN"/>
        </w:rPr>
        <w:t>194</w:t>
      </w:r>
      <w:r w:rsidRPr="007C28AF">
        <w:rPr>
          <w:b/>
          <w:lang w:eastAsia="zh-CN"/>
        </w:rPr>
        <w:t>或</w:t>
      </w:r>
      <w:r w:rsidRPr="007C28AF">
        <w:rPr>
          <w:b/>
          <w:lang w:eastAsia="zh-CN"/>
        </w:rPr>
        <w:t>196</w:t>
      </w:r>
      <w:r w:rsidRPr="007C28AF">
        <w:rPr>
          <w:b/>
          <w:lang w:eastAsia="zh-CN"/>
        </w:rPr>
        <w:t>条后寻求复原令的建议</w:t>
      </w:r>
    </w:p>
    <w:p w:rsidR="007C447A" w:rsidRDefault="007C28AF">
      <w:pPr>
        <w:pStyle w:val="BodyText"/>
        <w:rPr>
          <w:lang w:eastAsia="zh-CN"/>
        </w:rPr>
      </w:pPr>
      <w:r>
        <w:rPr>
          <w:lang w:eastAsia="zh-CN"/>
        </w:rPr>
        <w:t>证监会建议修订《证券及期货条例》第</w:t>
      </w:r>
      <w:r>
        <w:rPr>
          <w:lang w:eastAsia="zh-CN"/>
        </w:rPr>
        <w:t>213</w:t>
      </w:r>
      <w:r>
        <w:rPr>
          <w:lang w:eastAsia="zh-CN"/>
        </w:rPr>
        <w:t>条，以容许证监会在对受规管人士行使第</w:t>
      </w:r>
      <w:r>
        <w:rPr>
          <w:lang w:eastAsia="zh-CN"/>
        </w:rPr>
        <w:t>194</w:t>
      </w:r>
      <w:r>
        <w:rPr>
          <w:lang w:eastAsia="zh-CN"/>
        </w:rPr>
        <w:t>或</w:t>
      </w:r>
      <w:r>
        <w:rPr>
          <w:lang w:eastAsia="zh-CN"/>
        </w:rPr>
        <w:t>196</w:t>
      </w:r>
      <w:r>
        <w:rPr>
          <w:lang w:eastAsia="zh-CN"/>
        </w:rPr>
        <w:t>条下的权力时，向原诉讼法庭申请根据第</w:t>
      </w:r>
      <w:r>
        <w:rPr>
          <w:lang w:eastAsia="zh-CN"/>
        </w:rPr>
        <w:t>213</w:t>
      </w:r>
      <w:r>
        <w:rPr>
          <w:lang w:eastAsia="zh-CN"/>
        </w:rPr>
        <w:t>条发出一项或多项命令。</w:t>
      </w:r>
    </w:p>
    <w:p w:rsidR="007C447A" w:rsidRDefault="007C28AF">
      <w:pPr>
        <w:pStyle w:val="BodyText"/>
        <w:rPr>
          <w:lang w:eastAsia="zh-CN"/>
        </w:rPr>
      </w:pPr>
      <w:r>
        <w:rPr>
          <w:lang w:eastAsia="zh-CN"/>
        </w:rPr>
        <w:t>受规管人士是指证监会持</w:t>
      </w:r>
      <w:r>
        <w:rPr>
          <w:lang w:eastAsia="zh-CN"/>
        </w:rPr>
        <w:t>牌法团、其负责人、持牌代表及参与其管理的人士，以及证监会注册机构、其行政人员、注册个人及参与管理其注册的受规管活动的人士。《证券及期货条例》第</w:t>
      </w:r>
      <w:r>
        <w:rPr>
          <w:lang w:eastAsia="zh-CN"/>
        </w:rPr>
        <w:t>194</w:t>
      </w:r>
      <w:r>
        <w:rPr>
          <w:lang w:eastAsia="zh-CN"/>
        </w:rPr>
        <w:t>条及第</w:t>
      </w:r>
      <w:r>
        <w:rPr>
          <w:lang w:eastAsia="zh-CN"/>
        </w:rPr>
        <w:t>196</w:t>
      </w:r>
      <w:r>
        <w:rPr>
          <w:lang w:eastAsia="zh-CN"/>
        </w:rPr>
        <w:t>条分别就持牌人及注册机构而言，允许证监会对受规管人士作出制裁，包括撤销或暂时吊销其牌照、发出谴责、处以最高</w:t>
      </w:r>
      <w:r>
        <w:rPr>
          <w:lang w:eastAsia="zh-CN"/>
        </w:rPr>
        <w:t>1,000</w:t>
      </w:r>
      <w:r>
        <w:rPr>
          <w:lang w:eastAsia="zh-CN"/>
        </w:rPr>
        <w:t>万港元及赚取或避免损失三倍的罚款</w:t>
      </w:r>
      <w:r>
        <w:rPr>
          <w:lang w:eastAsia="zh-CN"/>
        </w:rPr>
        <w:t>;</w:t>
      </w:r>
      <w:r>
        <w:rPr>
          <w:lang w:eastAsia="zh-CN"/>
        </w:rPr>
        <w:t>受规管人士有</w:t>
      </w:r>
      <w:r>
        <w:rPr>
          <w:lang w:eastAsia="zh-CN"/>
        </w:rPr>
        <w:t>“</w:t>
      </w:r>
      <w:r>
        <w:rPr>
          <w:lang w:eastAsia="zh-CN"/>
        </w:rPr>
        <w:t>失当行为</w:t>
      </w:r>
      <w:r>
        <w:rPr>
          <w:lang w:eastAsia="zh-CN"/>
        </w:rPr>
        <w:t>”</w:t>
      </w:r>
      <w:r>
        <w:rPr>
          <w:lang w:eastAsia="zh-CN"/>
        </w:rPr>
        <w:t>，或证监会认为该受规管人士并非适合成为或维持同一类型受规管人士的适当人士。</w:t>
      </w:r>
    </w:p>
    <w:p w:rsidR="007C447A" w:rsidRDefault="007C28AF">
      <w:pPr>
        <w:pStyle w:val="BodyText"/>
        <w:rPr>
          <w:lang w:eastAsia="zh-CN"/>
        </w:rPr>
      </w:pPr>
      <w:r>
        <w:rPr>
          <w:lang w:eastAsia="zh-CN"/>
        </w:rPr>
        <w:t>《证券及期货条例》第</w:t>
      </w:r>
      <w:r>
        <w:rPr>
          <w:lang w:eastAsia="zh-CN"/>
        </w:rPr>
        <w:t>213</w:t>
      </w:r>
      <w:r>
        <w:rPr>
          <w:lang w:eastAsia="zh-CN"/>
        </w:rPr>
        <w:t>条现时容许证监会向原诉讼法庭申请向违反任何</w:t>
      </w:r>
      <w:r>
        <w:rPr>
          <w:lang w:eastAsia="zh-CN"/>
        </w:rPr>
        <w:t>“</w:t>
      </w:r>
      <w:r>
        <w:rPr>
          <w:lang w:eastAsia="zh-CN"/>
        </w:rPr>
        <w:t>有关条文</w:t>
      </w:r>
      <w:r>
        <w:rPr>
          <w:lang w:eastAsia="zh-CN"/>
        </w:rPr>
        <w:t>”</w:t>
      </w:r>
      <w:r>
        <w:rPr>
          <w:lang w:eastAsia="zh-CN"/>
        </w:rPr>
        <w:t>的人发出第</w:t>
      </w:r>
      <w:r>
        <w:rPr>
          <w:lang w:eastAsia="zh-CN"/>
        </w:rPr>
        <w:t>213(2)</w:t>
      </w:r>
      <w:r>
        <w:rPr>
          <w:lang w:eastAsia="zh-CN"/>
        </w:rPr>
        <w:t>条所指明的命令，其中包括《证券及期货条例》的条文，以及《公司（清盘及杂项条文）条例》第</w:t>
      </w:r>
      <w:r>
        <w:rPr>
          <w:lang w:eastAsia="zh-CN"/>
        </w:rPr>
        <w:t>II</w:t>
      </w:r>
      <w:r>
        <w:rPr>
          <w:lang w:eastAsia="zh-CN"/>
        </w:rPr>
        <w:t>及</w:t>
      </w:r>
      <w:r>
        <w:rPr>
          <w:lang w:eastAsia="zh-CN"/>
        </w:rPr>
        <w:t>XII</w:t>
      </w:r>
      <w:r>
        <w:rPr>
          <w:lang w:eastAsia="zh-CN"/>
        </w:rPr>
        <w:t>部的招股章程制度。法院可颁授第</w:t>
      </w:r>
      <w:r>
        <w:rPr>
          <w:lang w:eastAsia="zh-CN"/>
        </w:rPr>
        <w:t>213(2)</w:t>
      </w:r>
      <w:r>
        <w:rPr>
          <w:lang w:eastAsia="zh-CN"/>
        </w:rPr>
        <w:t>条所列的任何命令，其中包括限制或禁止违反任何有关条文的行为的禁令，以及所谓的</w:t>
      </w:r>
      <w:r>
        <w:rPr>
          <w:lang w:eastAsia="zh-CN"/>
        </w:rPr>
        <w:t>“</w:t>
      </w:r>
      <w:r>
        <w:rPr>
          <w:lang w:eastAsia="zh-CN"/>
        </w:rPr>
        <w:t>恢复令</w:t>
      </w:r>
      <w:r>
        <w:rPr>
          <w:lang w:eastAsia="zh-CN"/>
        </w:rPr>
        <w:t>”</w:t>
      </w:r>
      <w:r>
        <w:rPr>
          <w:lang w:eastAsia="zh-CN"/>
        </w:rPr>
        <w:t>，要求</w:t>
      </w:r>
      <w:r>
        <w:rPr>
          <w:lang w:eastAsia="zh-CN"/>
        </w:rPr>
        <w:t>“</w:t>
      </w:r>
      <w:r>
        <w:rPr>
          <w:lang w:eastAsia="zh-CN"/>
        </w:rPr>
        <w:t>违法者</w:t>
      </w:r>
      <w:r>
        <w:rPr>
          <w:lang w:eastAsia="zh-CN"/>
        </w:rPr>
        <w:t>”</w:t>
      </w:r>
      <w:r>
        <w:rPr>
          <w:lang w:eastAsia="zh-CN"/>
        </w:rPr>
        <w:t>将交易的交易对手恢复到交易达成前的状态。例如，在内幕交易商案件中，恢复命令被用来要求内幕交易商赔偿以低于股票真实价值（即，如果内幕人士知道的内幕信息被计入价格，股票的价值）向他们出售股票的投资者。内幕交易者被要求以实际价值回购股票，或者向投资者支付内幕交易者支付的价格与</w:t>
      </w:r>
      <w:r>
        <w:rPr>
          <w:lang w:eastAsia="zh-CN"/>
        </w:rPr>
        <w:t>股票实际价值之间的差额，使卖出股票的股东恢复到卖出前的头寸。恢复令有效地用于补偿投资者因个人失当行为而造成的名义经济损失。</w:t>
      </w:r>
    </w:p>
    <w:p w:rsidR="007C447A" w:rsidRDefault="007C28AF">
      <w:pPr>
        <w:pStyle w:val="BodyText"/>
        <w:rPr>
          <w:lang w:eastAsia="zh-CN"/>
        </w:rPr>
      </w:pPr>
      <w:r>
        <w:rPr>
          <w:lang w:eastAsia="zh-CN"/>
        </w:rPr>
        <w:t>然而，在以下情况下，证监会现时不能向法院申请根据第</w:t>
      </w:r>
      <w:r>
        <w:rPr>
          <w:lang w:eastAsia="zh-CN"/>
        </w:rPr>
        <w:t>213</w:t>
      </w:r>
      <w:r>
        <w:rPr>
          <w:lang w:eastAsia="zh-CN"/>
        </w:rPr>
        <w:t>条发出的命令：</w:t>
      </w:r>
    </w:p>
    <w:p w:rsidR="007C447A" w:rsidRDefault="007C28AF">
      <w:pPr>
        <w:pStyle w:val="Compact"/>
        <w:numPr>
          <w:ilvl w:val="0"/>
          <w:numId w:val="7"/>
        </w:numPr>
        <w:rPr>
          <w:lang w:eastAsia="zh-CN"/>
        </w:rPr>
      </w:pPr>
      <w:r>
        <w:rPr>
          <w:lang w:eastAsia="zh-CN"/>
        </w:rPr>
        <w:t>有</w:t>
      </w:r>
      <w:r>
        <w:rPr>
          <w:lang w:eastAsia="zh-CN"/>
        </w:rPr>
        <w:t>“</w:t>
      </w:r>
      <w:r>
        <w:rPr>
          <w:lang w:eastAsia="zh-CN"/>
        </w:rPr>
        <w:t>不当行为</w:t>
      </w:r>
      <w:r>
        <w:rPr>
          <w:lang w:eastAsia="zh-CN"/>
        </w:rPr>
        <w:t>”</w:t>
      </w:r>
      <w:r>
        <w:rPr>
          <w:lang w:eastAsia="zh-CN"/>
        </w:rPr>
        <w:t>（定义为包括违反《证券及期货条例》或《公司</w:t>
      </w:r>
      <w:r>
        <w:rPr>
          <w:lang w:eastAsia="zh-CN"/>
        </w:rPr>
        <w:t>(</w:t>
      </w:r>
      <w:r>
        <w:rPr>
          <w:lang w:eastAsia="zh-CN"/>
        </w:rPr>
        <w:t>清盘及杂项条文</w:t>
      </w:r>
      <w:r>
        <w:rPr>
          <w:lang w:eastAsia="zh-CN"/>
        </w:rPr>
        <w:t>)</w:t>
      </w:r>
      <w:r>
        <w:rPr>
          <w:lang w:eastAsia="zh-CN"/>
        </w:rPr>
        <w:t>条例》第</w:t>
      </w:r>
      <w:r>
        <w:rPr>
          <w:lang w:eastAsia="zh-CN"/>
        </w:rPr>
        <w:t>II</w:t>
      </w:r>
      <w:r>
        <w:rPr>
          <w:lang w:eastAsia="zh-CN"/>
        </w:rPr>
        <w:t>及</w:t>
      </w:r>
      <w:r>
        <w:rPr>
          <w:lang w:eastAsia="zh-CN"/>
        </w:rPr>
        <w:t>XII</w:t>
      </w:r>
      <w:r>
        <w:rPr>
          <w:lang w:eastAsia="zh-CN"/>
        </w:rPr>
        <w:t>部的招股章程条文）；或</w:t>
      </w:r>
    </w:p>
    <w:p w:rsidR="007C447A" w:rsidRDefault="007C28AF">
      <w:pPr>
        <w:pStyle w:val="Compact"/>
        <w:numPr>
          <w:ilvl w:val="0"/>
          <w:numId w:val="7"/>
        </w:numPr>
        <w:rPr>
          <w:lang w:eastAsia="zh-CN"/>
        </w:rPr>
      </w:pPr>
      <w:r>
        <w:rPr>
          <w:lang w:eastAsia="zh-CN"/>
        </w:rPr>
        <w:lastRenderedPageBreak/>
        <w:t>是否被视为不适合持有或继续持有证监会持牌或注册的合适人士（通常是指受规管人士违反证监会各项守则（例如《证监会持牌或注册人士操守守则》）及指引的条文）</w:t>
      </w:r>
      <w:r>
        <w:rPr>
          <w:lang w:eastAsia="zh-CN"/>
        </w:rPr>
        <w:t xml:space="preserve"> </w:t>
      </w:r>
      <w:r>
        <w:rPr>
          <w:lang w:eastAsia="zh-CN"/>
        </w:rPr>
        <w:t>。</w:t>
      </w:r>
    </w:p>
    <w:p w:rsidR="007C447A" w:rsidRDefault="007C28AF">
      <w:pPr>
        <w:pStyle w:val="FirstParagraph"/>
        <w:rPr>
          <w:lang w:eastAsia="zh-CN"/>
        </w:rPr>
      </w:pPr>
      <w:r>
        <w:rPr>
          <w:lang w:eastAsia="zh-CN"/>
        </w:rPr>
        <w:t>因此，证监会在谘询文件中建议：</w:t>
      </w:r>
    </w:p>
    <w:p w:rsidR="007C447A" w:rsidRDefault="007C28AF">
      <w:pPr>
        <w:pStyle w:val="Compact"/>
        <w:numPr>
          <w:ilvl w:val="0"/>
          <w:numId w:val="8"/>
        </w:numPr>
        <w:rPr>
          <w:lang w:eastAsia="zh-CN"/>
        </w:rPr>
      </w:pPr>
      <w:r>
        <w:rPr>
          <w:lang w:eastAsia="zh-CN"/>
        </w:rPr>
        <w:t>在新的第</w:t>
      </w:r>
      <w:r>
        <w:rPr>
          <w:lang w:eastAsia="zh-CN"/>
        </w:rPr>
        <w:t>21</w:t>
      </w:r>
      <w:r>
        <w:rPr>
          <w:lang w:eastAsia="zh-CN"/>
        </w:rPr>
        <w:t>3(1)(c)</w:t>
      </w:r>
      <w:r>
        <w:rPr>
          <w:lang w:eastAsia="zh-CN"/>
        </w:rPr>
        <w:t>条下引入额外理由，容许证监会在对受规管人士行使第</w:t>
      </w:r>
      <w:r>
        <w:rPr>
          <w:lang w:eastAsia="zh-CN"/>
        </w:rPr>
        <w:t>194</w:t>
      </w:r>
      <w:r>
        <w:rPr>
          <w:lang w:eastAsia="zh-CN"/>
        </w:rPr>
        <w:t>或</w:t>
      </w:r>
      <w:r>
        <w:rPr>
          <w:lang w:eastAsia="zh-CN"/>
        </w:rPr>
        <w:t>196</w:t>
      </w:r>
      <w:r>
        <w:rPr>
          <w:lang w:eastAsia="zh-CN"/>
        </w:rPr>
        <w:t>条下的权力时，向原诉讼法庭申请批予任何</w:t>
      </w:r>
      <w:r>
        <w:rPr>
          <w:lang w:eastAsia="zh-CN"/>
        </w:rPr>
        <w:t>213(2)</w:t>
      </w:r>
      <w:r>
        <w:rPr>
          <w:lang w:eastAsia="zh-CN"/>
        </w:rPr>
        <w:t>命令；</w:t>
      </w:r>
    </w:p>
    <w:p w:rsidR="007C447A" w:rsidRDefault="007C28AF">
      <w:pPr>
        <w:pStyle w:val="Compact"/>
        <w:numPr>
          <w:ilvl w:val="0"/>
          <w:numId w:val="8"/>
        </w:numPr>
        <w:rPr>
          <w:lang w:eastAsia="zh-CN"/>
        </w:rPr>
      </w:pPr>
      <w:r>
        <w:rPr>
          <w:lang w:eastAsia="zh-CN"/>
        </w:rPr>
        <w:t>令原诉讼法庭可命令受规管人士将交易各方恢复至交易前的头寸，而证监会已根据第</w:t>
      </w:r>
      <w:r>
        <w:rPr>
          <w:lang w:eastAsia="zh-CN"/>
        </w:rPr>
        <w:t>194</w:t>
      </w:r>
      <w:r>
        <w:rPr>
          <w:lang w:eastAsia="zh-CN"/>
        </w:rPr>
        <w:t>或</w:t>
      </w:r>
      <w:r>
        <w:rPr>
          <w:lang w:eastAsia="zh-CN"/>
        </w:rPr>
        <w:t>196</w:t>
      </w:r>
      <w:r>
        <w:rPr>
          <w:lang w:eastAsia="zh-CN"/>
        </w:rPr>
        <w:t>条向该受规管人士行使其根据第</w:t>
      </w:r>
      <w:r>
        <w:rPr>
          <w:lang w:eastAsia="zh-CN"/>
        </w:rPr>
        <w:t>213(2)</w:t>
      </w:r>
      <w:r>
        <w:rPr>
          <w:lang w:eastAsia="zh-CN"/>
        </w:rPr>
        <w:t>条所赋予的权力；</w:t>
      </w:r>
    </w:p>
    <w:p w:rsidR="007C447A" w:rsidRDefault="007C28AF">
      <w:pPr>
        <w:pStyle w:val="Compact"/>
        <w:numPr>
          <w:ilvl w:val="0"/>
          <w:numId w:val="8"/>
        </w:numPr>
        <w:rPr>
          <w:lang w:eastAsia="zh-CN"/>
        </w:rPr>
      </w:pPr>
      <w:r>
        <w:rPr>
          <w:lang w:eastAsia="zh-CN"/>
        </w:rPr>
        <w:t>准许原诉讼法庭命令受规管人士根据第</w:t>
      </w:r>
      <w:r>
        <w:rPr>
          <w:lang w:eastAsia="zh-CN"/>
        </w:rPr>
        <w:t>213(8)</w:t>
      </w:r>
      <w:r>
        <w:rPr>
          <w:lang w:eastAsia="zh-CN"/>
        </w:rPr>
        <w:t>条支付损害赔偿，而证监会已根据第</w:t>
      </w:r>
      <w:r>
        <w:rPr>
          <w:lang w:eastAsia="zh-CN"/>
        </w:rPr>
        <w:t>194</w:t>
      </w:r>
      <w:r>
        <w:rPr>
          <w:lang w:eastAsia="zh-CN"/>
        </w:rPr>
        <w:t>或</w:t>
      </w:r>
      <w:r>
        <w:rPr>
          <w:lang w:eastAsia="zh-CN"/>
        </w:rPr>
        <w:t>196</w:t>
      </w:r>
      <w:r>
        <w:rPr>
          <w:lang w:eastAsia="zh-CN"/>
        </w:rPr>
        <w:t>条行使其纪律处分权力；</w:t>
      </w:r>
    </w:p>
    <w:p w:rsidR="007C447A" w:rsidRDefault="007C28AF">
      <w:pPr>
        <w:pStyle w:val="Compact"/>
        <w:numPr>
          <w:ilvl w:val="0"/>
          <w:numId w:val="8"/>
        </w:numPr>
        <w:rPr>
          <w:lang w:eastAsia="zh-CN"/>
        </w:rPr>
      </w:pPr>
      <w:r>
        <w:rPr>
          <w:lang w:eastAsia="zh-CN"/>
        </w:rPr>
        <w:t>对第</w:t>
      </w:r>
      <w:r>
        <w:rPr>
          <w:lang w:eastAsia="zh-CN"/>
        </w:rPr>
        <w:t>213(7)</w:t>
      </w:r>
      <w:r>
        <w:rPr>
          <w:lang w:eastAsia="zh-CN"/>
        </w:rPr>
        <w:t>条作出相应修订，以容许法院根据第</w:t>
      </w:r>
      <w:r>
        <w:rPr>
          <w:lang w:eastAsia="zh-CN"/>
        </w:rPr>
        <w:t>213(1)</w:t>
      </w:r>
      <w:r>
        <w:rPr>
          <w:lang w:eastAsia="zh-CN"/>
        </w:rPr>
        <w:t>条作出命令，而不论该命令所针对的人是否会再次从事或继续从</w:t>
      </w:r>
      <w:r>
        <w:rPr>
          <w:lang w:eastAsia="zh-CN"/>
        </w:rPr>
        <w:t>事导致证监会根据新第</w:t>
      </w:r>
      <w:r>
        <w:rPr>
          <w:lang w:eastAsia="zh-CN"/>
        </w:rPr>
        <w:t>213(1)(c)</w:t>
      </w:r>
      <w:r>
        <w:rPr>
          <w:lang w:eastAsia="zh-CN"/>
        </w:rPr>
        <w:t>条行使其新纪律处分权力的行为；及</w:t>
      </w:r>
    </w:p>
    <w:p w:rsidR="007C447A" w:rsidRDefault="007C28AF">
      <w:pPr>
        <w:pStyle w:val="Compact"/>
        <w:numPr>
          <w:ilvl w:val="0"/>
          <w:numId w:val="8"/>
        </w:numPr>
        <w:rPr>
          <w:lang w:eastAsia="zh-CN"/>
        </w:rPr>
      </w:pPr>
      <w:r>
        <w:rPr>
          <w:lang w:eastAsia="zh-CN"/>
        </w:rPr>
        <w:t>在第</w:t>
      </w:r>
      <w:r>
        <w:rPr>
          <w:lang w:eastAsia="zh-CN"/>
        </w:rPr>
        <w:t>213(11)</w:t>
      </w:r>
      <w:r>
        <w:rPr>
          <w:lang w:eastAsia="zh-CN"/>
        </w:rPr>
        <w:t>条中增加</w:t>
      </w:r>
      <w:r>
        <w:rPr>
          <w:lang w:eastAsia="zh-CN"/>
        </w:rPr>
        <w:t>“</w:t>
      </w:r>
      <w:r>
        <w:rPr>
          <w:lang w:eastAsia="zh-CN"/>
        </w:rPr>
        <w:t>受规管人士</w:t>
      </w:r>
      <w:r>
        <w:rPr>
          <w:lang w:eastAsia="zh-CN"/>
        </w:rPr>
        <w:t>”</w:t>
      </w:r>
      <w:r>
        <w:rPr>
          <w:lang w:eastAsia="zh-CN"/>
        </w:rPr>
        <w:t>的定义，该定义将与《证券及期货条例》第</w:t>
      </w:r>
      <w:r>
        <w:rPr>
          <w:lang w:eastAsia="zh-CN"/>
        </w:rPr>
        <w:t>194(7)</w:t>
      </w:r>
      <w:r>
        <w:rPr>
          <w:lang w:eastAsia="zh-CN"/>
        </w:rPr>
        <w:t>及</w:t>
      </w:r>
      <w:r>
        <w:rPr>
          <w:lang w:eastAsia="zh-CN"/>
        </w:rPr>
        <w:t>196(8)</w:t>
      </w:r>
      <w:r>
        <w:rPr>
          <w:lang w:eastAsia="zh-CN"/>
        </w:rPr>
        <w:t>条中的现行定义相同。</w:t>
      </w:r>
    </w:p>
    <w:p w:rsidR="007C447A" w:rsidRDefault="007C28AF">
      <w:pPr>
        <w:pStyle w:val="FirstParagraph"/>
        <w:rPr>
          <w:lang w:eastAsia="zh-CN"/>
        </w:rPr>
      </w:pPr>
      <w:r>
        <w:rPr>
          <w:lang w:eastAsia="zh-CN"/>
        </w:rPr>
        <w:t>建议的第</w:t>
      </w:r>
      <w:r>
        <w:rPr>
          <w:lang w:eastAsia="zh-CN"/>
        </w:rPr>
        <w:t>213</w:t>
      </w:r>
      <w:r>
        <w:rPr>
          <w:lang w:eastAsia="zh-CN"/>
        </w:rPr>
        <w:t>条修订如获实施，在证监会根据第</w:t>
      </w:r>
      <w:r>
        <w:rPr>
          <w:lang w:eastAsia="zh-CN"/>
        </w:rPr>
        <w:t>194</w:t>
      </w:r>
      <w:r>
        <w:rPr>
          <w:lang w:eastAsia="zh-CN"/>
        </w:rPr>
        <w:t>或</w:t>
      </w:r>
      <w:r>
        <w:rPr>
          <w:lang w:eastAsia="zh-CN"/>
        </w:rPr>
        <w:t>196</w:t>
      </w:r>
      <w:r>
        <w:rPr>
          <w:lang w:eastAsia="zh-CN"/>
        </w:rPr>
        <w:t>条对违反任何证监会守则或指引的受规管人士采取纪律行动时，证监会可向原诉讼法庭申请命令赔偿投资者的损失。</w:t>
      </w:r>
    </w:p>
    <w:p w:rsidR="007C447A" w:rsidRPr="007C28AF" w:rsidRDefault="007C28AF">
      <w:pPr>
        <w:pStyle w:val="BodyText"/>
        <w:rPr>
          <w:b/>
          <w:lang w:eastAsia="zh-CN"/>
        </w:rPr>
      </w:pPr>
      <w:r w:rsidRPr="007C28AF">
        <w:rPr>
          <w:b/>
          <w:lang w:eastAsia="zh-CN"/>
        </w:rPr>
        <w:t>回应者对拟议第</w:t>
      </w:r>
      <w:r w:rsidRPr="007C28AF">
        <w:rPr>
          <w:b/>
          <w:lang w:eastAsia="zh-CN"/>
        </w:rPr>
        <w:t>213</w:t>
      </w:r>
      <w:r w:rsidRPr="007C28AF">
        <w:rPr>
          <w:b/>
          <w:lang w:eastAsia="zh-CN"/>
        </w:rPr>
        <w:t>条修订的担忧</w:t>
      </w:r>
    </w:p>
    <w:p w:rsidR="007C447A" w:rsidRDefault="007C28AF">
      <w:pPr>
        <w:pStyle w:val="BodyText"/>
        <w:rPr>
          <w:lang w:eastAsia="zh-CN"/>
        </w:rPr>
      </w:pPr>
      <w:r>
        <w:rPr>
          <w:lang w:eastAsia="zh-CN"/>
        </w:rPr>
        <w:t>谘询总结回应者就拟议第</w:t>
      </w:r>
      <w:r>
        <w:rPr>
          <w:lang w:eastAsia="zh-CN"/>
        </w:rPr>
        <w:t>213</w:t>
      </w:r>
      <w:r>
        <w:rPr>
          <w:lang w:eastAsia="zh-CN"/>
        </w:rPr>
        <w:t>条修订的五个主要事项提出若干关切。</w:t>
      </w:r>
    </w:p>
    <w:p w:rsidR="007C447A" w:rsidRDefault="007C28AF">
      <w:pPr>
        <w:pStyle w:val="BodyText"/>
        <w:rPr>
          <w:lang w:eastAsia="zh-CN"/>
        </w:rPr>
      </w:pPr>
      <w:r>
        <w:rPr>
          <w:b/>
          <w:i/>
          <w:lang w:eastAsia="zh-CN"/>
        </w:rPr>
        <w:t>法律及法理方面的关注</w:t>
      </w:r>
    </w:p>
    <w:p w:rsidR="007C447A" w:rsidRDefault="007C28AF">
      <w:pPr>
        <w:pStyle w:val="BodyText"/>
        <w:rPr>
          <w:lang w:eastAsia="zh-CN"/>
        </w:rPr>
      </w:pPr>
      <w:r>
        <w:rPr>
          <w:lang w:eastAsia="zh-CN"/>
        </w:rPr>
        <w:t>回应者质疑，从法理方面来看，允许</w:t>
      </w:r>
      <w:r>
        <w:rPr>
          <w:lang w:eastAsia="zh-CN"/>
        </w:rPr>
        <w:t>证监会就违反不具法律效力的守则和指引的行为，以法院命令的形式寻求法律补救是否正确，而这些守则和指引的制定并未受到与立法相同的审查。一些回应者评论了拟议的修订将给受规管人士带来的重大法律和监管不确定性。其他人引用了《证券及期货条例》第</w:t>
      </w:r>
      <w:r>
        <w:rPr>
          <w:lang w:eastAsia="zh-CN"/>
        </w:rPr>
        <w:t>399(6)</w:t>
      </w:r>
      <w:r>
        <w:rPr>
          <w:lang w:eastAsia="zh-CN"/>
        </w:rPr>
        <w:t>条的明确声明，即未遵守证监会守则和指引并不构成诉讼权利，他们辩称，这表明了违反监管指引应与违反法规区别对待的立法意图。</w:t>
      </w:r>
    </w:p>
    <w:p w:rsidR="007C447A" w:rsidRDefault="007C28AF">
      <w:pPr>
        <w:pStyle w:val="BodyText"/>
        <w:rPr>
          <w:lang w:eastAsia="zh-CN"/>
        </w:rPr>
      </w:pPr>
      <w:r>
        <w:rPr>
          <w:b/>
          <w:i/>
          <w:lang w:eastAsia="zh-CN"/>
        </w:rPr>
        <w:t>证监会的回应</w:t>
      </w:r>
    </w:p>
    <w:p w:rsidR="007C447A" w:rsidRDefault="007C28AF">
      <w:pPr>
        <w:pStyle w:val="BodyText"/>
        <w:rPr>
          <w:lang w:eastAsia="zh-CN"/>
        </w:rPr>
      </w:pPr>
      <w:r>
        <w:rPr>
          <w:lang w:eastAsia="zh-CN"/>
        </w:rPr>
        <w:t>证监会评论说，建议的第</w:t>
      </w:r>
      <w:r>
        <w:rPr>
          <w:lang w:eastAsia="zh-CN"/>
        </w:rPr>
        <w:t>213</w:t>
      </w:r>
      <w:r>
        <w:rPr>
          <w:lang w:eastAsia="zh-CN"/>
        </w:rPr>
        <w:t>条修订不会从根本上改变证监会的守则及指引的地位，亦不会改变根据第</w:t>
      </w:r>
      <w:r>
        <w:rPr>
          <w:lang w:eastAsia="zh-CN"/>
        </w:rPr>
        <w:t>213</w:t>
      </w:r>
      <w:r>
        <w:rPr>
          <w:lang w:eastAsia="zh-CN"/>
        </w:rPr>
        <w:t>条发出命令的现有理由的性质。它补充称</w:t>
      </w:r>
      <w:r>
        <w:rPr>
          <w:lang w:eastAsia="zh-CN"/>
        </w:rPr>
        <w:t>，现行法律允许香港证监会就违反不具法律效力的发牌条件寻求第</w:t>
      </w:r>
      <w:r>
        <w:rPr>
          <w:lang w:eastAsia="zh-CN"/>
        </w:rPr>
        <w:t>213</w:t>
      </w:r>
      <w:r>
        <w:rPr>
          <w:lang w:eastAsia="zh-CN"/>
        </w:rPr>
        <w:t>条命令。然而，它承认，如果它继续进行第</w:t>
      </w:r>
      <w:r>
        <w:rPr>
          <w:lang w:eastAsia="zh-CN"/>
        </w:rPr>
        <w:t>213</w:t>
      </w:r>
      <w:r>
        <w:rPr>
          <w:lang w:eastAsia="zh-CN"/>
        </w:rPr>
        <w:t>条修订，则需要对第</w:t>
      </w:r>
      <w:r>
        <w:rPr>
          <w:lang w:eastAsia="zh-CN"/>
        </w:rPr>
        <w:t>399(6)</w:t>
      </w:r>
      <w:r>
        <w:rPr>
          <w:lang w:eastAsia="zh-CN"/>
        </w:rPr>
        <w:t>条进行相应的修订，以使其与第</w:t>
      </w:r>
      <w:r>
        <w:rPr>
          <w:lang w:eastAsia="zh-CN"/>
        </w:rPr>
        <w:t>213</w:t>
      </w:r>
      <w:r>
        <w:rPr>
          <w:lang w:eastAsia="zh-CN"/>
        </w:rPr>
        <w:t>条保持一致，并避免两者之间的不一致。</w:t>
      </w:r>
    </w:p>
    <w:p w:rsidR="007C447A" w:rsidRPr="007C28AF" w:rsidRDefault="007C28AF">
      <w:pPr>
        <w:pStyle w:val="BodyText"/>
        <w:rPr>
          <w:b/>
          <w:lang w:eastAsia="zh-CN"/>
        </w:rPr>
      </w:pPr>
      <w:r w:rsidRPr="007C28AF">
        <w:rPr>
          <w:b/>
          <w:lang w:eastAsia="zh-CN"/>
        </w:rPr>
        <w:t>纪律制度与《证券及期货条例》第</w:t>
      </w:r>
      <w:r w:rsidRPr="007C28AF">
        <w:rPr>
          <w:b/>
          <w:lang w:eastAsia="zh-CN"/>
        </w:rPr>
        <w:t>213</w:t>
      </w:r>
      <w:r w:rsidRPr="007C28AF">
        <w:rPr>
          <w:b/>
          <w:lang w:eastAsia="zh-CN"/>
        </w:rPr>
        <w:t>条合并所引致的实施及实际问题</w:t>
      </w:r>
    </w:p>
    <w:p w:rsidR="007C447A" w:rsidRDefault="007C28AF">
      <w:pPr>
        <w:pStyle w:val="BodyText"/>
        <w:rPr>
          <w:lang w:eastAsia="zh-CN"/>
        </w:rPr>
      </w:pPr>
      <w:r>
        <w:rPr>
          <w:b/>
          <w:i/>
          <w:lang w:eastAsia="zh-CN"/>
        </w:rPr>
        <w:t>回应者的担忧</w:t>
      </w:r>
    </w:p>
    <w:p w:rsidR="007C447A" w:rsidRDefault="007C28AF">
      <w:pPr>
        <w:pStyle w:val="BodyText"/>
        <w:rPr>
          <w:lang w:eastAsia="zh-CN"/>
        </w:rPr>
      </w:pPr>
      <w:r>
        <w:rPr>
          <w:lang w:eastAsia="zh-CN"/>
        </w:rPr>
        <w:t>许多回应者就证监会的纪律处分决定是否可能成为证监会启动第</w:t>
      </w:r>
      <w:r>
        <w:rPr>
          <w:lang w:eastAsia="zh-CN"/>
        </w:rPr>
        <w:t>213</w:t>
      </w:r>
      <w:r>
        <w:rPr>
          <w:lang w:eastAsia="zh-CN"/>
        </w:rPr>
        <w:t>条法律程序的依据发表意见及关注。一个重要的关注是，原诉讼法庭在履行第</w:t>
      </w:r>
      <w:r>
        <w:rPr>
          <w:lang w:eastAsia="zh-CN"/>
        </w:rPr>
        <w:t>213</w:t>
      </w:r>
      <w:r>
        <w:rPr>
          <w:lang w:eastAsia="zh-CN"/>
        </w:rPr>
        <w:t>条下的职责时，可以覆核证监会纪律决定的是非理根据。</w:t>
      </w:r>
    </w:p>
    <w:p w:rsidR="007C447A" w:rsidRDefault="007C28AF">
      <w:pPr>
        <w:pStyle w:val="BodyText"/>
        <w:rPr>
          <w:lang w:eastAsia="zh-CN"/>
        </w:rPr>
      </w:pPr>
      <w:r>
        <w:rPr>
          <w:lang w:eastAsia="zh-CN"/>
        </w:rPr>
        <w:t>回应者提出平行诉讼和相互矛盾结果的</w:t>
      </w:r>
      <w:r>
        <w:rPr>
          <w:lang w:eastAsia="zh-CN"/>
        </w:rPr>
        <w:t>风险。有人建议在修订条文中澄清原诉讼法庭的覆核将如何与证券及期货上诉审裁处及上诉法庭在纪律程序中的角色相互作用。一项建议是，在受规管人士向证监会或上诉法院的上诉程序结束之前，证监会不应启动第</w:t>
      </w:r>
      <w:r>
        <w:rPr>
          <w:lang w:eastAsia="zh-CN"/>
        </w:rPr>
        <w:t>213</w:t>
      </w:r>
      <w:r>
        <w:rPr>
          <w:lang w:eastAsia="zh-CN"/>
        </w:rPr>
        <w:t>条的法律程序。有些回应者亦建议在第</w:t>
      </w:r>
      <w:r>
        <w:rPr>
          <w:lang w:eastAsia="zh-CN"/>
        </w:rPr>
        <w:t>213(4)</w:t>
      </w:r>
      <w:r>
        <w:rPr>
          <w:lang w:eastAsia="zh-CN"/>
        </w:rPr>
        <w:t>条内增加一份并非详尽的因素清单，列明原诉讼法庭在决定某项命令是否可取及不具损害时应考虑的因素，包括证监会已采取的任何纪律行动，例如巨额罚款或暂停牌照。</w:t>
      </w:r>
    </w:p>
    <w:p w:rsidR="007C447A" w:rsidRDefault="007C28AF">
      <w:pPr>
        <w:pStyle w:val="BodyText"/>
        <w:rPr>
          <w:lang w:eastAsia="zh-CN"/>
        </w:rPr>
      </w:pPr>
      <w:r>
        <w:rPr>
          <w:b/>
          <w:i/>
          <w:lang w:eastAsia="zh-CN"/>
        </w:rPr>
        <w:lastRenderedPageBreak/>
        <w:t>证监会的回应</w:t>
      </w:r>
    </w:p>
    <w:p w:rsidR="007C447A" w:rsidRDefault="007C28AF">
      <w:pPr>
        <w:pStyle w:val="BodyText"/>
        <w:rPr>
          <w:lang w:eastAsia="zh-CN"/>
        </w:rPr>
      </w:pPr>
      <w:r>
        <w:rPr>
          <w:lang w:eastAsia="zh-CN"/>
        </w:rPr>
        <w:t>证监会承认，建议的第</w:t>
      </w:r>
      <w:r>
        <w:rPr>
          <w:lang w:eastAsia="zh-CN"/>
        </w:rPr>
        <w:t>213</w:t>
      </w:r>
      <w:r>
        <w:rPr>
          <w:lang w:eastAsia="zh-CN"/>
        </w:rPr>
        <w:t>条修订如得以实施，将在纪律制度与目前独立运作的第</w:t>
      </w:r>
      <w:r>
        <w:rPr>
          <w:lang w:eastAsia="zh-CN"/>
        </w:rPr>
        <w:t>213</w:t>
      </w:r>
      <w:r>
        <w:rPr>
          <w:lang w:eastAsia="zh-CN"/>
        </w:rPr>
        <w:t>条之间建立新的联系。它注</w:t>
      </w:r>
      <w:r>
        <w:rPr>
          <w:lang w:eastAsia="zh-CN"/>
        </w:rPr>
        <w:t>意到原诉讼法庭须确保根据该条作出的任何命令是</w:t>
      </w:r>
      <w:r>
        <w:rPr>
          <w:lang w:eastAsia="zh-CN"/>
        </w:rPr>
        <w:t>“</w:t>
      </w:r>
      <w:r>
        <w:rPr>
          <w:lang w:eastAsia="zh-CN"/>
        </w:rPr>
        <w:t>可取的</w:t>
      </w:r>
      <w:r>
        <w:rPr>
          <w:lang w:eastAsia="zh-CN"/>
        </w:rPr>
        <w:t>”</w:t>
      </w:r>
      <w:r>
        <w:rPr>
          <w:lang w:eastAsia="zh-CN"/>
        </w:rPr>
        <w:t>和</w:t>
      </w:r>
      <w:r>
        <w:rPr>
          <w:lang w:eastAsia="zh-CN"/>
        </w:rPr>
        <w:t>“</w:t>
      </w:r>
      <w:r>
        <w:rPr>
          <w:lang w:eastAsia="zh-CN"/>
        </w:rPr>
        <w:t>不会对任何人造成不公平的损害</w:t>
      </w:r>
      <w:r>
        <w:rPr>
          <w:lang w:eastAsia="zh-CN"/>
        </w:rPr>
        <w:t>”</w:t>
      </w:r>
      <w:r>
        <w:rPr>
          <w:lang w:eastAsia="zh-CN"/>
        </w:rPr>
        <w:t>，以及原讼法庭可能需要覆核有关纪律决定的是非曲直。它考虑到第</w:t>
      </w:r>
      <w:r>
        <w:rPr>
          <w:lang w:eastAsia="zh-CN"/>
        </w:rPr>
        <w:t>213</w:t>
      </w:r>
      <w:r>
        <w:rPr>
          <w:lang w:eastAsia="zh-CN"/>
        </w:rPr>
        <w:t>款下的平行程序和上诉审裁处审查纪律决定的程序可能产生相互矛盾的结果。它指出，正如回应者所建议的那样，它设想通过行政方式处理这一问题，只有据纪律处分制度进行的上诉程序穷竭之后才展开根据第</w:t>
      </w:r>
      <w:r>
        <w:rPr>
          <w:lang w:eastAsia="zh-CN"/>
        </w:rPr>
        <w:t>213</w:t>
      </w:r>
      <w:r>
        <w:rPr>
          <w:lang w:eastAsia="zh-CN"/>
        </w:rPr>
        <w:t>条的法律程序。然而，证监会同意应就谘询回应者提出的其他关注事项，进一步考虑该建议。</w:t>
      </w:r>
    </w:p>
    <w:p w:rsidR="007C447A" w:rsidRPr="007C28AF" w:rsidRDefault="007C28AF">
      <w:pPr>
        <w:pStyle w:val="BodyText"/>
        <w:rPr>
          <w:b/>
          <w:lang w:eastAsia="zh-CN"/>
        </w:rPr>
      </w:pPr>
      <w:r w:rsidRPr="007C28AF">
        <w:rPr>
          <w:b/>
          <w:lang w:eastAsia="zh-CN"/>
        </w:rPr>
        <w:t>有关公平性及相称性方面的关注</w:t>
      </w:r>
    </w:p>
    <w:p w:rsidR="007C447A" w:rsidRDefault="007C28AF">
      <w:pPr>
        <w:pStyle w:val="BodyText"/>
        <w:rPr>
          <w:lang w:eastAsia="zh-CN"/>
        </w:rPr>
      </w:pPr>
      <w:r>
        <w:rPr>
          <w:b/>
          <w:i/>
          <w:lang w:eastAsia="zh-CN"/>
        </w:rPr>
        <w:t>回应者的担忧</w:t>
      </w:r>
    </w:p>
    <w:p w:rsidR="007C447A" w:rsidRDefault="007C28AF">
      <w:pPr>
        <w:pStyle w:val="BodyText"/>
        <w:rPr>
          <w:lang w:eastAsia="zh-CN"/>
        </w:rPr>
      </w:pPr>
      <w:r>
        <w:rPr>
          <w:lang w:eastAsia="zh-CN"/>
        </w:rPr>
        <w:t>回应者表示，拟议的第</w:t>
      </w:r>
      <w:r>
        <w:rPr>
          <w:lang w:eastAsia="zh-CN"/>
        </w:rPr>
        <w:t>213</w:t>
      </w:r>
      <w:r>
        <w:rPr>
          <w:lang w:eastAsia="zh-CN"/>
        </w:rPr>
        <w:t>条修订会导致证监会采取各种形式的纪律处分，可能引发根据第</w:t>
      </w:r>
      <w:r>
        <w:rPr>
          <w:lang w:eastAsia="zh-CN"/>
        </w:rPr>
        <w:t>213</w:t>
      </w:r>
      <w:r>
        <w:rPr>
          <w:lang w:eastAsia="zh-CN"/>
        </w:rPr>
        <w:t>条采取的行动，而这可能与有关不当行为的严重程度不相称。一些回应者建议证监会应指明可能引致第</w:t>
      </w:r>
      <w:r>
        <w:rPr>
          <w:lang w:eastAsia="zh-CN"/>
        </w:rPr>
        <w:t>213</w:t>
      </w:r>
      <w:r>
        <w:rPr>
          <w:lang w:eastAsia="zh-CN"/>
        </w:rPr>
        <w:t>条适用的不当行为类型。</w:t>
      </w:r>
    </w:p>
    <w:p w:rsidR="007C447A" w:rsidRDefault="007C28AF">
      <w:pPr>
        <w:pStyle w:val="BodyText"/>
        <w:rPr>
          <w:lang w:eastAsia="zh-CN"/>
        </w:rPr>
      </w:pPr>
      <w:r>
        <w:rPr>
          <w:lang w:eastAsia="zh-CN"/>
        </w:rPr>
        <w:t>回应者强调的另一个潜在困难是，该法院不熟悉证监会在其守则和指引下的大量非法定规定。与此相关的担忧可能导致原诉讼法庭严重依赖证监会对守则和指引的解释，从而可能导致不公平的裁决。</w:t>
      </w:r>
    </w:p>
    <w:p w:rsidR="007C447A" w:rsidRDefault="007C28AF">
      <w:pPr>
        <w:pStyle w:val="BodyText"/>
        <w:rPr>
          <w:lang w:eastAsia="zh-CN"/>
        </w:rPr>
      </w:pPr>
      <w:r>
        <w:rPr>
          <w:lang w:eastAsia="zh-CN"/>
        </w:rPr>
        <w:t>一些回应者就实施修订可能导致法定时效期延长发表意见。法定时效期限目前从损失或违约发生之日起计算。然而，如果证监会在根据第</w:t>
      </w:r>
      <w:r>
        <w:rPr>
          <w:lang w:eastAsia="zh-CN"/>
        </w:rPr>
        <w:t>194</w:t>
      </w:r>
      <w:r>
        <w:rPr>
          <w:lang w:eastAsia="zh-CN"/>
        </w:rPr>
        <w:t>或</w:t>
      </w:r>
      <w:r>
        <w:rPr>
          <w:lang w:eastAsia="zh-CN"/>
        </w:rPr>
        <w:t>196</w:t>
      </w:r>
      <w:r>
        <w:rPr>
          <w:lang w:eastAsia="zh-CN"/>
        </w:rPr>
        <w:t>条采取纪律处分措施后，申请第</w:t>
      </w:r>
      <w:r>
        <w:rPr>
          <w:lang w:eastAsia="zh-CN"/>
        </w:rPr>
        <w:t>213</w:t>
      </w:r>
      <w:r>
        <w:rPr>
          <w:lang w:eastAsia="zh-CN"/>
        </w:rPr>
        <w:t>条命令，则时效期的开始日期将推迟至作出决定之日。回应者认为，这可能会大大增加受管制人员的潜在责任。</w:t>
      </w:r>
    </w:p>
    <w:p w:rsidR="007C447A" w:rsidRDefault="007C28AF">
      <w:pPr>
        <w:pStyle w:val="BodyText"/>
        <w:rPr>
          <w:lang w:eastAsia="zh-CN"/>
        </w:rPr>
      </w:pPr>
      <w:r>
        <w:rPr>
          <w:lang w:eastAsia="zh-CN"/>
        </w:rPr>
        <w:t>回应者还指出，该建议可能导致受规管人士因同样的不当行为而被罚款，然后根据第</w:t>
      </w:r>
      <w:r>
        <w:rPr>
          <w:lang w:eastAsia="zh-CN"/>
        </w:rPr>
        <w:t>213</w:t>
      </w:r>
      <w:r>
        <w:rPr>
          <w:lang w:eastAsia="zh-CN"/>
        </w:rPr>
        <w:t>条获得赔偿令。因此，他们建议根据第</w:t>
      </w:r>
      <w:r>
        <w:rPr>
          <w:lang w:eastAsia="zh-CN"/>
        </w:rPr>
        <w:t>194</w:t>
      </w:r>
      <w:r>
        <w:rPr>
          <w:lang w:eastAsia="zh-CN"/>
        </w:rPr>
        <w:t>或</w:t>
      </w:r>
      <w:r>
        <w:rPr>
          <w:lang w:eastAsia="zh-CN"/>
        </w:rPr>
        <w:t>196</w:t>
      </w:r>
      <w:r>
        <w:rPr>
          <w:lang w:eastAsia="zh-CN"/>
        </w:rPr>
        <w:t>款施加的任何惩罚应：</w:t>
      </w:r>
      <w:r>
        <w:rPr>
          <w:lang w:eastAsia="zh-CN"/>
        </w:rPr>
        <w:t>(i)</w:t>
      </w:r>
      <w:r>
        <w:rPr>
          <w:lang w:eastAsia="zh-CN"/>
        </w:rPr>
        <w:t>暂停执行，直到第</w:t>
      </w:r>
      <w:r>
        <w:rPr>
          <w:lang w:eastAsia="zh-CN"/>
        </w:rPr>
        <w:t>213</w:t>
      </w:r>
      <w:r>
        <w:rPr>
          <w:lang w:eastAsia="zh-CN"/>
        </w:rPr>
        <w:t>款的诉讼程序结束为止；及</w:t>
      </w:r>
      <w:r>
        <w:rPr>
          <w:lang w:eastAsia="zh-CN"/>
        </w:rPr>
        <w:t>(ii)</w:t>
      </w:r>
      <w:r>
        <w:rPr>
          <w:lang w:eastAsia="zh-CN"/>
        </w:rPr>
        <w:t>在决定是否处以罚款及该罚款的款额时，会考虑根据第</w:t>
      </w:r>
      <w:r>
        <w:rPr>
          <w:lang w:eastAsia="zh-CN"/>
        </w:rPr>
        <w:t>213</w:t>
      </w:r>
      <w:r>
        <w:rPr>
          <w:lang w:eastAsia="zh-CN"/>
        </w:rPr>
        <w:t>条发出的任何赔偿令。</w:t>
      </w:r>
    </w:p>
    <w:p w:rsidR="007C447A" w:rsidRDefault="007C28AF">
      <w:pPr>
        <w:pStyle w:val="BodyText"/>
        <w:rPr>
          <w:lang w:eastAsia="zh-CN"/>
        </w:rPr>
      </w:pPr>
      <w:r>
        <w:rPr>
          <w:b/>
          <w:i/>
          <w:lang w:eastAsia="zh-CN"/>
        </w:rPr>
        <w:t>证监会的回应</w:t>
      </w:r>
    </w:p>
    <w:p w:rsidR="007C447A" w:rsidRDefault="007C28AF">
      <w:pPr>
        <w:pStyle w:val="BodyText"/>
        <w:rPr>
          <w:lang w:eastAsia="zh-CN"/>
        </w:rPr>
      </w:pPr>
      <w:r>
        <w:rPr>
          <w:lang w:eastAsia="zh-CN"/>
        </w:rPr>
        <w:t>证监会承认，它担心需要确定在何种情况下可以寻求第</w:t>
      </w:r>
      <w:r>
        <w:rPr>
          <w:lang w:eastAsia="zh-CN"/>
        </w:rPr>
        <w:t>213</w:t>
      </w:r>
      <w:r>
        <w:rPr>
          <w:lang w:eastAsia="zh-CN"/>
        </w:rPr>
        <w:t>条命令。它对于法庭在</w:t>
      </w:r>
      <w:r>
        <w:rPr>
          <w:lang w:eastAsia="zh-CN"/>
        </w:rPr>
        <w:t>处理崭新及观乎事实的问题方面的独立性及能力充满信心。</w:t>
      </w:r>
    </w:p>
    <w:p w:rsidR="007C447A" w:rsidRDefault="007C28AF">
      <w:pPr>
        <w:pStyle w:val="BodyText"/>
        <w:rPr>
          <w:lang w:eastAsia="zh-CN"/>
        </w:rPr>
      </w:pPr>
      <w:r>
        <w:rPr>
          <w:lang w:eastAsia="zh-CN"/>
        </w:rPr>
        <w:t>证监会承认，法定诉讼时效期的延长将是拟议修订的自然（尽管并非有意）结果，并需要详细考虑修订的实际影响。</w:t>
      </w:r>
    </w:p>
    <w:p w:rsidR="007C447A" w:rsidRDefault="007C28AF">
      <w:pPr>
        <w:pStyle w:val="BodyText"/>
        <w:rPr>
          <w:lang w:eastAsia="zh-CN"/>
        </w:rPr>
      </w:pPr>
      <w:r>
        <w:rPr>
          <w:lang w:eastAsia="zh-CN"/>
        </w:rPr>
        <w:t>证监会评论说，虽然基于同一不当行为而发出纪律罚款和第</w:t>
      </w:r>
      <w:r>
        <w:rPr>
          <w:lang w:eastAsia="zh-CN"/>
        </w:rPr>
        <w:t>213</w:t>
      </w:r>
      <w:r>
        <w:rPr>
          <w:lang w:eastAsia="zh-CN"/>
        </w:rPr>
        <w:t>条命令（例如补偿命令）可能会对受规管人士造成沉重的经济负担，但纪律罚款和补偿命令的目的不同。纪律罚款的目的是阻止未来的违规行为，而赔偿命令的目的是使受害方恢复到如果不当行为没有发生时他们所处的地位。两者都是为了保护投资者的利益，特别是当投资者因受监管人员的不当行为而遭受经济损失时。</w:t>
      </w:r>
    </w:p>
    <w:p w:rsidR="007C447A" w:rsidRPr="007C28AF" w:rsidRDefault="007C28AF">
      <w:pPr>
        <w:pStyle w:val="BodyText"/>
        <w:rPr>
          <w:b/>
          <w:lang w:eastAsia="zh-CN"/>
        </w:rPr>
      </w:pPr>
      <w:r w:rsidRPr="007C28AF">
        <w:rPr>
          <w:b/>
          <w:lang w:eastAsia="zh-CN"/>
        </w:rPr>
        <w:t>香港作为国际</w:t>
      </w:r>
      <w:r w:rsidRPr="007C28AF">
        <w:rPr>
          <w:b/>
          <w:lang w:eastAsia="zh-CN"/>
        </w:rPr>
        <w:t>金融中心的竞争力</w:t>
      </w:r>
    </w:p>
    <w:p w:rsidR="007C447A" w:rsidRDefault="007C28AF">
      <w:pPr>
        <w:pStyle w:val="BodyText"/>
        <w:rPr>
          <w:lang w:eastAsia="zh-CN"/>
        </w:rPr>
      </w:pPr>
      <w:r>
        <w:rPr>
          <w:b/>
          <w:i/>
          <w:lang w:eastAsia="zh-CN"/>
        </w:rPr>
        <w:t>回应者的担忧</w:t>
      </w:r>
    </w:p>
    <w:p w:rsidR="007C447A" w:rsidRDefault="007C28AF">
      <w:pPr>
        <w:pStyle w:val="BodyText"/>
        <w:rPr>
          <w:lang w:eastAsia="zh-CN"/>
        </w:rPr>
      </w:pPr>
      <w:r>
        <w:rPr>
          <w:lang w:eastAsia="zh-CN"/>
        </w:rPr>
        <w:t>许多回应者表示，执法行动对财务的整体影响无法预测，以及可能出现巨额赔偿命令和纪律处分，可能会令受规管人士对参与某些类别的高风险受规管活动（例如就首次公开招股进行保荐工作及销售复杂投资产品）有所却步，并可能导致企业和人才离开香港。这两种可能的结果都可能对香港金融市场的发展造成不利影响。</w:t>
      </w:r>
    </w:p>
    <w:p w:rsidR="007C447A" w:rsidRDefault="007C28AF">
      <w:pPr>
        <w:pStyle w:val="BodyText"/>
        <w:rPr>
          <w:lang w:eastAsia="zh-CN"/>
        </w:rPr>
      </w:pPr>
      <w:r>
        <w:rPr>
          <w:b/>
          <w:i/>
          <w:lang w:eastAsia="zh-CN"/>
        </w:rPr>
        <w:lastRenderedPageBreak/>
        <w:t>证监会回应</w:t>
      </w:r>
    </w:p>
    <w:p w:rsidR="007C447A" w:rsidRDefault="007C28AF">
      <w:pPr>
        <w:pStyle w:val="BodyText"/>
        <w:rPr>
          <w:lang w:eastAsia="zh-CN"/>
        </w:rPr>
      </w:pPr>
      <w:r>
        <w:rPr>
          <w:lang w:eastAsia="zh-CN"/>
        </w:rPr>
        <w:t>证监会并不赞同有关建议将会损害香港作为国际金融中心的竞争力或地位。它认为有效的监管制度及其执行对维护本地和国际投资者的利益至关重要，并努力在提供适当的投资者保护和确保商业环境避免对创</w:t>
      </w:r>
      <w:r>
        <w:rPr>
          <w:lang w:eastAsia="zh-CN"/>
        </w:rPr>
        <w:t>新和竞争造成不必要的监管阻碍之间取得平衡。</w:t>
      </w:r>
    </w:p>
    <w:p w:rsidR="007C447A" w:rsidRPr="007C28AF" w:rsidRDefault="007C28AF">
      <w:pPr>
        <w:pStyle w:val="BodyText"/>
        <w:rPr>
          <w:b/>
          <w:lang w:eastAsia="zh-CN"/>
        </w:rPr>
      </w:pPr>
      <w:r w:rsidRPr="007C28AF">
        <w:rPr>
          <w:b/>
          <w:lang w:eastAsia="zh-CN"/>
        </w:rPr>
        <w:t>现行法律已经为投资者提供了足够的法律保护</w:t>
      </w:r>
    </w:p>
    <w:p w:rsidR="007C447A" w:rsidRDefault="007C28AF">
      <w:pPr>
        <w:pStyle w:val="BodyText"/>
        <w:rPr>
          <w:lang w:eastAsia="zh-CN"/>
        </w:rPr>
      </w:pPr>
      <w:r>
        <w:rPr>
          <w:b/>
          <w:i/>
          <w:lang w:eastAsia="zh-CN"/>
        </w:rPr>
        <w:t>回应者的担忧</w:t>
      </w:r>
    </w:p>
    <w:p w:rsidR="007C447A" w:rsidRDefault="007C28AF">
      <w:pPr>
        <w:pStyle w:val="BodyText"/>
        <w:rPr>
          <w:lang w:eastAsia="zh-CN"/>
        </w:rPr>
      </w:pPr>
      <w:r>
        <w:rPr>
          <w:lang w:eastAsia="zh-CN"/>
        </w:rPr>
        <w:t>一些回应者认为，香港现行法例已为投资者提供足够的法律救济，并质疑是否需要进一步修订《证券及期货条例》。举例说明，现行法律制度在保障投资者利益方面运作良好，包括《证券及期货条例》第</w:t>
      </w:r>
      <w:r>
        <w:rPr>
          <w:lang w:eastAsia="zh-CN"/>
        </w:rPr>
        <w:t>IX</w:t>
      </w:r>
      <w:r>
        <w:rPr>
          <w:lang w:eastAsia="zh-CN"/>
        </w:rPr>
        <w:t>部、消费者保障法例和民事诉讼的选择，以及金融争议解决计划和受规管人士自己的投诉处理程序。</w:t>
      </w:r>
    </w:p>
    <w:p w:rsidR="007C447A" w:rsidRDefault="007C28AF">
      <w:pPr>
        <w:pStyle w:val="BodyText"/>
        <w:rPr>
          <w:lang w:eastAsia="zh-CN"/>
        </w:rPr>
      </w:pPr>
      <w:r>
        <w:rPr>
          <w:b/>
          <w:i/>
          <w:lang w:eastAsia="zh-CN"/>
        </w:rPr>
        <w:t>证监会回应</w:t>
      </w:r>
    </w:p>
    <w:p w:rsidR="007C447A" w:rsidRDefault="007C28AF">
      <w:pPr>
        <w:pStyle w:val="BodyText"/>
        <w:rPr>
          <w:lang w:eastAsia="zh-CN"/>
        </w:rPr>
      </w:pPr>
      <w:r>
        <w:rPr>
          <w:lang w:eastAsia="zh-CN"/>
        </w:rPr>
        <w:t>证监会不同意，现行法例确保受监管人士的不当行为所造成的财务损失得到公平补偿，足以保护散户投资者。其辩称，散户投资者的财务资源有限</w:t>
      </w:r>
      <w:r>
        <w:rPr>
          <w:lang w:eastAsia="zh-CN"/>
        </w:rPr>
        <w:t>，加之香港缺乏集体诉讼机制，这意味着散户投资者很少在法院提起诉讼。在涉及多名受规管人士就相同类型的金融投资犯下类似不当行为的案件中，证监会认为由证监会代表投资者取得赔偿更为合适。最终，证监会同意对《证券及期货条例》的建议修订会对业界产生深远影响，因此决定需要进一步审议，以考虑持份者的意见。</w:t>
      </w:r>
    </w:p>
    <w:p w:rsidR="007C447A" w:rsidRDefault="007C28AF">
      <w:pPr>
        <w:pStyle w:val="BodyText"/>
        <w:rPr>
          <w:lang w:eastAsia="zh-CN"/>
        </w:rPr>
      </w:pPr>
      <w:r>
        <w:rPr>
          <w:lang w:eastAsia="zh-CN"/>
        </w:rPr>
        <w:t>证监会的结论是，目前可用于补偿受害投资者的补救措施不足。它没有办法要求受监管人士赔偿因违反香港证监会守则或指引而蒙受损失的投资者。其对《证券及期货条例》第</w:t>
      </w:r>
      <w:r>
        <w:rPr>
          <w:lang w:eastAsia="zh-CN"/>
        </w:rPr>
        <w:t>213</w:t>
      </w:r>
      <w:r>
        <w:rPr>
          <w:lang w:eastAsia="zh-CN"/>
        </w:rPr>
        <w:t>条的拟议修订旨在解决这一问题。不过，其承认，就谘询作出回应的人士提出的复杂性和执行问题，需要进一步考虑。因此，证监会将搁置该建议，并进一步考虑如何才能实现其政策目标，即改善投资者因受规管人士的不当行为而蒙受的损失而获得适当补偿的前景。</w:t>
      </w:r>
    </w:p>
    <w:p w:rsidR="007C447A" w:rsidRPr="007C28AF" w:rsidRDefault="007C28AF">
      <w:pPr>
        <w:pStyle w:val="BodyText"/>
        <w:rPr>
          <w:b/>
          <w:color w:val="FF0000"/>
          <w:lang w:eastAsia="zh-CN"/>
        </w:rPr>
      </w:pPr>
      <w:r w:rsidRPr="007C28AF">
        <w:rPr>
          <w:b/>
          <w:color w:val="FF0000"/>
          <w:lang w:eastAsia="zh-CN"/>
        </w:rPr>
        <w:t>证监会搁置对第</w:t>
      </w:r>
      <w:r w:rsidRPr="007C28AF">
        <w:rPr>
          <w:b/>
          <w:color w:val="FF0000"/>
          <w:lang w:eastAsia="zh-CN"/>
        </w:rPr>
        <w:t>103(3)(k)</w:t>
      </w:r>
      <w:r w:rsidRPr="007C28AF">
        <w:rPr>
          <w:b/>
          <w:color w:val="FF0000"/>
          <w:lang w:eastAsia="zh-CN"/>
        </w:rPr>
        <w:t>条专业投资者豁免的拟议修订</w:t>
      </w:r>
    </w:p>
    <w:p w:rsidR="007C447A" w:rsidRDefault="007C28AF">
      <w:pPr>
        <w:pStyle w:val="BodyText"/>
        <w:rPr>
          <w:lang w:eastAsia="zh-CN"/>
        </w:rPr>
      </w:pPr>
      <w:r>
        <w:rPr>
          <w:lang w:eastAsia="zh-CN"/>
        </w:rPr>
        <w:t>《证券及期货条例》第</w:t>
      </w:r>
      <w:r>
        <w:rPr>
          <w:lang w:eastAsia="zh-CN"/>
        </w:rPr>
        <w:t>103(1)</w:t>
      </w:r>
      <w:r>
        <w:rPr>
          <w:lang w:eastAsia="zh-CN"/>
        </w:rPr>
        <w:t>条禁止向公众发出邀请投资</w:t>
      </w:r>
      <w:r>
        <w:rPr>
          <w:lang w:eastAsia="zh-CN"/>
        </w:rPr>
        <w:t>者购买证券、结构性产品或集体投资计划（即基金）权益的广告或其他文件，除非该广告或其他文件已根据《证券及期货条例》第</w:t>
      </w:r>
      <w:r>
        <w:rPr>
          <w:lang w:eastAsia="zh-CN"/>
        </w:rPr>
        <w:t>105</w:t>
      </w:r>
      <w:r>
        <w:rPr>
          <w:lang w:eastAsia="zh-CN"/>
        </w:rPr>
        <w:t>条获证监会授权。第</w:t>
      </w:r>
      <w:r>
        <w:rPr>
          <w:lang w:eastAsia="zh-CN"/>
        </w:rPr>
        <w:t>103(2)</w:t>
      </w:r>
      <w:r>
        <w:rPr>
          <w:lang w:eastAsia="zh-CN"/>
        </w:rPr>
        <w:t>及</w:t>
      </w:r>
      <w:r>
        <w:rPr>
          <w:lang w:eastAsia="zh-CN"/>
        </w:rPr>
        <w:t>(3)</w:t>
      </w:r>
      <w:r>
        <w:rPr>
          <w:lang w:eastAsia="zh-CN"/>
        </w:rPr>
        <w:t>条及第</w:t>
      </w:r>
      <w:r>
        <w:rPr>
          <w:lang w:eastAsia="zh-CN"/>
        </w:rPr>
        <w:t>103(5)</w:t>
      </w:r>
      <w:r>
        <w:rPr>
          <w:lang w:eastAsia="zh-CN"/>
        </w:rPr>
        <w:t>至</w:t>
      </w:r>
      <w:r>
        <w:rPr>
          <w:lang w:eastAsia="zh-CN"/>
        </w:rPr>
        <w:t>(9)</w:t>
      </w:r>
      <w:r>
        <w:rPr>
          <w:lang w:eastAsia="zh-CN"/>
        </w:rPr>
        <w:t>条规定了若干证监会授权规定的豁免。</w:t>
      </w:r>
    </w:p>
    <w:p w:rsidR="007C447A" w:rsidRDefault="007C28AF">
      <w:pPr>
        <w:pStyle w:val="BodyText"/>
        <w:rPr>
          <w:lang w:eastAsia="zh-CN"/>
        </w:rPr>
      </w:pPr>
      <w:r>
        <w:rPr>
          <w:lang w:eastAsia="zh-CN"/>
        </w:rPr>
        <w:t>证监会声称，</w:t>
      </w:r>
      <w:r>
        <w:rPr>
          <w:i/>
          <w:lang w:eastAsia="zh-CN"/>
        </w:rPr>
        <w:t>香港证券及期货事务监察委员会诉</w:t>
      </w:r>
      <w:r>
        <w:rPr>
          <w:i/>
          <w:lang w:eastAsia="zh-CN"/>
        </w:rPr>
        <w:t>Pacific Sun Advisors</w:t>
      </w:r>
      <w:r>
        <w:rPr>
          <w:lang w:eastAsia="zh-CN"/>
        </w:rPr>
        <w:t>[2015]HKCFA 27,</w:t>
      </w:r>
      <w:hyperlink w:anchor="footnote-598-4">
        <w:r>
          <w:rPr>
            <w:vertAlign w:val="superscript"/>
            <w:lang w:eastAsia="zh-CN"/>
          </w:rPr>
          <w:t>4</w:t>
        </w:r>
      </w:hyperlink>
      <w:r>
        <w:rPr>
          <w:lang w:eastAsia="zh-CN"/>
        </w:rPr>
        <w:t xml:space="preserve"> </w:t>
      </w:r>
      <w:r>
        <w:rPr>
          <w:lang w:eastAsia="zh-CN"/>
        </w:rPr>
        <w:t>终审法院对第</w:t>
      </w:r>
      <w:r>
        <w:rPr>
          <w:lang w:eastAsia="zh-CN"/>
        </w:rPr>
        <w:t>103(3)(k)</w:t>
      </w:r>
      <w:r>
        <w:rPr>
          <w:lang w:eastAsia="zh-CN"/>
        </w:rPr>
        <w:t>条下的</w:t>
      </w:r>
      <w:r>
        <w:rPr>
          <w:lang w:eastAsia="zh-CN"/>
        </w:rPr>
        <w:t>“</w:t>
      </w:r>
      <w:r>
        <w:rPr>
          <w:lang w:eastAsia="zh-CN"/>
        </w:rPr>
        <w:t>专业投资者豁免</w:t>
      </w:r>
      <w:r>
        <w:rPr>
          <w:lang w:eastAsia="zh-CN"/>
        </w:rPr>
        <w:t>”</w:t>
      </w:r>
      <w:r>
        <w:rPr>
          <w:lang w:eastAsia="zh-CN"/>
        </w:rPr>
        <w:t>的解释，比相关政策的本意更为宽泛。</w:t>
      </w:r>
    </w:p>
    <w:p w:rsidR="007C447A" w:rsidRDefault="007C28AF">
      <w:pPr>
        <w:pStyle w:val="BodyText"/>
        <w:rPr>
          <w:lang w:eastAsia="zh-CN"/>
        </w:rPr>
      </w:pPr>
      <w:r>
        <w:rPr>
          <w:lang w:eastAsia="zh-CN"/>
        </w:rPr>
        <w:t>第</w:t>
      </w:r>
      <w:r>
        <w:rPr>
          <w:lang w:eastAsia="zh-CN"/>
        </w:rPr>
        <w:t>103(3</w:t>
      </w:r>
      <w:r>
        <w:rPr>
          <w:lang w:eastAsia="zh-CN"/>
        </w:rPr>
        <w:t>)(k)</w:t>
      </w:r>
      <w:r>
        <w:rPr>
          <w:lang w:eastAsia="zh-CN"/>
        </w:rPr>
        <w:t>条就</w:t>
      </w:r>
      <w:r>
        <w:rPr>
          <w:lang w:eastAsia="zh-CN"/>
        </w:rPr>
        <w:t>“</w:t>
      </w:r>
      <w:r>
        <w:rPr>
          <w:i/>
          <w:lang w:eastAsia="zh-CN"/>
        </w:rPr>
        <w:t>只会或拟只会出售予专业投资者</w:t>
      </w:r>
      <w:r>
        <w:rPr>
          <w:lang w:eastAsia="zh-CN"/>
        </w:rPr>
        <w:t>”</w:t>
      </w:r>
      <w:r>
        <w:rPr>
          <w:lang w:eastAsia="zh-CN"/>
        </w:rPr>
        <w:t>的广告及其他文件，豁免证监会的授权规定。就此而言，专业投资者是根据《证券及期货条例》附表</w:t>
      </w:r>
      <w:r>
        <w:rPr>
          <w:lang w:eastAsia="zh-CN"/>
        </w:rPr>
        <w:t>1</w:t>
      </w:r>
      <w:r>
        <w:rPr>
          <w:lang w:eastAsia="zh-CN"/>
        </w:rPr>
        <w:t>第</w:t>
      </w:r>
      <w:r>
        <w:rPr>
          <w:lang w:eastAsia="zh-CN"/>
        </w:rPr>
        <w:t>1</w:t>
      </w:r>
      <w:r>
        <w:rPr>
          <w:lang w:eastAsia="zh-CN"/>
        </w:rPr>
        <w:t>部第</w:t>
      </w:r>
      <w:r>
        <w:rPr>
          <w:lang w:eastAsia="zh-CN"/>
        </w:rPr>
        <w:t>1</w:t>
      </w:r>
      <w:r>
        <w:rPr>
          <w:lang w:eastAsia="zh-CN"/>
        </w:rPr>
        <w:t>条及《证券及期货</w:t>
      </w:r>
      <w:r>
        <w:rPr>
          <w:lang w:eastAsia="zh-CN"/>
        </w:rPr>
        <w:t>(</w:t>
      </w:r>
      <w:r>
        <w:rPr>
          <w:lang w:eastAsia="zh-CN"/>
        </w:rPr>
        <w:t>专业投资者</w:t>
      </w:r>
      <w:r>
        <w:rPr>
          <w:lang w:eastAsia="zh-CN"/>
        </w:rPr>
        <w:t>)</w:t>
      </w:r>
      <w:r>
        <w:rPr>
          <w:lang w:eastAsia="zh-CN"/>
        </w:rPr>
        <w:t>规则》</w:t>
      </w:r>
      <w:r>
        <w:rPr>
          <w:lang w:eastAsia="zh-CN"/>
        </w:rPr>
        <w:t>(</w:t>
      </w:r>
      <w:r>
        <w:rPr>
          <w:lang w:eastAsia="zh-CN"/>
        </w:rPr>
        <w:t>第</w:t>
      </w:r>
      <w:r>
        <w:rPr>
          <w:lang w:eastAsia="zh-CN"/>
        </w:rPr>
        <w:t>571D</w:t>
      </w:r>
      <w:r>
        <w:rPr>
          <w:lang w:eastAsia="zh-CN"/>
        </w:rPr>
        <w:t>章</w:t>
      </w:r>
      <w:r>
        <w:rPr>
          <w:lang w:eastAsia="zh-CN"/>
        </w:rPr>
        <w:t>)</w:t>
      </w:r>
      <w:r>
        <w:rPr>
          <w:lang w:eastAsia="zh-CN"/>
        </w:rPr>
        <w:t>第</w:t>
      </w:r>
      <w:r>
        <w:rPr>
          <w:lang w:eastAsia="zh-CN"/>
        </w:rPr>
        <w:t>3</w:t>
      </w:r>
      <w:r>
        <w:rPr>
          <w:lang w:eastAsia="zh-CN"/>
        </w:rPr>
        <w:t>条所载的定义界定的。</w:t>
      </w:r>
    </w:p>
    <w:p w:rsidR="007C447A" w:rsidRPr="007C28AF" w:rsidRDefault="007C28AF">
      <w:pPr>
        <w:pStyle w:val="BodyText"/>
        <w:rPr>
          <w:b/>
        </w:rPr>
      </w:pPr>
      <w:r w:rsidRPr="007C28AF">
        <w:rPr>
          <w:b/>
        </w:rPr>
        <w:t>香港证券及期货事务监察委员会诉</w:t>
      </w:r>
      <w:r w:rsidRPr="007C28AF">
        <w:rPr>
          <w:b/>
        </w:rPr>
        <w:t>Pacific Sun Advisors</w:t>
      </w:r>
    </w:p>
    <w:p w:rsidR="007C447A" w:rsidRDefault="007C28AF" w:rsidP="007C28AF">
      <w:pPr>
        <w:pStyle w:val="BodyText"/>
        <w:jc w:val="left"/>
      </w:pPr>
      <w:r>
        <w:t>Pacific Sun Advisors</w:t>
      </w:r>
      <w:r>
        <w:t>（</w:t>
      </w:r>
      <w:r>
        <w:rPr>
          <w:b/>
        </w:rPr>
        <w:t xml:space="preserve">Pacific </w:t>
      </w:r>
      <w:r>
        <w:rPr>
          <w:b/>
        </w:rPr>
        <w:t>Sun</w:t>
      </w:r>
      <w:r>
        <w:t>）是一间证监会持牌法团，曾向公众发布一项集体投资计划的广告，包括在其网站刊登广告。证监会并没有根据《证券及期货条例》第</w:t>
      </w:r>
      <w:r>
        <w:t>105</w:t>
      </w:r>
      <w:r>
        <w:t>条授权该广告的发行。</w:t>
      </w:r>
    </w:p>
    <w:p w:rsidR="007C447A" w:rsidRDefault="007C28AF">
      <w:pPr>
        <w:pStyle w:val="BodyText"/>
        <w:rPr>
          <w:lang w:eastAsia="zh-CN"/>
        </w:rPr>
      </w:pPr>
      <w:r>
        <w:rPr>
          <w:lang w:eastAsia="zh-CN"/>
        </w:rPr>
        <w:t xml:space="preserve">Pacific </w:t>
      </w:r>
      <w:r>
        <w:rPr>
          <w:lang w:eastAsia="zh-CN"/>
        </w:rPr>
        <w:t>Sun</w:t>
      </w:r>
      <w:r>
        <w:rPr>
          <w:lang w:eastAsia="zh-CN"/>
        </w:rPr>
        <w:t>及其首席执行官依据第</w:t>
      </w:r>
      <w:r>
        <w:rPr>
          <w:lang w:eastAsia="zh-CN"/>
        </w:rPr>
        <w:t>103(3)(k)</w:t>
      </w:r>
      <w:r>
        <w:rPr>
          <w:lang w:eastAsia="zh-CN"/>
        </w:rPr>
        <w:t>条规定的专业投资者豁免，认为虽然他们向普通公众发布了广告，但该基金的目的是出售给专业投资者，并且只出售给了专业投资者，尽管这一意图在广告中没有明确说明。裁判官同意豁免适用，并宣告被告无罪。在证监会的上诉中，原讼法庭推翻裁判官的裁决，裁定如要适用第</w:t>
      </w:r>
      <w:r>
        <w:rPr>
          <w:lang w:eastAsia="zh-CN"/>
        </w:rPr>
        <w:t>103(3)(k)</w:t>
      </w:r>
      <w:r>
        <w:rPr>
          <w:lang w:eastAsia="zh-CN"/>
        </w:rPr>
        <w:t>条，该广告必须清楚表明它是</w:t>
      </w:r>
      <w:r>
        <w:rPr>
          <w:lang w:eastAsia="zh-CN"/>
        </w:rPr>
        <w:t>“</w:t>
      </w:r>
      <w:r>
        <w:rPr>
          <w:lang w:eastAsia="zh-CN"/>
        </w:rPr>
        <w:t>针对</w:t>
      </w:r>
      <w:r>
        <w:rPr>
          <w:lang w:eastAsia="zh-CN"/>
        </w:rPr>
        <w:t>”</w:t>
      </w:r>
      <w:r>
        <w:rPr>
          <w:lang w:eastAsia="zh-CN"/>
        </w:rPr>
        <w:t>专业投资者而制作的，因此仅限于专业投资者，而不包括其他投资公众。就被告向终审法院提出的上诉，终审法院同</w:t>
      </w:r>
      <w:r>
        <w:rPr>
          <w:lang w:eastAsia="zh-CN"/>
        </w:rPr>
        <w:lastRenderedPageBreak/>
        <w:t>意裁判官的意见，认为第</w:t>
      </w:r>
      <w:r>
        <w:rPr>
          <w:lang w:eastAsia="zh-CN"/>
        </w:rPr>
        <w:t>103(3)(k)</w:t>
      </w:r>
      <w:r>
        <w:rPr>
          <w:lang w:eastAsia="zh-CN"/>
        </w:rPr>
        <w:t>条的专业投资者豁免适</w:t>
      </w:r>
      <w:r>
        <w:rPr>
          <w:lang w:eastAsia="zh-CN"/>
        </w:rPr>
        <w:t>用。它认为，专业投资者豁免适用于任何与投资产品有某种联系或关系的广告，这些投资产品是或打算只出售给专业投资者。终审法院认为，该项豁免的实质载于第</w:t>
      </w:r>
      <w:r>
        <w:rPr>
          <w:lang w:eastAsia="zh-CN"/>
        </w:rPr>
        <w:t>103(3)(k)</w:t>
      </w:r>
      <w:r>
        <w:rPr>
          <w:lang w:eastAsia="zh-CN"/>
        </w:rPr>
        <w:t>条的</w:t>
      </w:r>
      <w:r>
        <w:rPr>
          <w:lang w:eastAsia="zh-CN"/>
        </w:rPr>
        <w:t>“</w:t>
      </w:r>
      <w:r>
        <w:rPr>
          <w:lang w:eastAsia="zh-CN"/>
        </w:rPr>
        <w:t>将予或拟予处置的</w:t>
      </w:r>
      <w:r>
        <w:rPr>
          <w:lang w:eastAsia="zh-CN"/>
        </w:rPr>
        <w:t>”</w:t>
      </w:r>
      <w:r>
        <w:rPr>
          <w:lang w:eastAsia="zh-CN"/>
        </w:rPr>
        <w:t>字眼内。</w:t>
      </w:r>
    </w:p>
    <w:p w:rsidR="007C447A" w:rsidRDefault="007C28AF">
      <w:pPr>
        <w:pStyle w:val="BodyText"/>
        <w:rPr>
          <w:lang w:eastAsia="zh-CN"/>
        </w:rPr>
      </w:pPr>
      <w:r>
        <w:rPr>
          <w:lang w:eastAsia="zh-CN"/>
        </w:rPr>
        <w:t>证监会指出，由于本案的决定，未经授权的投资产品广告可以向公众发布，尽管这些产品不适合散户投资者，而且只打算出售给专业投资者。它补充说，尽管第</w:t>
      </w:r>
      <w:r>
        <w:rPr>
          <w:lang w:eastAsia="zh-CN"/>
        </w:rPr>
        <w:t>103(1)</w:t>
      </w:r>
      <w:r>
        <w:rPr>
          <w:lang w:eastAsia="zh-CN"/>
        </w:rPr>
        <w:t>条规定的责任在广告发布时产生，但执法行动必须等到产品销售时才能确定它是否已出售给专业投资者。此外，仅向专业投资者出售投资产品的意向理论上也会从豁免中受益。证监会认为</w:t>
      </w:r>
      <w:r>
        <w:rPr>
          <w:lang w:eastAsia="zh-CN"/>
        </w:rPr>
        <w:t>，上述因素令第</w:t>
      </w:r>
      <w:r>
        <w:rPr>
          <w:lang w:eastAsia="zh-CN"/>
        </w:rPr>
        <w:t>103(1)</w:t>
      </w:r>
      <w:r>
        <w:rPr>
          <w:lang w:eastAsia="zh-CN"/>
        </w:rPr>
        <w:t>条难以执行。它还认为，</w:t>
      </w:r>
      <w:r>
        <w:rPr>
          <w:lang w:eastAsia="zh-CN"/>
        </w:rPr>
        <w:t>Pacific Sun</w:t>
      </w:r>
      <w:r>
        <w:rPr>
          <w:lang w:eastAsia="zh-CN"/>
        </w:rPr>
        <w:t>的决定违反了第</w:t>
      </w:r>
      <w:r>
        <w:rPr>
          <w:lang w:eastAsia="zh-CN"/>
        </w:rPr>
        <w:t>103(1)</w:t>
      </w:r>
      <w:r>
        <w:rPr>
          <w:lang w:eastAsia="zh-CN"/>
        </w:rPr>
        <w:t>条的目的，该条款是监管投资产品广告的发行，而不是投资产品的销售。</w:t>
      </w:r>
    </w:p>
    <w:p w:rsidR="007C447A" w:rsidRPr="007C28AF" w:rsidRDefault="007C28AF">
      <w:pPr>
        <w:pStyle w:val="BodyText"/>
        <w:rPr>
          <w:b/>
          <w:lang w:eastAsia="zh-CN"/>
        </w:rPr>
      </w:pPr>
      <w:r w:rsidRPr="007C28AF">
        <w:rPr>
          <w:b/>
          <w:lang w:eastAsia="zh-CN"/>
        </w:rPr>
        <w:t>证监会对第</w:t>
      </w:r>
      <w:r w:rsidRPr="007C28AF">
        <w:rPr>
          <w:b/>
          <w:lang w:eastAsia="zh-CN"/>
        </w:rPr>
        <w:t>103(k)</w:t>
      </w:r>
      <w:r w:rsidRPr="007C28AF">
        <w:rPr>
          <w:b/>
          <w:lang w:eastAsia="zh-CN"/>
        </w:rPr>
        <w:t>及</w:t>
      </w:r>
      <w:r w:rsidRPr="007C28AF">
        <w:rPr>
          <w:b/>
          <w:lang w:eastAsia="zh-CN"/>
        </w:rPr>
        <w:t>(j)</w:t>
      </w:r>
      <w:r w:rsidRPr="007C28AF">
        <w:rPr>
          <w:b/>
          <w:lang w:eastAsia="zh-CN"/>
        </w:rPr>
        <w:t>条的建议修订</w:t>
      </w:r>
    </w:p>
    <w:p w:rsidR="007C447A" w:rsidRDefault="007C28AF">
      <w:pPr>
        <w:pStyle w:val="BodyText"/>
        <w:rPr>
          <w:lang w:eastAsia="zh-CN"/>
        </w:rPr>
      </w:pPr>
      <w:r>
        <w:rPr>
          <w:lang w:eastAsia="zh-CN"/>
        </w:rPr>
        <w:t>证监会在谘询文件中建议：</w:t>
      </w:r>
    </w:p>
    <w:p w:rsidR="007C447A" w:rsidRDefault="007C28AF">
      <w:pPr>
        <w:pStyle w:val="Compact"/>
        <w:numPr>
          <w:ilvl w:val="0"/>
          <w:numId w:val="9"/>
        </w:numPr>
        <w:rPr>
          <w:lang w:eastAsia="zh-CN"/>
        </w:rPr>
      </w:pPr>
      <w:r>
        <w:rPr>
          <w:lang w:eastAsia="zh-CN"/>
        </w:rPr>
        <w:t>修订《证券及期货条例》第</w:t>
      </w:r>
      <w:r>
        <w:rPr>
          <w:lang w:eastAsia="zh-CN"/>
        </w:rPr>
        <w:t>103(3)(k)</w:t>
      </w:r>
      <w:r>
        <w:rPr>
          <w:lang w:eastAsia="zh-CN"/>
        </w:rPr>
        <w:t>条，以便在发布投资广告时适用专业投资者豁免。只有在只向专业投资者发行的情况下，广告才可豁免香港证监会的授权要求。这意味着，投资产品的广告只可向受规管人士已透过其</w:t>
      </w:r>
      <w:r>
        <w:rPr>
          <w:lang w:eastAsia="zh-CN"/>
        </w:rPr>
        <w:t>“</w:t>
      </w:r>
      <w:r>
        <w:rPr>
          <w:lang w:eastAsia="zh-CN"/>
        </w:rPr>
        <w:t>认识你的客户</w:t>
      </w:r>
      <w:r>
        <w:rPr>
          <w:lang w:eastAsia="zh-CN"/>
        </w:rPr>
        <w:t>”</w:t>
      </w:r>
      <w:r>
        <w:rPr>
          <w:lang w:eastAsia="zh-CN"/>
        </w:rPr>
        <w:t>及相关程序确定身份的</w:t>
      </w:r>
      <w:r>
        <w:rPr>
          <w:i/>
          <w:u w:val="single"/>
          <w:lang w:eastAsia="zh-CN"/>
        </w:rPr>
        <w:t>专业投资者</w:t>
      </w:r>
      <w:r>
        <w:rPr>
          <w:lang w:eastAsia="zh-CN"/>
        </w:rPr>
        <w:t>发出，而不论该等广告是否表明该等意图，例如以专业投资者出售限制的形式；及</w:t>
      </w:r>
    </w:p>
    <w:p w:rsidR="007C447A" w:rsidRDefault="007C28AF">
      <w:pPr>
        <w:pStyle w:val="Compact"/>
        <w:numPr>
          <w:ilvl w:val="0"/>
          <w:numId w:val="9"/>
        </w:numPr>
        <w:rPr>
          <w:lang w:eastAsia="zh-CN"/>
        </w:rPr>
      </w:pPr>
      <w:r>
        <w:rPr>
          <w:lang w:eastAsia="zh-CN"/>
        </w:rPr>
        <w:t>对《证券及期货条例》第</w:t>
      </w:r>
      <w:r>
        <w:rPr>
          <w:lang w:eastAsia="zh-CN"/>
        </w:rPr>
        <w:t>103(3)(j)</w:t>
      </w:r>
      <w:r>
        <w:rPr>
          <w:lang w:eastAsia="zh-CN"/>
        </w:rPr>
        <w:t>条作出相同的修订，该条为只出售或拟出售予香港以外人士的投资产品广告提供豁免（合称为</w:t>
      </w:r>
      <w:r>
        <w:rPr>
          <w:b/>
          <w:lang w:eastAsia="zh-CN"/>
        </w:rPr>
        <w:t>第</w:t>
      </w:r>
      <w:r>
        <w:rPr>
          <w:b/>
          <w:lang w:eastAsia="zh-CN"/>
        </w:rPr>
        <w:t>103</w:t>
      </w:r>
      <w:r>
        <w:rPr>
          <w:b/>
          <w:lang w:eastAsia="zh-CN"/>
        </w:rPr>
        <w:t>条建议修订</w:t>
      </w:r>
      <w:r>
        <w:rPr>
          <w:lang w:eastAsia="zh-CN"/>
        </w:rPr>
        <w:t>）</w:t>
      </w:r>
    </w:p>
    <w:p w:rsidR="007C447A" w:rsidRDefault="007C28AF">
      <w:pPr>
        <w:pStyle w:val="FirstParagraph"/>
        <w:rPr>
          <w:lang w:eastAsia="zh-CN"/>
        </w:rPr>
      </w:pPr>
      <w:r>
        <w:rPr>
          <w:b/>
          <w:i/>
          <w:lang w:eastAsia="zh-CN"/>
        </w:rPr>
        <w:t>回应者的担忧</w:t>
      </w:r>
    </w:p>
    <w:p w:rsidR="007C447A" w:rsidRDefault="007C28AF">
      <w:pPr>
        <w:pStyle w:val="BodyText"/>
        <w:rPr>
          <w:lang w:eastAsia="zh-CN"/>
        </w:rPr>
      </w:pPr>
      <w:r>
        <w:rPr>
          <w:lang w:eastAsia="zh-CN"/>
        </w:rPr>
        <w:t>谘询文件中超过一半的回应者对建议的第</w:t>
      </w:r>
      <w:r>
        <w:rPr>
          <w:lang w:eastAsia="zh-CN"/>
        </w:rPr>
        <w:t>103</w:t>
      </w:r>
      <w:r>
        <w:rPr>
          <w:lang w:eastAsia="zh-CN"/>
        </w:rPr>
        <w:t>条修订表示关注。虽然他们普遍支持保护投资者的基本目标，但他们对修订的必要性、执行困难以及修订将对业务发展和销售过程产生的影响表示关注。</w:t>
      </w:r>
    </w:p>
    <w:p w:rsidR="007C447A" w:rsidRDefault="007C28AF">
      <w:pPr>
        <w:pStyle w:val="BodyText"/>
        <w:rPr>
          <w:lang w:eastAsia="zh-CN"/>
        </w:rPr>
      </w:pPr>
      <w:r>
        <w:rPr>
          <w:i/>
          <w:lang w:eastAsia="zh-CN"/>
        </w:rPr>
        <w:t>法定修订的必要性</w:t>
      </w:r>
    </w:p>
    <w:p w:rsidR="007C447A" w:rsidRDefault="007C28AF">
      <w:pPr>
        <w:pStyle w:val="BodyText"/>
        <w:rPr>
          <w:lang w:eastAsia="zh-CN"/>
        </w:rPr>
      </w:pPr>
      <w:r>
        <w:rPr>
          <w:lang w:eastAsia="zh-CN"/>
        </w:rPr>
        <w:t>许多回应者评论建议的第</w:t>
      </w:r>
      <w:r>
        <w:rPr>
          <w:lang w:eastAsia="zh-CN"/>
        </w:rPr>
        <w:t>103</w:t>
      </w:r>
      <w:r>
        <w:rPr>
          <w:lang w:eastAsia="zh-CN"/>
        </w:rPr>
        <w:t>条修正案是不必要的。如果散户投资者不能投资于未经授权的投</w:t>
      </w:r>
      <w:r>
        <w:rPr>
          <w:lang w:eastAsia="zh-CN"/>
        </w:rPr>
        <w:t>资产品广告，他们就不会面临重大风险。他们指出，现有的监管保障措施，如认识你的客户</w:t>
      </w:r>
      <w:r>
        <w:rPr>
          <w:lang w:eastAsia="zh-CN"/>
        </w:rPr>
        <w:t>(KYC)</w:t>
      </w:r>
      <w:r>
        <w:rPr>
          <w:lang w:eastAsia="zh-CN"/>
        </w:rPr>
        <w:t>要求、适用性评估</w:t>
      </w:r>
      <w:hyperlink w:anchor="footnote-598-5">
        <w:r>
          <w:rPr>
            <w:vertAlign w:val="superscript"/>
            <w:lang w:eastAsia="zh-CN"/>
          </w:rPr>
          <w:t>5</w:t>
        </w:r>
      </w:hyperlink>
      <w:r>
        <w:rPr>
          <w:lang w:eastAsia="zh-CN"/>
        </w:rPr>
        <w:t>及风险披露，已经为散户投资者提供了足够的保护。</w:t>
      </w:r>
      <w:r>
        <w:rPr>
          <w:lang w:eastAsia="zh-CN"/>
        </w:rPr>
        <w:t xml:space="preserve"> </w:t>
      </w:r>
      <w:r>
        <w:rPr>
          <w:lang w:eastAsia="zh-CN"/>
        </w:rPr>
        <w:t>此外，自</w:t>
      </w:r>
      <w:r>
        <w:rPr>
          <w:lang w:eastAsia="zh-CN"/>
        </w:rPr>
        <w:t>Pacific Sun</w:t>
      </w:r>
      <w:r>
        <w:rPr>
          <w:lang w:eastAsia="zh-CN"/>
        </w:rPr>
        <w:t>案判决以来，没有就《证券及期货条例》第</w:t>
      </w:r>
      <w:r>
        <w:rPr>
          <w:lang w:eastAsia="zh-CN"/>
        </w:rPr>
        <w:t>103(3)(k)</w:t>
      </w:r>
      <w:r>
        <w:rPr>
          <w:lang w:eastAsia="zh-CN"/>
        </w:rPr>
        <w:t>条采取执法行动，回应者认为这表明不存在需要证监会建议的重大问题。</w:t>
      </w:r>
    </w:p>
    <w:p w:rsidR="007C447A" w:rsidRDefault="007C28AF">
      <w:pPr>
        <w:pStyle w:val="BodyText"/>
        <w:rPr>
          <w:lang w:eastAsia="zh-CN"/>
        </w:rPr>
      </w:pPr>
      <w:r>
        <w:rPr>
          <w:i/>
          <w:lang w:eastAsia="zh-CN"/>
        </w:rPr>
        <w:t>执行困难及对业务的影响</w:t>
      </w:r>
    </w:p>
    <w:p w:rsidR="007C447A" w:rsidRDefault="007C28AF">
      <w:pPr>
        <w:pStyle w:val="BodyText"/>
        <w:rPr>
          <w:lang w:eastAsia="zh-CN"/>
        </w:rPr>
      </w:pPr>
      <w:r>
        <w:rPr>
          <w:lang w:eastAsia="zh-CN"/>
        </w:rPr>
        <w:t>许多回应者评论说，拟议的第</w:t>
      </w:r>
      <w:r>
        <w:rPr>
          <w:lang w:eastAsia="zh-CN"/>
        </w:rPr>
        <w:t>103</w:t>
      </w:r>
      <w:r>
        <w:rPr>
          <w:lang w:eastAsia="zh-CN"/>
        </w:rPr>
        <w:t>条修正案脱离了商业现实，并会对某些常见的市场推广活动造成不必要的干扰。他们</w:t>
      </w:r>
      <w:r>
        <w:rPr>
          <w:lang w:eastAsia="zh-CN"/>
        </w:rPr>
        <w:t>特别强调，专业投资者一般不愿意在初步市场推广阶段提供他们的</w:t>
      </w:r>
      <w:r>
        <w:rPr>
          <w:lang w:eastAsia="zh-CN"/>
        </w:rPr>
        <w:t>“</w:t>
      </w:r>
      <w:r>
        <w:rPr>
          <w:lang w:eastAsia="zh-CN"/>
        </w:rPr>
        <w:t>认识你的客户</w:t>
      </w:r>
      <w:r>
        <w:rPr>
          <w:lang w:eastAsia="zh-CN"/>
        </w:rPr>
        <w:t>”</w:t>
      </w:r>
      <w:r>
        <w:rPr>
          <w:lang w:eastAsia="zh-CN"/>
        </w:rPr>
        <w:t>资料。因此，规定中介人仅可向已透过其</w:t>
      </w:r>
      <w:r>
        <w:rPr>
          <w:lang w:eastAsia="zh-CN"/>
        </w:rPr>
        <w:t>“</w:t>
      </w:r>
      <w:r>
        <w:rPr>
          <w:lang w:eastAsia="zh-CN"/>
        </w:rPr>
        <w:t>认识你的客户</w:t>
      </w:r>
      <w:r>
        <w:rPr>
          <w:lang w:eastAsia="zh-CN"/>
        </w:rPr>
        <w:t>”</w:t>
      </w:r>
      <w:r>
        <w:rPr>
          <w:lang w:eastAsia="zh-CN"/>
        </w:rPr>
        <w:t>及相关程序获确认为专业投资者的专业投资者发出未经认可的广告的建议将会大大削弱中介人向准投资者进行市场推广的能力。此外，</w:t>
      </w:r>
      <w:r>
        <w:rPr>
          <w:lang w:eastAsia="zh-CN"/>
        </w:rPr>
        <w:t>此建议将会为本身已拥有庞大现有客户群的较大型金融机构造就不公平的优势，因为它们可在无须进行</w:t>
      </w:r>
      <w:r>
        <w:rPr>
          <w:lang w:eastAsia="zh-CN"/>
        </w:rPr>
        <w:t>“</w:t>
      </w:r>
      <w:r>
        <w:rPr>
          <w:lang w:eastAsia="zh-CN"/>
        </w:rPr>
        <w:t>认识你的客户</w:t>
      </w:r>
      <w:r>
        <w:rPr>
          <w:lang w:eastAsia="zh-CN"/>
        </w:rPr>
        <w:t>”</w:t>
      </w:r>
      <w:r>
        <w:rPr>
          <w:lang w:eastAsia="zh-CN"/>
        </w:rPr>
        <w:t>程序的情况下向现有客户群推广新产品。</w:t>
      </w:r>
    </w:p>
    <w:p w:rsidR="007C447A" w:rsidRDefault="007C28AF">
      <w:pPr>
        <w:pStyle w:val="BodyText"/>
        <w:rPr>
          <w:lang w:eastAsia="zh-CN"/>
        </w:rPr>
      </w:pPr>
      <w:r>
        <w:rPr>
          <w:lang w:eastAsia="zh-CN"/>
        </w:rPr>
        <w:t>其他意见包括，该建议将过度限制网上推广效果，可能导致销售活动转移到其他市场。</w:t>
      </w:r>
    </w:p>
    <w:p w:rsidR="007C447A" w:rsidRDefault="007C28AF">
      <w:pPr>
        <w:pStyle w:val="BodyText"/>
        <w:rPr>
          <w:lang w:eastAsia="zh-CN"/>
        </w:rPr>
      </w:pPr>
      <w:r>
        <w:rPr>
          <w:lang w:eastAsia="zh-CN"/>
        </w:rPr>
        <w:t>证监会回应称，有关建议旨在反映第</w:t>
      </w:r>
      <w:r>
        <w:rPr>
          <w:lang w:eastAsia="zh-CN"/>
        </w:rPr>
        <w:t>103</w:t>
      </w:r>
      <w:r>
        <w:rPr>
          <w:lang w:eastAsia="zh-CN"/>
        </w:rPr>
        <w:t>条的原</w:t>
      </w:r>
      <w:r>
        <w:rPr>
          <w:lang w:eastAsia="zh-CN"/>
        </w:rPr>
        <w:t>意，即在发出市场推广材料的时间点上保障投资者。它强调，它对散户投资者可能接触到并非为他们设计的投资产品的担忧是合理的，因为发生多宗拟以专业投资者为对象的产品（例如第三十七章债券</w:t>
      </w:r>
      <w:hyperlink w:anchor="footnote-598-6">
        <w:r>
          <w:rPr>
            <w:vertAlign w:val="superscript"/>
            <w:lang w:eastAsia="zh-CN"/>
          </w:rPr>
          <w:t>6</w:t>
        </w:r>
      </w:hyperlink>
      <w:r>
        <w:rPr>
          <w:lang w:eastAsia="zh-CN"/>
        </w:rPr>
        <w:t>）在违反合适性规则的情况下被售予散户投资者的事件。</w:t>
      </w:r>
    </w:p>
    <w:p w:rsidR="007C447A" w:rsidRDefault="007C28AF">
      <w:pPr>
        <w:pStyle w:val="BodyText"/>
        <w:rPr>
          <w:lang w:eastAsia="zh-CN"/>
        </w:rPr>
      </w:pPr>
      <w:r>
        <w:rPr>
          <w:lang w:eastAsia="zh-CN"/>
        </w:rPr>
        <w:lastRenderedPageBreak/>
        <w:t>尽管如此，证监会承认，需要考虑这项建议的潜在好处，以及对投资产品网上推广的执行作困难和负面影响。因此，香港证监会决定不再以现有的形式推进建议，并表示在更长的一段期间内，继续观察是否有需要引入新政策。如有必要，</w:t>
      </w:r>
      <w:r>
        <w:rPr>
          <w:lang w:eastAsia="zh-CN"/>
        </w:rPr>
        <w:t>我们将会再次咨询业界的意见。</w:t>
      </w:r>
    </w:p>
    <w:p w:rsidR="007C447A" w:rsidRDefault="007C28AF">
      <w:pPr>
        <w:pStyle w:val="BodyText"/>
        <w:rPr>
          <w:lang w:eastAsia="zh-CN"/>
        </w:rPr>
      </w:pPr>
      <w:r>
        <w:rPr>
          <w:lang w:eastAsia="zh-CN"/>
        </w:rPr>
        <w:t>证监会提醒业界，任何人援引《证券及期货条例》第</w:t>
      </w:r>
      <w:r>
        <w:rPr>
          <w:lang w:eastAsia="zh-CN"/>
        </w:rPr>
        <w:t>103(3)(k)</w:t>
      </w:r>
      <w:r>
        <w:rPr>
          <w:lang w:eastAsia="zh-CN"/>
        </w:rPr>
        <w:t>条的专业投资者豁免，必须能够展示投资产品只转让予专业投资者的清楚意图。因此，广告发出人最低限度应确保从该广告的表面上便可显然易见相关投资产品拟只转让予专业投资者。香港证监会正考虑就如何证明其意图向业内人士提供进一步指引。</w:t>
      </w:r>
    </w:p>
    <w:p w:rsidR="007C447A" w:rsidRDefault="007C28AF">
      <w:pPr>
        <w:pStyle w:val="BodyText"/>
        <w:rPr>
          <w:lang w:eastAsia="zh-CN"/>
        </w:rPr>
      </w:pPr>
      <w:r>
        <w:rPr>
          <w:lang w:eastAsia="zh-CN"/>
        </w:rPr>
        <w:t>由于第</w:t>
      </w:r>
      <w:r>
        <w:rPr>
          <w:lang w:eastAsia="zh-CN"/>
        </w:rPr>
        <w:t>103(3)(k)</w:t>
      </w:r>
      <w:r>
        <w:rPr>
          <w:lang w:eastAsia="zh-CN"/>
        </w:rPr>
        <w:t>条将不会作出法例修订，故此第</w:t>
      </w:r>
      <w:r>
        <w:rPr>
          <w:lang w:eastAsia="zh-CN"/>
        </w:rPr>
        <w:t>103(3)(j)</w:t>
      </w:r>
      <w:r>
        <w:rPr>
          <w:lang w:eastAsia="zh-CN"/>
        </w:rPr>
        <w:t>条内有关只出售予或拟只出售予在香港以外地方的人的投资产品方面的条文亦不会作出任何相应修订。</w:t>
      </w:r>
    </w:p>
    <w:p w:rsidR="007C447A" w:rsidRDefault="007C28AF">
      <w:pPr>
        <w:pStyle w:val="BodyText"/>
        <w:rPr>
          <w:lang w:eastAsia="zh-CN"/>
        </w:rPr>
      </w:pPr>
      <w:hyperlink w:anchor="footnote-598-1-backlink">
        <w:r>
          <w:rPr>
            <w:lang w:eastAsia="zh-CN"/>
          </w:rPr>
          <w:t>1</w:t>
        </w:r>
      </w:hyperlink>
      <w:r>
        <w:rPr>
          <w:lang w:eastAsia="zh-CN"/>
        </w:rPr>
        <w:t xml:space="preserve"> </w:t>
      </w:r>
      <w:r>
        <w:rPr>
          <w:lang w:eastAsia="zh-CN"/>
        </w:rPr>
        <w:t>证监会。</w:t>
      </w:r>
      <w:r>
        <w:rPr>
          <w:lang w:eastAsia="zh-CN"/>
        </w:rPr>
        <w:t>2022</w:t>
      </w:r>
      <w:r>
        <w:rPr>
          <w:lang w:eastAsia="zh-CN"/>
        </w:rPr>
        <w:t>年</w:t>
      </w:r>
      <w:r>
        <w:rPr>
          <w:lang w:eastAsia="zh-CN"/>
        </w:rPr>
        <w:t>6</w:t>
      </w:r>
      <w:r>
        <w:rPr>
          <w:lang w:eastAsia="zh-CN"/>
        </w:rPr>
        <w:t>月。有关建议修订《证券及期货条例》内与执法相关的条文的谘询文件</w:t>
      </w:r>
    </w:p>
    <w:p w:rsidR="007C447A" w:rsidRDefault="007C28AF">
      <w:pPr>
        <w:pStyle w:val="BodyText"/>
        <w:rPr>
          <w:lang w:eastAsia="zh-CN"/>
        </w:rPr>
      </w:pPr>
      <w:hyperlink w:anchor="footnote-598-2-backlink">
        <w:r>
          <w:rPr>
            <w:lang w:eastAsia="zh-CN"/>
          </w:rPr>
          <w:t>2</w:t>
        </w:r>
      </w:hyperlink>
      <w:r>
        <w:rPr>
          <w:lang w:eastAsia="zh-CN"/>
        </w:rPr>
        <w:t xml:space="preserve"> </w:t>
      </w:r>
      <w:r>
        <w:rPr>
          <w:lang w:eastAsia="zh-CN"/>
        </w:rPr>
        <w:t>同上。第</w:t>
      </w:r>
      <w:r>
        <w:rPr>
          <w:lang w:eastAsia="zh-CN"/>
        </w:rPr>
        <w:t>43</w:t>
      </w:r>
      <w:r>
        <w:rPr>
          <w:lang w:eastAsia="zh-CN"/>
        </w:rPr>
        <w:t>段</w:t>
      </w:r>
    </w:p>
    <w:p w:rsidR="007C447A" w:rsidRDefault="007C28AF">
      <w:pPr>
        <w:pStyle w:val="BodyText"/>
        <w:rPr>
          <w:lang w:eastAsia="zh-CN"/>
        </w:rPr>
      </w:pPr>
      <w:hyperlink w:anchor="footnote-598-3-backlink">
        <w:r>
          <w:rPr>
            <w:lang w:eastAsia="zh-CN"/>
          </w:rPr>
          <w:t>3</w:t>
        </w:r>
      </w:hyperlink>
    </w:p>
    <w:p w:rsidR="007C447A" w:rsidRDefault="007C28AF">
      <w:pPr>
        <w:pStyle w:val="BodyText"/>
        <w:rPr>
          <w:lang w:eastAsia="zh-CN"/>
        </w:rPr>
      </w:pPr>
      <w:hyperlink w:anchor="footnote-598-4-backlink">
        <w:r>
          <w:rPr>
            <w:lang w:eastAsia="zh-CN"/>
          </w:rPr>
          <w:t>4</w:t>
        </w:r>
      </w:hyperlink>
      <w:r>
        <w:rPr>
          <w:lang w:eastAsia="zh-CN"/>
        </w:rPr>
        <w:t xml:space="preserve"> </w:t>
      </w:r>
      <w:hyperlink r:id="rId11">
        <w:r>
          <w:rPr>
            <w:lang w:eastAsia="zh-CN"/>
          </w:rPr>
          <w:t>香港证券及期货事务监</w:t>
        </w:r>
        <w:r>
          <w:rPr>
            <w:lang w:eastAsia="zh-CN"/>
          </w:rPr>
          <w:t>察委员会诉</w:t>
        </w:r>
        <w:r>
          <w:rPr>
            <w:lang w:eastAsia="zh-CN"/>
          </w:rPr>
          <w:t>Pacific Sun Advisors [2015] HKCFA 27</w:t>
        </w:r>
      </w:hyperlink>
    </w:p>
    <w:p w:rsidR="007C447A" w:rsidRDefault="007C28AF">
      <w:pPr>
        <w:pStyle w:val="BodyText"/>
        <w:rPr>
          <w:lang w:eastAsia="zh-CN"/>
        </w:rPr>
      </w:pPr>
      <w:hyperlink w:anchor="footnote-598-5-backlink">
        <w:r>
          <w:rPr>
            <w:lang w:eastAsia="zh-CN"/>
          </w:rPr>
          <w:t>5</w:t>
        </w:r>
      </w:hyperlink>
      <w:r>
        <w:rPr>
          <w:lang w:eastAsia="zh-CN"/>
        </w:rPr>
        <w:t>证监会</w:t>
      </w:r>
      <w:r>
        <w:rPr>
          <w:lang w:eastAsia="zh-CN"/>
        </w:rPr>
        <w:t>“</w:t>
      </w:r>
      <w:r>
        <w:rPr>
          <w:lang w:eastAsia="zh-CN"/>
        </w:rPr>
        <w:t>关于持牌人或注册人遵守适当性义务的常见问题</w:t>
      </w:r>
      <w:r>
        <w:rPr>
          <w:lang w:eastAsia="zh-CN"/>
        </w:rPr>
        <w:t>”</w:t>
      </w:r>
      <w:r>
        <w:rPr>
          <w:lang w:eastAsia="zh-CN"/>
        </w:rPr>
        <w:t>（</w:t>
      </w:r>
      <w:r>
        <w:rPr>
          <w:lang w:eastAsia="zh-CN"/>
        </w:rPr>
        <w:t>2020</w:t>
      </w:r>
      <w:r>
        <w:rPr>
          <w:lang w:eastAsia="zh-CN"/>
        </w:rPr>
        <w:t>年</w:t>
      </w:r>
      <w:r>
        <w:rPr>
          <w:lang w:eastAsia="zh-CN"/>
        </w:rPr>
        <w:t>12</w:t>
      </w:r>
      <w:r>
        <w:rPr>
          <w:lang w:eastAsia="zh-CN"/>
        </w:rPr>
        <w:t>月</w:t>
      </w:r>
      <w:r>
        <w:rPr>
          <w:lang w:eastAsia="zh-CN"/>
        </w:rPr>
        <w:t>23</w:t>
      </w:r>
      <w:r>
        <w:rPr>
          <w:lang w:eastAsia="zh-CN"/>
        </w:rPr>
        <w:t>日），参阅</w:t>
      </w:r>
      <w:r>
        <w:rPr>
          <w:lang w:eastAsia="zh-CN"/>
        </w:rPr>
        <w:t xml:space="preserve"> </w:t>
      </w:r>
      <w:hyperlink r:id="rId12">
        <w:r>
          <w:rPr>
            <w:lang w:eastAsia="zh-CN"/>
          </w:rPr>
          <w:t>htt</w:t>
        </w:r>
        <w:r>
          <w:rPr>
            <w:lang w:eastAsia="zh-CN"/>
          </w:rPr>
          <w:t>ps://www.sfc.hk/en/faqs/intermediaries/supervision/Compliance-with-Suitability-Obligations/Compliance-with-Suitability-Obligations#759450F3651D4BBF8AAA2F39C9F2BE88</w:t>
        </w:r>
      </w:hyperlink>
    </w:p>
    <w:p w:rsidR="007C447A" w:rsidRDefault="007C28AF">
      <w:pPr>
        <w:pStyle w:val="BodyText"/>
        <w:rPr>
          <w:lang w:eastAsia="zh-CN"/>
        </w:rPr>
      </w:pPr>
      <w:hyperlink w:anchor="footnote-598-6-backlink">
        <w:r>
          <w:rPr>
            <w:lang w:eastAsia="zh-CN"/>
          </w:rPr>
          <w:t>6</w:t>
        </w:r>
      </w:hyperlink>
      <w:r>
        <w:rPr>
          <w:lang w:eastAsia="zh-CN"/>
        </w:rPr>
        <w:t xml:space="preserve"> </w:t>
      </w:r>
      <w:r>
        <w:rPr>
          <w:lang w:eastAsia="zh-CN"/>
        </w:rPr>
        <w:t>证监会致持牌法团分发根据《主板上市规则》第</w:t>
      </w:r>
      <w:r>
        <w:rPr>
          <w:lang w:eastAsia="zh-CN"/>
        </w:rPr>
        <w:t>37</w:t>
      </w:r>
      <w:r>
        <w:rPr>
          <w:lang w:eastAsia="zh-CN"/>
        </w:rPr>
        <w:t>章上市债券及本地非上市私募债券的通函</w:t>
      </w:r>
      <w:r>
        <w:rPr>
          <w:lang w:eastAsia="zh-CN"/>
        </w:rPr>
        <w:t>(20</w:t>
      </w:r>
      <w:r>
        <w:rPr>
          <w:lang w:eastAsia="zh-CN"/>
        </w:rPr>
        <w:t>16</w:t>
      </w:r>
      <w:r>
        <w:rPr>
          <w:lang w:eastAsia="zh-CN"/>
        </w:rPr>
        <w:t>年</w:t>
      </w:r>
      <w:r>
        <w:rPr>
          <w:lang w:eastAsia="zh-CN"/>
        </w:rPr>
        <w:t>3</w:t>
      </w:r>
      <w:r>
        <w:rPr>
          <w:lang w:eastAsia="zh-CN"/>
        </w:rPr>
        <w:t>月</w:t>
      </w:r>
      <w:r>
        <w:rPr>
          <w:lang w:eastAsia="zh-CN"/>
        </w:rPr>
        <w:t>31</w:t>
      </w:r>
      <w:r>
        <w:rPr>
          <w:lang w:eastAsia="zh-CN"/>
        </w:rPr>
        <w:t>日</w:t>
      </w:r>
      <w:r>
        <w:rPr>
          <w:lang w:eastAsia="zh-CN"/>
        </w:rPr>
        <w:t>)</w:t>
      </w:r>
      <w:r>
        <w:rPr>
          <w:lang w:eastAsia="zh-CN"/>
        </w:rPr>
        <w:t>，可于以下网址查阅</w:t>
      </w:r>
      <w:r>
        <w:rPr>
          <w:lang w:eastAsia="zh-CN"/>
        </w:rPr>
        <w:t xml:space="preserve">: </w:t>
      </w:r>
      <w:hyperlink r:id="rId13">
        <w:r>
          <w:rPr>
            <w:lang w:eastAsia="zh-CN"/>
          </w:rPr>
          <w:t>https://apps.sfc.hk/edistributionWeb/gateway/EN/circular/doc?refNo=16EC18</w:t>
        </w:r>
      </w:hyperlink>
    </w:p>
    <w:p w:rsidR="007C447A" w:rsidRDefault="007C28AF">
      <w:pPr>
        <w:pStyle w:val="DisclaimerBold"/>
        <w:rPr>
          <w:lang w:eastAsia="zh-CN"/>
        </w:rPr>
      </w:pPr>
      <w:r>
        <w:rPr>
          <w:lang w:eastAsia="zh-CN"/>
        </w:rPr>
        <w:t>此法讯仅为提供相关资料信息之用，其内容并</w:t>
      </w:r>
    </w:p>
    <w:p w:rsidR="007C447A" w:rsidRDefault="007C28AF">
      <w:pPr>
        <w:pStyle w:val="Disclaimer"/>
        <w:rPr>
          <w:lang w:eastAsia="zh-CN"/>
        </w:rPr>
      </w:pPr>
      <w:r>
        <w:rPr>
          <w:lang w:eastAsia="zh-CN"/>
        </w:rPr>
        <w:t>不构成法律建议及个案的法律分析。</w:t>
      </w:r>
    </w:p>
    <w:p w:rsidR="007C447A" w:rsidRDefault="007C28AF">
      <w:pPr>
        <w:pStyle w:val="Disclaimer"/>
        <w:rPr>
          <w:lang w:eastAsia="zh-CN"/>
        </w:rPr>
      </w:pPr>
      <w:r>
        <w:rPr>
          <w:lang w:eastAsia="zh-CN"/>
        </w:rPr>
        <w:t>此法讯的发送并不是为了在易周律师行与用户或浏览者之间建立</w:t>
      </w:r>
      <w:r>
        <w:rPr>
          <w:lang w:eastAsia="zh-CN"/>
        </w:rPr>
        <w:t>一种律师与客户之关系。</w:t>
      </w:r>
    </w:p>
    <w:p w:rsidR="007C447A" w:rsidRDefault="007C28AF">
      <w:pPr>
        <w:pStyle w:val="Disclaimer"/>
        <w:rPr>
          <w:lang w:eastAsia="zh-CN"/>
        </w:rPr>
      </w:pPr>
      <w:r>
        <w:rPr>
          <w:lang w:eastAsia="zh-CN"/>
        </w:rPr>
        <w:t>易周律师行并不对可从互联网获得的任何第三方内容负责。</w:t>
      </w:r>
    </w:p>
    <w:p w:rsidR="007C447A" w:rsidRDefault="007C28AF">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7C447A" w:rsidRDefault="007C28AF">
      <w:pPr>
        <w:pStyle w:val="BlackStrips"/>
      </w:pPr>
      <w:r>
        <w:t xml:space="preserve">Charltons - </w:t>
      </w:r>
      <w:r>
        <w:t>香港法律</w:t>
      </w:r>
      <w:bookmarkStart w:id="0" w:name="_GoBack"/>
      <w:bookmarkEnd w:id="0"/>
      <w:r>
        <w:t xml:space="preserve"> - 2024</w:t>
      </w:r>
      <w:r>
        <w:t>年</w:t>
      </w:r>
      <w:r>
        <w:t>11</w:t>
      </w:r>
      <w:r>
        <w:t>月</w:t>
      </w:r>
      <w:r>
        <w:t>26</w:t>
      </w:r>
      <w:r>
        <w:t>日</w:t>
      </w:r>
    </w:p>
    <w:sectPr w:rsidR="007C447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28AF">
      <w:pPr>
        <w:spacing w:after="0"/>
      </w:pPr>
      <w:r>
        <w:separator/>
      </w:r>
    </w:p>
  </w:endnote>
  <w:endnote w:type="continuationSeparator" w:id="0">
    <w:p w:rsidR="00000000" w:rsidRDefault="007C2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7A" w:rsidRDefault="007C28AF">
      <w:r>
        <w:separator/>
      </w:r>
    </w:p>
  </w:footnote>
  <w:footnote w:type="continuationSeparator" w:id="0">
    <w:p w:rsidR="007C447A" w:rsidRDefault="007C2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76C28C2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E68D1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AA893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C28AF"/>
    <w:rsid w:val="007C447A"/>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DE2D"/>
  <w15:docId w15:val="{A7706D10-70CF-40A4-9094-6F45237C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conclusion?lang=EN&amp;refNo=21CP3" TargetMode="External"/><Relationship Id="rId13" Type="http://schemas.openxmlformats.org/officeDocument/2006/relationships/hyperlink" Target="https://apps.sfc.hk/edistributionWeb/gateway/EN/circular/doc?refNo=16EC18%20" TargetMode="External"/><Relationship Id="rId3" Type="http://schemas.openxmlformats.org/officeDocument/2006/relationships/settings" Target="settings.xml"/><Relationship Id="rId7" Type="http://schemas.openxmlformats.org/officeDocument/2006/relationships/hyperlink" Target="http://www.charltonslaw.com.cn/xiang-gang-jiang-nei-mu-jiao-yi-zhi-du-de-guan-xia-fan-wei-kuo-da-zhi-jing-wai-zheng-quan-ji-jiao-yi" TargetMode="External"/><Relationship Id="rId12" Type="http://schemas.openxmlformats.org/officeDocument/2006/relationships/hyperlink" Target="https://www.sfc.hk/en/faqs/intermediaries/supervision/Compliance-with-Suitability-Obligations/Compl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ref.judiciary.hk/lrs/common/search/search_result_detail_frame.jsp?DIS=97598&amp;QS=%28section%2B103%5C%283%5C%29%5C%28k%5C%29%29%7C%28securities%2B%7Band%7D%2Bfutures%2Bordinance%29%7C%28professional%2Binvestor%29&amp;TP=J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arltonslaw.com.cn/xiang-gang-zheng-jian-hui-jian-yi-dui-zheng-quan-ji-qi-huo-tiao-li-zhi-fa-zhi-du-zuo-zhong-da-xiu-ding/" TargetMode="External"/><Relationship Id="rId4" Type="http://schemas.openxmlformats.org/officeDocument/2006/relationships/webSettings" Target="webSettings.xml"/><Relationship Id="rId9" Type="http://schemas.openxmlformats.org/officeDocument/2006/relationships/hyperlink" Target="https://apps.sfc.hk/edistributionWeb/api/consultation/openFile?lang=EN&amp;refNo=21CP3"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1595</Words>
  <Characters>9096</Characters>
  <Application>Microsoft Office Word</Application>
  <DocSecurity>0</DocSecurity>
  <Lines>75</Lines>
  <Paragraphs>21</Paragraphs>
  <ScaleCrop>false</ScaleCrop>
  <Company>Charltons</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2024-11-26T08:59:00Z</dcterms:created>
  <dcterms:modified xsi:type="dcterms:W3CDTF">2024-11-26T09:06:00Z</dcterms:modified>
</cp:coreProperties>
</file>