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0C4" w:rsidRDefault="0034794B">
      <w:pPr>
        <w:pStyle w:val="BlackStrips"/>
      </w:pPr>
      <w:r>
        <w:t xml:space="preserve">Charltons - </w:t>
      </w:r>
      <w:r>
        <w:t>香港法律</w:t>
      </w:r>
      <w:r>
        <w:t xml:space="preserve"> - 2025</w:t>
      </w:r>
      <w:r>
        <w:t>年</w:t>
      </w:r>
      <w:r>
        <w:t>2</w:t>
      </w:r>
      <w:r>
        <w:t>月</w:t>
      </w:r>
      <w:r>
        <w:t>12</w:t>
      </w:r>
      <w:r>
        <w:t>日</w:t>
      </w:r>
    </w:p>
    <w:p w:rsidR="008130C4" w:rsidRDefault="0034794B">
      <w:pPr>
        <w:pStyle w:val="ReadOnline"/>
        <w:rPr>
          <w:lang w:eastAsia="zh-CN"/>
        </w:rPr>
      </w:pPr>
      <w:hyperlink r:id="rId7">
        <w:r>
          <w:rPr>
            <w:lang w:eastAsia="zh-CN"/>
          </w:rPr>
          <w:t>online version</w:t>
        </w:r>
      </w:hyperlink>
    </w:p>
    <w:p w:rsidR="008130C4" w:rsidRDefault="0034794B">
      <w:pPr>
        <w:pStyle w:val="Title"/>
        <w:rPr>
          <w:lang w:eastAsia="zh-CN"/>
        </w:rPr>
      </w:pPr>
      <w:r>
        <w:rPr>
          <w:lang w:eastAsia="zh-CN"/>
        </w:rPr>
        <w:t>香港拟议的公司迁册制度</w:t>
      </w:r>
    </w:p>
    <w:p w:rsidR="008130C4" w:rsidRDefault="0034794B">
      <w:pPr>
        <w:pStyle w:val="FirstParagraph"/>
        <w:rPr>
          <w:lang w:eastAsia="zh-CN"/>
        </w:rPr>
      </w:pPr>
      <w:r>
        <w:rPr>
          <w:lang w:eastAsia="zh-CN"/>
        </w:rPr>
        <w:t>2024</w:t>
      </w:r>
      <w:r>
        <w:rPr>
          <w:lang w:eastAsia="zh-CN"/>
        </w:rPr>
        <w:t>年</w:t>
      </w:r>
      <w:r>
        <w:rPr>
          <w:lang w:eastAsia="zh-CN"/>
        </w:rPr>
        <w:t>7</w:t>
      </w:r>
      <w:r>
        <w:rPr>
          <w:lang w:eastAsia="zh-CN"/>
        </w:rPr>
        <w:t>月，香港财经事务及库务局（</w:t>
      </w:r>
      <w:r>
        <w:rPr>
          <w:b/>
          <w:lang w:eastAsia="zh-CN"/>
        </w:rPr>
        <w:t>FSTB</w:t>
      </w:r>
      <w:r>
        <w:rPr>
          <w:lang w:eastAsia="zh-CN"/>
        </w:rPr>
        <w:t>）公布了其关于拟引入的迁册制度的</w:t>
      </w:r>
      <w:hyperlink r:id="rId8">
        <w:r>
          <w:rPr>
            <w:lang w:eastAsia="zh-CN"/>
          </w:rPr>
          <w:t>谘询总结</w:t>
        </w:r>
      </w:hyperlink>
      <w:hyperlink w:anchor="footnote-598-1">
        <w:r>
          <w:rPr>
            <w:vertAlign w:val="superscript"/>
            <w:lang w:eastAsia="zh-CN"/>
          </w:rPr>
          <w:t>1</w:t>
        </w:r>
      </w:hyperlink>
      <w:r>
        <w:rPr>
          <w:lang w:eastAsia="zh-CN"/>
        </w:rPr>
        <w:t>，该制度如</w:t>
      </w:r>
      <w:r>
        <w:rPr>
          <w:lang w:eastAsia="zh-CN"/>
        </w:rPr>
        <w:t>2023</w:t>
      </w:r>
      <w:r>
        <w:rPr>
          <w:lang w:eastAsia="zh-CN"/>
        </w:rPr>
        <w:t>年</w:t>
      </w:r>
      <w:r>
        <w:rPr>
          <w:lang w:eastAsia="zh-CN"/>
        </w:rPr>
        <w:t>3</w:t>
      </w:r>
      <w:r>
        <w:rPr>
          <w:lang w:eastAsia="zh-CN"/>
        </w:rPr>
        <w:t>月的</w:t>
      </w:r>
      <w:hyperlink r:id="rId9">
        <w:r>
          <w:rPr>
            <w:lang w:eastAsia="zh-CN"/>
          </w:rPr>
          <w:t>咨询文件</w:t>
        </w:r>
      </w:hyperlink>
      <w:hyperlink w:anchor="footnote-598-2">
        <w:r>
          <w:rPr>
            <w:vertAlign w:val="superscript"/>
            <w:lang w:eastAsia="zh-CN"/>
          </w:rPr>
          <w:t>2</w:t>
        </w:r>
      </w:hyperlink>
      <w:r>
        <w:rPr>
          <w:lang w:eastAsia="zh-CN"/>
        </w:rPr>
        <w:t>中所述，允许在香港以外注册成立的公司迁册至香港。</w:t>
      </w:r>
    </w:p>
    <w:p w:rsidR="008130C4" w:rsidRDefault="0034794B">
      <w:pPr>
        <w:pStyle w:val="BodyText"/>
        <w:rPr>
          <w:lang w:eastAsia="zh-CN"/>
        </w:rPr>
      </w:pPr>
      <w:r>
        <w:rPr>
          <w:lang w:eastAsia="zh-CN"/>
        </w:rPr>
        <w:t>行政长官李家超在</w:t>
      </w:r>
      <w:r>
        <w:rPr>
          <w:lang w:eastAsia="zh-CN"/>
        </w:rPr>
        <w:t>2024</w:t>
      </w:r>
      <w:r>
        <w:rPr>
          <w:lang w:eastAsia="zh-CN"/>
        </w:rPr>
        <w:t>年</w:t>
      </w:r>
      <w:r>
        <w:rPr>
          <w:lang w:eastAsia="zh-CN"/>
        </w:rPr>
        <w:t>10</w:t>
      </w:r>
      <w:r>
        <w:rPr>
          <w:lang w:eastAsia="zh-CN"/>
        </w:rPr>
        <w:t>月</w:t>
      </w:r>
      <w:r>
        <w:rPr>
          <w:lang w:eastAsia="zh-CN"/>
        </w:rPr>
        <w:t>16</w:t>
      </w:r>
      <w:r>
        <w:rPr>
          <w:lang w:eastAsia="zh-CN"/>
        </w:rPr>
        <w:t>日发表的</w:t>
      </w:r>
      <w:hyperlink r:id="rId10">
        <w:r>
          <w:rPr>
            <w:lang w:eastAsia="zh-CN"/>
          </w:rPr>
          <w:t>2024</w:t>
        </w:r>
        <w:r>
          <w:rPr>
            <w:lang w:eastAsia="zh-CN"/>
          </w:rPr>
          <w:t>年施政报告</w:t>
        </w:r>
      </w:hyperlink>
      <w:hyperlink w:anchor="footnote-598-3">
        <w:r>
          <w:rPr>
            <w:vertAlign w:val="superscript"/>
            <w:lang w:eastAsia="zh-CN"/>
          </w:rPr>
          <w:t>3</w:t>
        </w:r>
      </w:hyperlink>
      <w:r>
        <w:rPr>
          <w:lang w:eastAsia="zh-CN"/>
        </w:rPr>
        <w:t>中宣布，财经事务及库务局将于今年提交法案以实施香港迁册制度，香港政府致力于吸引更多离岸公司在香港设立总部或分部业务。有关行政长官</w:t>
      </w:r>
      <w:r>
        <w:rPr>
          <w:lang w:eastAsia="zh-CN"/>
        </w:rPr>
        <w:t>2024</w:t>
      </w:r>
      <w:r>
        <w:rPr>
          <w:lang w:eastAsia="zh-CN"/>
        </w:rPr>
        <w:t>年施政报告的更多详情，请参阅我们</w:t>
      </w:r>
      <w:hyperlink r:id="rId11">
        <w:r>
          <w:rPr>
            <w:lang w:eastAsia="zh-CN"/>
          </w:rPr>
          <w:t>2024</w:t>
        </w:r>
        <w:r>
          <w:rPr>
            <w:lang w:eastAsia="zh-CN"/>
          </w:rPr>
          <w:t>年</w:t>
        </w:r>
        <w:r>
          <w:rPr>
            <w:lang w:eastAsia="zh-CN"/>
          </w:rPr>
          <w:t>10</w:t>
        </w:r>
        <w:r>
          <w:rPr>
            <w:lang w:eastAsia="zh-CN"/>
          </w:rPr>
          <w:t>月的时事通讯</w:t>
        </w:r>
      </w:hyperlink>
      <w:r>
        <w:rPr>
          <w:lang w:eastAsia="zh-CN"/>
        </w:rPr>
        <w:t>；有关财经事务及库务局《有关香港拟议公司迁册制度的咨询文件》的详情，请参阅我们</w:t>
      </w:r>
      <w:hyperlink r:id="rId12">
        <w:r>
          <w:rPr>
            <w:lang w:eastAsia="zh-CN"/>
          </w:rPr>
          <w:t>2023</w:t>
        </w:r>
        <w:r>
          <w:rPr>
            <w:lang w:eastAsia="zh-CN"/>
          </w:rPr>
          <w:t>年</w:t>
        </w:r>
        <w:r>
          <w:rPr>
            <w:lang w:eastAsia="zh-CN"/>
          </w:rPr>
          <w:t>6</w:t>
        </w:r>
        <w:r>
          <w:rPr>
            <w:lang w:eastAsia="zh-CN"/>
          </w:rPr>
          <w:t>月的时事通讯</w:t>
        </w:r>
      </w:hyperlink>
      <w:r>
        <w:rPr>
          <w:lang w:eastAsia="zh-CN"/>
        </w:rPr>
        <w:t>。</w:t>
      </w:r>
    </w:p>
    <w:p w:rsidR="008130C4" w:rsidRDefault="0034794B">
      <w:pPr>
        <w:pStyle w:val="BodyText"/>
        <w:rPr>
          <w:lang w:eastAsia="zh-CN"/>
        </w:rPr>
      </w:pPr>
      <w:r>
        <w:rPr>
          <w:lang w:eastAsia="zh-CN"/>
        </w:rPr>
        <w:t>在引入基金迁册制度，允许以公司或有限合伙形式设立的离岸基金迁册至香港成</w:t>
      </w:r>
      <w:r>
        <w:rPr>
          <w:lang w:eastAsia="zh-CN"/>
        </w:rPr>
        <w:t>为开放式基金公司或有限合伙基金后，香港政府现提议建立一个法律制度，允许在海外司法管辖区注册成立的公司将其注册地迁至香港，同时保持其法律身份以及迁册前公司行为的有效性。其目的是为海外公司将注册地迁至香港提供一种简化且具有成本效益的方式，避免了在原注册地清算公司并在香港设立新公司的需要。</w:t>
      </w:r>
    </w:p>
    <w:p w:rsidR="008130C4" w:rsidRDefault="0034794B">
      <w:pPr>
        <w:pStyle w:val="BodyText"/>
        <w:rPr>
          <w:lang w:eastAsia="zh-CN"/>
        </w:rPr>
      </w:pPr>
      <w:r>
        <w:rPr>
          <w:lang w:eastAsia="zh-CN"/>
        </w:rPr>
        <w:t>拟议的制度将由香港公司注册处处长管理，处长将批准或拒绝迁册至香港的申请。</w:t>
      </w:r>
    </w:p>
    <w:p w:rsidR="008130C4" w:rsidRPr="006909B6" w:rsidRDefault="0034794B">
      <w:pPr>
        <w:pStyle w:val="BodyText"/>
        <w:rPr>
          <w:b/>
          <w:color w:val="FF0000"/>
          <w:lang w:eastAsia="zh-CN"/>
        </w:rPr>
      </w:pPr>
      <w:r w:rsidRPr="006909B6">
        <w:rPr>
          <w:b/>
          <w:color w:val="FF0000"/>
          <w:lang w:eastAsia="zh-CN"/>
        </w:rPr>
        <w:t>迁册至香港后的法律效力</w:t>
      </w:r>
    </w:p>
    <w:p w:rsidR="008130C4" w:rsidRDefault="0034794B">
      <w:pPr>
        <w:pStyle w:val="BodyText"/>
        <w:rPr>
          <w:lang w:eastAsia="zh-CN"/>
        </w:rPr>
      </w:pPr>
      <w:r>
        <w:rPr>
          <w:lang w:eastAsia="zh-CN"/>
        </w:rPr>
        <w:t>在拟议的制度下，迁册公司的法律身份、财产、权利、义务和合同将得到保留。此外，迁册公司将享有与其他在香港注册成立的公司相同的权利，</w:t>
      </w:r>
      <w:r>
        <w:rPr>
          <w:lang w:eastAsia="zh-CN"/>
        </w:rPr>
        <w:t>并承担香港公司法规定的相同义务。财经事务及库务局已明确，这些义务包括根据《香港公司条例》（香港法例第</w:t>
      </w:r>
      <w:r>
        <w:rPr>
          <w:lang w:eastAsia="zh-CN"/>
        </w:rPr>
        <w:t>622</w:t>
      </w:r>
      <w:r>
        <w:rPr>
          <w:lang w:eastAsia="zh-CN"/>
        </w:rPr>
        <w:t>章）（</w:t>
      </w:r>
      <w:r>
        <w:rPr>
          <w:b/>
          <w:lang w:eastAsia="zh-CN"/>
        </w:rPr>
        <w:t>《香港公司条例》</w:t>
      </w:r>
      <w:r>
        <w:rPr>
          <w:lang w:eastAsia="zh-CN"/>
        </w:rPr>
        <w:t>）第</w:t>
      </w:r>
      <w:r>
        <w:rPr>
          <w:lang w:eastAsia="zh-CN"/>
        </w:rPr>
        <w:t>474</w:t>
      </w:r>
      <w:r>
        <w:rPr>
          <w:lang w:eastAsia="zh-CN"/>
        </w:rPr>
        <w:t>条任命一名公司秘书，而这在公司原注册地的法律下可能并非必需。</w:t>
      </w:r>
    </w:p>
    <w:p w:rsidR="008130C4" w:rsidRPr="006909B6" w:rsidRDefault="0034794B">
      <w:pPr>
        <w:pStyle w:val="BodyText"/>
        <w:rPr>
          <w:b/>
          <w:color w:val="FF0000"/>
          <w:lang w:eastAsia="zh-CN"/>
        </w:rPr>
      </w:pPr>
      <w:r w:rsidRPr="006909B6">
        <w:rPr>
          <w:b/>
          <w:color w:val="FF0000"/>
          <w:lang w:eastAsia="zh-CN"/>
        </w:rPr>
        <w:t>仅向内迁册</w:t>
      </w:r>
    </w:p>
    <w:p w:rsidR="008130C4" w:rsidRDefault="0034794B">
      <w:pPr>
        <w:pStyle w:val="BodyText"/>
        <w:rPr>
          <w:lang w:eastAsia="zh-CN"/>
        </w:rPr>
      </w:pPr>
      <w:r>
        <w:rPr>
          <w:lang w:eastAsia="zh-CN"/>
        </w:rPr>
        <w:t>财经事务及库务局在其谘询总结中确认，鉴于目前对外迁册制度的需求不足，现阶段不会引入允许在香港注册成立的公司向外迁册的制度。</w:t>
      </w:r>
    </w:p>
    <w:p w:rsidR="008130C4" w:rsidRPr="001318E7" w:rsidRDefault="0034794B">
      <w:pPr>
        <w:pStyle w:val="BodyText"/>
        <w:rPr>
          <w:b/>
          <w:color w:val="FF0000"/>
          <w:lang w:eastAsia="zh-CN"/>
        </w:rPr>
      </w:pPr>
      <w:r w:rsidRPr="001318E7">
        <w:rPr>
          <w:b/>
          <w:color w:val="FF0000"/>
          <w:lang w:eastAsia="zh-CN"/>
        </w:rPr>
        <w:t>香港公司迁册无需通过经济实质测试</w:t>
      </w:r>
    </w:p>
    <w:p w:rsidR="008130C4" w:rsidRDefault="0034794B">
      <w:pPr>
        <w:pStyle w:val="BodyText"/>
        <w:rPr>
          <w:lang w:eastAsia="zh-CN"/>
        </w:rPr>
      </w:pPr>
      <w:r>
        <w:rPr>
          <w:lang w:eastAsia="zh-CN"/>
        </w:rPr>
        <w:t>在拟议的制度下，申请迁册的公司无需通过经济实质测试。财经事务及库务局希望迁册制度能为各种规模和层级的公司（包括控股公司）所使用。</w:t>
      </w:r>
    </w:p>
    <w:p w:rsidR="008130C4" w:rsidRPr="001318E7" w:rsidRDefault="0034794B">
      <w:pPr>
        <w:pStyle w:val="BodyText"/>
        <w:rPr>
          <w:b/>
          <w:color w:val="FF0000"/>
          <w:lang w:eastAsia="zh-CN"/>
        </w:rPr>
      </w:pPr>
      <w:r w:rsidRPr="001318E7">
        <w:rPr>
          <w:b/>
          <w:color w:val="FF0000"/>
          <w:lang w:eastAsia="zh-CN"/>
        </w:rPr>
        <w:t>迁册至香港的</w:t>
      </w:r>
      <w:r w:rsidRPr="001318E7">
        <w:rPr>
          <w:b/>
          <w:color w:val="FF0000"/>
          <w:lang w:eastAsia="zh-CN"/>
        </w:rPr>
        <w:t>公司的资格要求</w:t>
      </w:r>
    </w:p>
    <w:p w:rsidR="008130C4" w:rsidRDefault="0034794B">
      <w:pPr>
        <w:pStyle w:val="BodyText"/>
        <w:rPr>
          <w:lang w:eastAsia="zh-CN"/>
        </w:rPr>
      </w:pPr>
      <w:r>
        <w:rPr>
          <w:lang w:eastAsia="zh-CN"/>
        </w:rPr>
        <w:t>迁册至香港的公司的主要资格准则总结如下。</w:t>
      </w:r>
    </w:p>
    <w:p w:rsidR="008130C4" w:rsidRPr="001318E7" w:rsidRDefault="0034794B">
      <w:pPr>
        <w:pStyle w:val="BodyText"/>
        <w:rPr>
          <w:b/>
          <w:lang w:eastAsia="zh-CN"/>
        </w:rPr>
      </w:pPr>
      <w:r w:rsidRPr="001318E7">
        <w:rPr>
          <w:b/>
          <w:lang w:eastAsia="zh-CN"/>
        </w:rPr>
        <w:t>公司类型：</w:t>
      </w:r>
    </w:p>
    <w:p w:rsidR="008130C4" w:rsidRDefault="0034794B">
      <w:pPr>
        <w:pStyle w:val="BodyText"/>
        <w:rPr>
          <w:lang w:eastAsia="zh-CN"/>
        </w:rPr>
      </w:pPr>
      <w:r>
        <w:rPr>
          <w:lang w:eastAsia="zh-CN"/>
        </w:rPr>
        <w:t>该公司需要与根据《公司条例》可注册成立的以下类型公司中的一种形式相同或基本相同：</w:t>
      </w:r>
    </w:p>
    <w:p w:rsidR="008130C4" w:rsidRDefault="0034794B">
      <w:pPr>
        <w:pStyle w:val="Compact"/>
        <w:numPr>
          <w:ilvl w:val="0"/>
          <w:numId w:val="3"/>
        </w:numPr>
      </w:pPr>
      <w:r>
        <w:t>私人股份有限公司；</w:t>
      </w:r>
    </w:p>
    <w:p w:rsidR="008130C4" w:rsidRDefault="0034794B">
      <w:pPr>
        <w:pStyle w:val="Compact"/>
        <w:numPr>
          <w:ilvl w:val="0"/>
          <w:numId w:val="3"/>
        </w:numPr>
      </w:pPr>
      <w:r>
        <w:t>公众股份有限公司；</w:t>
      </w:r>
    </w:p>
    <w:p w:rsidR="008130C4" w:rsidRDefault="0034794B">
      <w:pPr>
        <w:pStyle w:val="Compact"/>
        <w:numPr>
          <w:ilvl w:val="0"/>
          <w:numId w:val="3"/>
        </w:numPr>
        <w:rPr>
          <w:lang w:eastAsia="zh-CN"/>
        </w:rPr>
      </w:pPr>
      <w:r>
        <w:rPr>
          <w:lang w:eastAsia="zh-CN"/>
        </w:rPr>
        <w:t>有股本的私人无限公司；</w:t>
      </w:r>
    </w:p>
    <w:p w:rsidR="008130C4" w:rsidRDefault="0034794B">
      <w:pPr>
        <w:pStyle w:val="Compact"/>
        <w:numPr>
          <w:ilvl w:val="0"/>
          <w:numId w:val="3"/>
        </w:numPr>
        <w:rPr>
          <w:lang w:eastAsia="zh-CN"/>
        </w:rPr>
      </w:pPr>
      <w:r>
        <w:rPr>
          <w:lang w:eastAsia="zh-CN"/>
        </w:rPr>
        <w:t>有股本的公众无限公司。</w:t>
      </w:r>
    </w:p>
    <w:p w:rsidR="008130C4" w:rsidRDefault="0034794B">
      <w:pPr>
        <w:pStyle w:val="FirstParagraph"/>
        <w:rPr>
          <w:lang w:eastAsia="zh-CN"/>
        </w:rPr>
      </w:pPr>
      <w:r>
        <w:rPr>
          <w:lang w:eastAsia="zh-CN"/>
        </w:rPr>
        <w:t>通常为非营利组织的无股本担保有限公司将没有资格迁册至香港。</w:t>
      </w:r>
    </w:p>
    <w:p w:rsidR="008130C4" w:rsidRDefault="0034794B">
      <w:pPr>
        <w:pStyle w:val="BodyText"/>
        <w:rPr>
          <w:lang w:eastAsia="zh-CN"/>
        </w:rPr>
      </w:pPr>
      <w:r>
        <w:rPr>
          <w:lang w:eastAsia="zh-CN"/>
        </w:rPr>
        <w:lastRenderedPageBreak/>
        <w:t>鉴于要保留迁册公司的法律身份这一目标，财经事务及库务局已明确，公司在迁册过程中不得改变其公司类型。</w:t>
      </w:r>
    </w:p>
    <w:p w:rsidR="008130C4" w:rsidRPr="001318E7" w:rsidRDefault="0034794B">
      <w:pPr>
        <w:pStyle w:val="BodyText"/>
        <w:rPr>
          <w:b/>
          <w:lang w:eastAsia="zh-CN"/>
        </w:rPr>
      </w:pPr>
      <w:r w:rsidRPr="001318E7">
        <w:rPr>
          <w:b/>
          <w:lang w:eastAsia="zh-CN"/>
        </w:rPr>
        <w:t>迁册公司遵守其注册地司法管辖区法律</w:t>
      </w:r>
    </w:p>
    <w:p w:rsidR="008130C4" w:rsidRDefault="0034794B">
      <w:pPr>
        <w:pStyle w:val="BodyText"/>
        <w:rPr>
          <w:lang w:eastAsia="zh-CN"/>
        </w:rPr>
      </w:pPr>
      <w:r>
        <w:rPr>
          <w:lang w:eastAsia="zh-CN"/>
        </w:rPr>
        <w:t>公司原注册地的法律必须允许向外迁册至其他司法管辖区。例如，最初在开曼群岛注册</w:t>
      </w:r>
      <w:r>
        <w:rPr>
          <w:lang w:eastAsia="zh-CN"/>
        </w:rPr>
        <w:t>成立的公司可能有资格迁册至香港，因为《开曼有限责任公司法》允许向外迁册，而新加坡没有向外迁册制度。其他一些司法管辖区允许向外迁册至特定司法管辖区。例如，百慕大允许向外迁册至</w:t>
      </w:r>
      <w:r>
        <w:rPr>
          <w:lang w:eastAsia="zh-CN"/>
        </w:rPr>
        <w:t>“</w:t>
      </w:r>
      <w:r>
        <w:rPr>
          <w:lang w:eastAsia="zh-CN"/>
        </w:rPr>
        <w:t>指定司法管辖区</w:t>
      </w:r>
      <w:r>
        <w:rPr>
          <w:lang w:eastAsia="zh-CN"/>
        </w:rPr>
        <w:t>”</w:t>
      </w:r>
      <w:r>
        <w:rPr>
          <w:lang w:eastAsia="zh-CN"/>
        </w:rPr>
        <w:t>，目前这些司法管辖区不包括香港。</w:t>
      </w:r>
    </w:p>
    <w:p w:rsidR="008130C4" w:rsidRDefault="0034794B">
      <w:pPr>
        <w:pStyle w:val="BodyText"/>
        <w:rPr>
          <w:lang w:eastAsia="zh-CN"/>
        </w:rPr>
      </w:pPr>
      <w:r>
        <w:rPr>
          <w:lang w:eastAsia="zh-CN"/>
        </w:rPr>
        <w:t>迁册公司必须满足原注册地法律下向外迁册的所有要求。这些要求可能包括股东批准、债权人通知和其他批准要求。</w:t>
      </w:r>
    </w:p>
    <w:p w:rsidR="008130C4" w:rsidRPr="0034794B" w:rsidRDefault="0034794B">
      <w:pPr>
        <w:pStyle w:val="BodyText"/>
        <w:rPr>
          <w:b/>
          <w:lang w:eastAsia="zh-CN"/>
        </w:rPr>
      </w:pPr>
      <w:r w:rsidRPr="0034794B">
        <w:rPr>
          <w:b/>
          <w:lang w:eastAsia="zh-CN"/>
        </w:rPr>
        <w:t>公司年限</w:t>
      </w:r>
    </w:p>
    <w:p w:rsidR="008130C4" w:rsidRDefault="0034794B">
      <w:pPr>
        <w:pStyle w:val="BodyText"/>
        <w:rPr>
          <w:lang w:eastAsia="zh-CN"/>
        </w:rPr>
      </w:pPr>
      <w:r>
        <w:rPr>
          <w:lang w:eastAsia="zh-CN"/>
        </w:rPr>
        <w:t>在向香港提交迁册申请前，公司必须已注册成立至少一个财政年度。</w:t>
      </w:r>
    </w:p>
    <w:p w:rsidR="008130C4" w:rsidRPr="0034794B" w:rsidRDefault="0034794B">
      <w:pPr>
        <w:pStyle w:val="BodyText"/>
        <w:rPr>
          <w:b/>
          <w:lang w:eastAsia="zh-CN"/>
        </w:rPr>
      </w:pPr>
      <w:r w:rsidRPr="0034794B">
        <w:rPr>
          <w:b/>
          <w:lang w:eastAsia="zh-CN"/>
        </w:rPr>
        <w:t>诚信要求</w:t>
      </w:r>
    </w:p>
    <w:p w:rsidR="008130C4" w:rsidRDefault="0034794B">
      <w:pPr>
        <w:pStyle w:val="BodyText"/>
        <w:rPr>
          <w:lang w:eastAsia="zh-CN"/>
        </w:rPr>
      </w:pPr>
      <w:r>
        <w:rPr>
          <w:lang w:eastAsia="zh-CN"/>
        </w:rPr>
        <w:t>不得有将迁册后的公司用于非法目的，或从事违背香港公共利益或危及香港国家安全活动的意图。在拟议的制度下，迁册公司必须遵守与迁册相关的《香港公司条例》的要求，这些要求将与本地注册成立的公司的注册要求基本相同。</w:t>
      </w:r>
    </w:p>
    <w:p w:rsidR="008130C4" w:rsidRPr="0034794B" w:rsidRDefault="0034794B">
      <w:pPr>
        <w:pStyle w:val="BodyText"/>
        <w:rPr>
          <w:b/>
          <w:lang w:eastAsia="zh-CN"/>
        </w:rPr>
      </w:pPr>
      <w:r w:rsidRPr="0034794B">
        <w:rPr>
          <w:b/>
          <w:lang w:eastAsia="zh-CN"/>
        </w:rPr>
        <w:t>偿付能力</w:t>
      </w:r>
    </w:p>
    <w:p w:rsidR="008130C4" w:rsidRDefault="0034794B">
      <w:pPr>
        <w:pStyle w:val="BodyText"/>
        <w:rPr>
          <w:lang w:eastAsia="zh-CN"/>
        </w:rPr>
      </w:pPr>
      <w:r>
        <w:rPr>
          <w:lang w:eastAsia="zh-CN"/>
        </w:rPr>
        <w:t>公司在申请迁册时必须具有偿付能力且並非正在清盘。如下文进一步讨论的，公司将需要提交财务报表和其他文件以证明公司的偿付能力。</w:t>
      </w:r>
    </w:p>
    <w:p w:rsidR="008130C4" w:rsidRPr="0034794B" w:rsidRDefault="0034794B">
      <w:pPr>
        <w:pStyle w:val="BodyText"/>
        <w:rPr>
          <w:b/>
          <w:lang w:eastAsia="zh-CN"/>
        </w:rPr>
      </w:pPr>
      <w:r w:rsidRPr="0034794B">
        <w:rPr>
          <w:b/>
          <w:lang w:eastAsia="zh-CN"/>
        </w:rPr>
        <w:t>债权人保护及股东对迁册至香港的同意</w:t>
      </w:r>
    </w:p>
    <w:p w:rsidR="008130C4" w:rsidRDefault="0034794B">
      <w:pPr>
        <w:pStyle w:val="BodyText"/>
        <w:rPr>
          <w:lang w:eastAsia="zh-CN"/>
        </w:rPr>
      </w:pPr>
      <w:r>
        <w:rPr>
          <w:lang w:eastAsia="zh-CN"/>
        </w:rPr>
        <w:t>在拟议的制度下，迁册申请必须真诚地提出，且该安排不得旨在欺诈公司的债权人。</w:t>
      </w:r>
    </w:p>
    <w:p w:rsidR="008130C4" w:rsidRDefault="0034794B">
      <w:pPr>
        <w:pStyle w:val="BodyText"/>
        <w:rPr>
          <w:lang w:eastAsia="zh-CN"/>
        </w:rPr>
      </w:pPr>
      <w:r>
        <w:rPr>
          <w:lang w:eastAsia="zh-CN"/>
        </w:rPr>
        <w:t>公司的迁册需要得到其股东的批准。如果公司原注册地的法律或公司</w:t>
      </w:r>
      <w:r>
        <w:rPr>
          <w:lang w:eastAsia="zh-CN"/>
        </w:rPr>
        <w:t>章程文件均不要求股东批准公司迁册，那么迁册必须经至少</w:t>
      </w:r>
      <w:r>
        <w:rPr>
          <w:lang w:eastAsia="zh-CN"/>
        </w:rPr>
        <w:t>75%</w:t>
      </w:r>
      <w:r>
        <w:rPr>
          <w:lang w:eastAsia="zh-CN"/>
        </w:rPr>
        <w:t>有权投票表决的股东通过的特别决议批准。否则，股东的批准必须按照公司注册地的法律要求和</w:t>
      </w:r>
      <w:r>
        <w:rPr>
          <w:lang w:eastAsia="zh-CN"/>
        </w:rPr>
        <w:t>/</w:t>
      </w:r>
      <w:r>
        <w:rPr>
          <w:lang w:eastAsia="zh-CN"/>
        </w:rPr>
        <w:t>或公司章程文件给予。</w:t>
      </w:r>
    </w:p>
    <w:p w:rsidR="008130C4" w:rsidRPr="0034794B" w:rsidRDefault="0034794B">
      <w:pPr>
        <w:pStyle w:val="BodyText"/>
        <w:rPr>
          <w:b/>
          <w:color w:val="FF0000"/>
          <w:lang w:eastAsia="zh-CN"/>
        </w:rPr>
      </w:pPr>
      <w:r w:rsidRPr="0034794B">
        <w:rPr>
          <w:b/>
          <w:color w:val="FF0000"/>
          <w:lang w:eastAsia="zh-CN"/>
        </w:rPr>
        <w:t>公司迁册至香港的申请文件</w:t>
      </w:r>
    </w:p>
    <w:p w:rsidR="008130C4" w:rsidRDefault="0034794B">
      <w:pPr>
        <w:pStyle w:val="BodyText"/>
        <w:rPr>
          <w:lang w:eastAsia="zh-CN"/>
        </w:rPr>
      </w:pPr>
      <w:r>
        <w:rPr>
          <w:lang w:eastAsia="zh-CN"/>
        </w:rPr>
        <w:t>为申请迁册至香港，公司需要向香港公司注册处处长提交以下文件：</w:t>
      </w:r>
    </w:p>
    <w:p w:rsidR="008130C4" w:rsidRDefault="0034794B">
      <w:pPr>
        <w:pStyle w:val="Compact"/>
        <w:numPr>
          <w:ilvl w:val="0"/>
          <w:numId w:val="4"/>
        </w:numPr>
        <w:rPr>
          <w:lang w:eastAsia="zh-CN"/>
        </w:rPr>
      </w:pPr>
      <w:r>
        <w:rPr>
          <w:lang w:eastAsia="zh-CN"/>
        </w:rPr>
        <w:t>申请表，其中列出：（</w:t>
      </w:r>
      <w:r>
        <w:rPr>
          <w:lang w:eastAsia="zh-CN"/>
        </w:rPr>
        <w:t>i</w:t>
      </w:r>
      <w:r>
        <w:rPr>
          <w:lang w:eastAsia="zh-CN"/>
        </w:rPr>
        <w:t>）公司原名称和拟用名称；（</w:t>
      </w:r>
      <w:r>
        <w:rPr>
          <w:lang w:eastAsia="zh-CN"/>
        </w:rPr>
        <w:t>ii</w:t>
      </w:r>
      <w:r>
        <w:rPr>
          <w:lang w:eastAsia="zh-CN"/>
        </w:rPr>
        <w:t>）公司原注册地；（</w:t>
      </w:r>
      <w:r>
        <w:rPr>
          <w:lang w:eastAsia="zh-CN"/>
        </w:rPr>
        <w:t>iii</w:t>
      </w:r>
      <w:r>
        <w:rPr>
          <w:lang w:eastAsia="zh-CN"/>
        </w:rPr>
        <w:t>）公司是否已根据《公司条例》第</w:t>
      </w:r>
      <w:r>
        <w:rPr>
          <w:lang w:eastAsia="zh-CN"/>
        </w:rPr>
        <w:t xml:space="preserve"> 16 </w:t>
      </w:r>
      <w:r>
        <w:rPr>
          <w:lang w:eastAsia="zh-CN"/>
        </w:rPr>
        <w:t>部注册为注册非香港公司；（</w:t>
      </w:r>
      <w:r>
        <w:rPr>
          <w:lang w:eastAsia="zh-CN"/>
        </w:rPr>
        <w:t>iv</w:t>
      </w:r>
      <w:r>
        <w:rPr>
          <w:lang w:eastAsia="zh-CN"/>
        </w:rPr>
        <w:t>）公司类型；（</w:t>
      </w:r>
      <w:r>
        <w:rPr>
          <w:lang w:eastAsia="zh-CN"/>
        </w:rPr>
        <w:t>v</w:t>
      </w:r>
      <w:r>
        <w:rPr>
          <w:lang w:eastAsia="zh-CN"/>
        </w:rPr>
        <w:t>）拟用注册办事处地址；（</w:t>
      </w:r>
      <w:r>
        <w:rPr>
          <w:lang w:eastAsia="zh-CN"/>
        </w:rPr>
        <w:t>vi</w:t>
      </w:r>
      <w:r>
        <w:rPr>
          <w:lang w:eastAsia="zh-CN"/>
        </w:rPr>
        <w:t>）拟任董事及公司秘书的资料；以及（</w:t>
      </w:r>
      <w:r>
        <w:rPr>
          <w:lang w:eastAsia="zh-CN"/>
        </w:rPr>
        <w:t>vii</w:t>
      </w:r>
      <w:r>
        <w:rPr>
          <w:lang w:eastAsia="zh-CN"/>
        </w:rPr>
        <w:t>）股本及股东资料；</w:t>
      </w:r>
    </w:p>
    <w:p w:rsidR="008130C4" w:rsidRDefault="0034794B">
      <w:pPr>
        <w:pStyle w:val="Compact"/>
        <w:numPr>
          <w:ilvl w:val="0"/>
          <w:numId w:val="4"/>
        </w:numPr>
        <w:rPr>
          <w:lang w:eastAsia="zh-CN"/>
        </w:rPr>
      </w:pPr>
      <w:r>
        <w:rPr>
          <w:lang w:eastAsia="zh-CN"/>
        </w:rPr>
        <w:t>迁册后公司</w:t>
      </w:r>
      <w:r>
        <w:rPr>
          <w:lang w:eastAsia="zh-CN"/>
        </w:rPr>
        <w:t>拟采用的公司章程副本；</w:t>
      </w:r>
    </w:p>
    <w:p w:rsidR="008130C4" w:rsidRDefault="0034794B">
      <w:pPr>
        <w:pStyle w:val="Compact"/>
        <w:numPr>
          <w:ilvl w:val="0"/>
          <w:numId w:val="4"/>
        </w:numPr>
        <w:rPr>
          <w:lang w:eastAsia="zh-CN"/>
        </w:rPr>
      </w:pPr>
      <w:r>
        <w:rPr>
          <w:lang w:eastAsia="zh-CN"/>
        </w:rPr>
        <w:t>由公司原注册地法律颁发的公司注册证明书的经核证副本。如果公司此前曾进行过迁册，则还需要其注册证明书的经核证副本；</w:t>
      </w:r>
    </w:p>
    <w:p w:rsidR="008130C4" w:rsidRDefault="0034794B">
      <w:pPr>
        <w:pStyle w:val="Compact"/>
        <w:numPr>
          <w:ilvl w:val="0"/>
          <w:numId w:val="4"/>
        </w:numPr>
        <w:rPr>
          <w:lang w:eastAsia="zh-CN"/>
        </w:rPr>
      </w:pPr>
      <w:r>
        <w:rPr>
          <w:lang w:eastAsia="zh-CN"/>
        </w:rPr>
        <w:t>公司在原注册地的章程文件的经核证副本；</w:t>
      </w:r>
    </w:p>
    <w:p w:rsidR="008130C4" w:rsidRDefault="0034794B">
      <w:pPr>
        <w:pStyle w:val="Compact"/>
        <w:numPr>
          <w:ilvl w:val="0"/>
          <w:numId w:val="4"/>
        </w:numPr>
        <w:rPr>
          <w:lang w:eastAsia="zh-CN"/>
        </w:rPr>
      </w:pPr>
      <w:r>
        <w:rPr>
          <w:lang w:eastAsia="zh-CN"/>
        </w:rPr>
        <w:t>由至少</w:t>
      </w:r>
      <w:r>
        <w:rPr>
          <w:lang w:eastAsia="zh-CN"/>
        </w:rPr>
        <w:t>75%</w:t>
      </w:r>
      <w:r>
        <w:rPr>
          <w:lang w:eastAsia="zh-CN"/>
        </w:rPr>
        <w:t>有资格股东通过的批准公司迁册的决议的经核证副本。这可以是在会议上通过的决议或书面决议。财经事务及库务局表示，仅在公司原注册地法律或公司章程文件均不要求股东批准公司迁册的情况下，才需要此文件；</w:t>
      </w:r>
    </w:p>
    <w:p w:rsidR="008130C4" w:rsidRDefault="0034794B">
      <w:pPr>
        <w:pStyle w:val="Compact"/>
        <w:numPr>
          <w:ilvl w:val="0"/>
          <w:numId w:val="4"/>
        </w:numPr>
        <w:rPr>
          <w:lang w:eastAsia="zh-CN"/>
        </w:rPr>
      </w:pPr>
      <w:r>
        <w:rPr>
          <w:lang w:eastAsia="zh-CN"/>
        </w:rPr>
        <w:t>由原注册地合格法律从业者出具的法律意见书，其中确认以下内容等：</w:t>
      </w:r>
    </w:p>
    <w:p w:rsidR="008130C4" w:rsidRDefault="0034794B">
      <w:pPr>
        <w:pStyle w:val="Compact"/>
        <w:numPr>
          <w:ilvl w:val="1"/>
          <w:numId w:val="5"/>
        </w:numPr>
        <w:rPr>
          <w:lang w:eastAsia="zh-CN"/>
        </w:rPr>
      </w:pPr>
      <w:r>
        <w:rPr>
          <w:lang w:eastAsia="zh-CN"/>
        </w:rPr>
        <w:t>公司在其原注册地已正式注册；</w:t>
      </w:r>
    </w:p>
    <w:p w:rsidR="008130C4" w:rsidRDefault="0034794B">
      <w:pPr>
        <w:pStyle w:val="Compact"/>
        <w:numPr>
          <w:ilvl w:val="1"/>
          <w:numId w:val="5"/>
        </w:numPr>
        <w:rPr>
          <w:lang w:eastAsia="zh-CN"/>
        </w:rPr>
      </w:pPr>
      <w:r>
        <w:rPr>
          <w:lang w:eastAsia="zh-CN"/>
        </w:rPr>
        <w:t>拟议的迁册在原注册地法律下是允许的；</w:t>
      </w:r>
    </w:p>
    <w:p w:rsidR="008130C4" w:rsidRDefault="0034794B">
      <w:pPr>
        <w:pStyle w:val="Compact"/>
        <w:numPr>
          <w:ilvl w:val="1"/>
          <w:numId w:val="5"/>
        </w:numPr>
        <w:rPr>
          <w:lang w:eastAsia="zh-CN"/>
        </w:rPr>
      </w:pPr>
      <w:r>
        <w:rPr>
          <w:lang w:eastAsia="zh-CN"/>
        </w:rPr>
        <w:lastRenderedPageBreak/>
        <w:t>原注册地的公司类型及迁册后的拟用公司类型；</w:t>
      </w:r>
    </w:p>
    <w:p w:rsidR="008130C4" w:rsidRDefault="0034794B">
      <w:pPr>
        <w:pStyle w:val="Compact"/>
        <w:numPr>
          <w:ilvl w:val="1"/>
          <w:numId w:val="5"/>
        </w:numPr>
      </w:pPr>
      <w:r>
        <w:t>公司的偿付能力；</w:t>
      </w:r>
    </w:p>
    <w:p w:rsidR="008130C4" w:rsidRDefault="0034794B">
      <w:pPr>
        <w:pStyle w:val="Compact"/>
        <w:numPr>
          <w:ilvl w:val="1"/>
          <w:numId w:val="5"/>
        </w:numPr>
        <w:rPr>
          <w:lang w:eastAsia="zh-CN"/>
        </w:rPr>
      </w:pPr>
      <w:r>
        <w:rPr>
          <w:lang w:eastAsia="zh-CN"/>
        </w:rPr>
        <w:t>公司已获得股东对迁册的批准；</w:t>
      </w:r>
    </w:p>
    <w:p w:rsidR="008130C4" w:rsidRDefault="0034794B">
      <w:pPr>
        <w:pStyle w:val="Compact"/>
        <w:numPr>
          <w:ilvl w:val="1"/>
          <w:numId w:val="5"/>
        </w:numPr>
        <w:rPr>
          <w:lang w:eastAsia="zh-CN"/>
        </w:rPr>
      </w:pPr>
      <w:r>
        <w:rPr>
          <w:lang w:eastAsia="zh-CN"/>
        </w:rPr>
        <w:t>迁册后公司的拟用名称；以及</w:t>
      </w:r>
    </w:p>
    <w:p w:rsidR="008130C4" w:rsidRDefault="0034794B">
      <w:pPr>
        <w:pStyle w:val="Compact"/>
        <w:numPr>
          <w:ilvl w:val="1"/>
          <w:numId w:val="5"/>
        </w:numPr>
        <w:rPr>
          <w:lang w:eastAsia="zh-CN"/>
        </w:rPr>
      </w:pPr>
      <w:r>
        <w:rPr>
          <w:lang w:eastAsia="zh-CN"/>
        </w:rPr>
        <w:t>随申请一并提交的拟用公司章程的采用情况；</w:t>
      </w:r>
    </w:p>
    <w:p w:rsidR="008130C4" w:rsidRDefault="0034794B">
      <w:pPr>
        <w:pStyle w:val="Compact"/>
        <w:numPr>
          <w:ilvl w:val="0"/>
          <w:numId w:val="4"/>
        </w:numPr>
        <w:rPr>
          <w:lang w:eastAsia="zh-CN"/>
        </w:rPr>
      </w:pPr>
      <w:r>
        <w:rPr>
          <w:lang w:eastAsia="zh-CN"/>
        </w:rPr>
        <w:t>公司最新的财务报表或包含申请日期前不超过</w:t>
      </w:r>
      <w:r>
        <w:rPr>
          <w:lang w:eastAsia="zh-CN"/>
        </w:rPr>
        <w:t>12</w:t>
      </w:r>
      <w:r>
        <w:rPr>
          <w:lang w:eastAsia="zh-CN"/>
        </w:rPr>
        <w:t>个月财务信息的经审计财务报表。在谘询总结中，财经事务及库务局放宽了对财务报表进行审计的要求，如果原注册地法律、相关证券交易所规则或其他类似监管规则不要求编制经审计财务报表的话；</w:t>
      </w:r>
    </w:p>
    <w:p w:rsidR="008130C4" w:rsidRDefault="0034794B">
      <w:pPr>
        <w:pStyle w:val="Compact"/>
        <w:numPr>
          <w:ilvl w:val="0"/>
          <w:numId w:val="4"/>
        </w:numPr>
        <w:rPr>
          <w:lang w:eastAsia="zh-CN"/>
        </w:rPr>
      </w:pPr>
      <w:r>
        <w:rPr>
          <w:lang w:eastAsia="zh-CN"/>
        </w:rPr>
        <w:t>由一名董事签署的证书，确认公司在其原注册地已正式注册及其偿付能力。该证书还应确认公司股东已批准迁册并解释迁册的原因。</w:t>
      </w:r>
    </w:p>
    <w:p w:rsidR="008130C4" w:rsidRDefault="0034794B">
      <w:pPr>
        <w:pStyle w:val="FirstParagraph"/>
        <w:rPr>
          <w:lang w:eastAsia="zh-CN"/>
        </w:rPr>
      </w:pPr>
      <w:r>
        <w:rPr>
          <w:lang w:eastAsia="zh-CN"/>
        </w:rPr>
        <w:t>咨询文件</w:t>
      </w:r>
      <w:r>
        <w:rPr>
          <w:lang w:eastAsia="zh-CN"/>
        </w:rPr>
        <w:t>中列出的所需提交文件清单还包括其他文件，如致商业登记署通知书、商业登记费及征费。财经事务及库务局在谘询总结中还指出，香港公司注册处与税务局之间的一站式商业登记安排将适用于迁册申请。</w:t>
      </w:r>
    </w:p>
    <w:p w:rsidR="008130C4" w:rsidRPr="0034794B" w:rsidRDefault="0034794B">
      <w:pPr>
        <w:pStyle w:val="BodyText"/>
        <w:rPr>
          <w:b/>
          <w:color w:val="FF0000"/>
          <w:lang w:eastAsia="zh-CN"/>
        </w:rPr>
      </w:pPr>
      <w:r w:rsidRPr="0034794B">
        <w:rPr>
          <w:b/>
          <w:color w:val="FF0000"/>
          <w:lang w:eastAsia="zh-CN"/>
        </w:rPr>
        <w:t>公司迁册至香港的申请程序</w:t>
      </w:r>
    </w:p>
    <w:p w:rsidR="008130C4" w:rsidRDefault="0034794B">
      <w:pPr>
        <w:pStyle w:val="BodyText"/>
        <w:rPr>
          <w:lang w:eastAsia="zh-CN"/>
        </w:rPr>
      </w:pPr>
      <w:r>
        <w:rPr>
          <w:lang w:eastAsia="zh-CN"/>
        </w:rPr>
        <w:t>所有申请文件应提交给香港公司注册处处长。虽然申请的处理时间会因公司的类型和具体情况而异，但财经事务及库务局预计，在收到所有所需申请文件后，一般会在两周内批准申请。</w:t>
      </w:r>
    </w:p>
    <w:p w:rsidR="008130C4" w:rsidRPr="0034794B" w:rsidRDefault="0034794B">
      <w:pPr>
        <w:pStyle w:val="BodyText"/>
        <w:rPr>
          <w:b/>
          <w:color w:val="FF0000"/>
          <w:lang w:eastAsia="zh-CN"/>
        </w:rPr>
      </w:pPr>
      <w:r w:rsidRPr="0034794B">
        <w:rPr>
          <w:b/>
          <w:color w:val="FF0000"/>
          <w:lang w:eastAsia="zh-CN"/>
        </w:rPr>
        <w:t>迁册至香港的公司的税务安排</w:t>
      </w:r>
    </w:p>
    <w:p w:rsidR="008130C4" w:rsidRDefault="0034794B">
      <w:pPr>
        <w:pStyle w:val="BodyText"/>
        <w:rPr>
          <w:lang w:eastAsia="zh-CN"/>
        </w:rPr>
      </w:pPr>
      <w:r>
        <w:rPr>
          <w:lang w:eastAsia="zh-CN"/>
        </w:rPr>
        <w:t>根据谘询总结，公司在其原注册地的税务义务不会因迁册过程而受到影响。这将防止公司利用公司迁册制度作为逃税目的。迁册后的公司在香港利得税方面的责任也将保持不变。这是因为根据《税务条例》（香港法例第</w:t>
      </w:r>
      <w:r>
        <w:rPr>
          <w:lang w:eastAsia="zh-CN"/>
        </w:rPr>
        <w:t>112</w:t>
      </w:r>
      <w:r>
        <w:rPr>
          <w:lang w:eastAsia="zh-CN"/>
        </w:rPr>
        <w:t>章）（</w:t>
      </w:r>
      <w:r>
        <w:rPr>
          <w:b/>
          <w:lang w:eastAsia="zh-CN"/>
        </w:rPr>
        <w:t>《税务条例》</w:t>
      </w:r>
      <w:r>
        <w:rPr>
          <w:lang w:eastAsia="zh-CN"/>
        </w:rPr>
        <w:t>）的规定，不论公司的注册地或税务居民身份如何，对在香港经营的行业、专业或业务所产生或得自香港的利润征收利得税。</w:t>
      </w:r>
    </w:p>
    <w:p w:rsidR="008130C4" w:rsidRDefault="0034794B">
      <w:pPr>
        <w:pStyle w:val="BodyText"/>
        <w:rPr>
          <w:lang w:eastAsia="zh-CN"/>
        </w:rPr>
      </w:pPr>
      <w:r>
        <w:rPr>
          <w:lang w:eastAsia="zh-CN"/>
        </w:rPr>
        <w:t>然而，财经事务及库务局提议修订《税务条例》，以允许税务局处理过渡性税务事宜，如适当扣除营业存货、指明类别的开支和折旧免税额。财经事务及库务局表示，将在适当时候提出全面修订，并在起草过程</w:t>
      </w:r>
      <w:r>
        <w:rPr>
          <w:lang w:eastAsia="zh-CN"/>
        </w:rPr>
        <w:t>中参考其他司法管辖区采用的安排。</w:t>
      </w:r>
    </w:p>
    <w:p w:rsidR="008130C4" w:rsidRDefault="0034794B">
      <w:pPr>
        <w:pStyle w:val="BodyText"/>
        <w:rPr>
          <w:lang w:eastAsia="zh-CN"/>
        </w:rPr>
      </w:pPr>
      <w:r>
        <w:rPr>
          <w:lang w:eastAsia="zh-CN"/>
        </w:rPr>
        <w:t>为消除双重课税，如在退出时同类利润已被原注册地以尚未变现的形式征税，财经事务及库务局提议为迁册公司就迁册后在香港产生的实际利润所缴纳的税款提供单边税收抵免。</w:t>
      </w:r>
    </w:p>
    <w:p w:rsidR="008130C4" w:rsidRDefault="0034794B">
      <w:pPr>
        <w:pStyle w:val="BodyText"/>
        <w:rPr>
          <w:lang w:eastAsia="zh-CN"/>
        </w:rPr>
      </w:pPr>
      <w:r>
        <w:rPr>
          <w:lang w:eastAsia="zh-CN"/>
        </w:rPr>
        <w:t>关于印花税影响，财经事务及库务局表示，由于迁册程序一般不构成转让公司的资产，因此不应产生香港印花税收。然而，财经事务及库务局并未提及迁册后，迁册公司的股份转让是否会产生香港印花税。</w:t>
      </w:r>
    </w:p>
    <w:p w:rsidR="008130C4" w:rsidRPr="0034794B" w:rsidRDefault="0034794B">
      <w:pPr>
        <w:pStyle w:val="BodyText"/>
        <w:rPr>
          <w:b/>
          <w:color w:val="FF0000"/>
          <w:lang w:eastAsia="zh-CN"/>
        </w:rPr>
      </w:pPr>
      <w:r w:rsidRPr="0034794B">
        <w:rPr>
          <w:b/>
          <w:color w:val="FF0000"/>
          <w:lang w:eastAsia="zh-CN"/>
        </w:rPr>
        <w:t>保持业务连续性</w:t>
      </w:r>
    </w:p>
    <w:p w:rsidR="008130C4" w:rsidRDefault="0034794B">
      <w:pPr>
        <w:pStyle w:val="BodyText"/>
        <w:rPr>
          <w:lang w:eastAsia="zh-CN"/>
        </w:rPr>
      </w:pPr>
      <w:r>
        <w:rPr>
          <w:lang w:eastAsia="zh-CN"/>
        </w:rPr>
        <w:t>财经事务及库务局预计，许多申请迁册至香港的公司将是在香港已有既定营业地点且已根据《香港公司条例》第</w:t>
      </w:r>
      <w:r>
        <w:rPr>
          <w:lang w:eastAsia="zh-CN"/>
        </w:rPr>
        <w:t>16</w:t>
      </w:r>
      <w:r>
        <w:rPr>
          <w:lang w:eastAsia="zh-CN"/>
        </w:rPr>
        <w:t>部注册为非香港公司的</w:t>
      </w:r>
      <w:r>
        <w:rPr>
          <w:lang w:eastAsia="zh-CN"/>
        </w:rPr>
        <w:t>非香港公司。拟议的迁册制度的既定目标之一是允许公司在将注册地迁至香港后保持其业务和法律身份。为符合这一政策意图，财经事务及库务局提议根据《香港公司条例》和《商业登记条例》（香港法例第</w:t>
      </w:r>
      <w:r>
        <w:rPr>
          <w:lang w:eastAsia="zh-CN"/>
        </w:rPr>
        <w:t>310</w:t>
      </w:r>
      <w:r>
        <w:rPr>
          <w:lang w:eastAsia="zh-CN"/>
        </w:rPr>
        <w:t>章）制定安排，允许申请迁册至香港的已注册非香港公司在迁册过程后保留其现有公司名称和商业登记号码。</w:t>
      </w:r>
    </w:p>
    <w:p w:rsidR="008130C4" w:rsidRDefault="0034794B">
      <w:pPr>
        <w:pStyle w:val="BodyText"/>
        <w:rPr>
          <w:lang w:eastAsia="zh-CN"/>
        </w:rPr>
      </w:pPr>
      <w:r>
        <w:rPr>
          <w:lang w:eastAsia="zh-CN"/>
        </w:rPr>
        <w:t>对于经迁册公司在迁册前并非注册非香港公司，迁册前公司的文件存档和记录将受其原注册地法律的规管。公司仅需从迁册当日起遵守《香港公司条例》规定的备存记录和备案要求。</w:t>
      </w:r>
    </w:p>
    <w:p w:rsidR="008130C4" w:rsidRPr="0034794B" w:rsidRDefault="0034794B">
      <w:pPr>
        <w:pStyle w:val="BodyText"/>
        <w:rPr>
          <w:b/>
          <w:color w:val="FF0000"/>
          <w:lang w:eastAsia="zh-CN"/>
        </w:rPr>
      </w:pPr>
      <w:r w:rsidRPr="0034794B">
        <w:rPr>
          <w:b/>
          <w:color w:val="FF0000"/>
          <w:lang w:eastAsia="zh-CN"/>
        </w:rPr>
        <w:t>撤销注册期</w:t>
      </w:r>
    </w:p>
    <w:p w:rsidR="008130C4" w:rsidRDefault="0034794B">
      <w:pPr>
        <w:pStyle w:val="BodyText"/>
        <w:rPr>
          <w:lang w:eastAsia="zh-CN"/>
        </w:rPr>
      </w:pPr>
      <w:r>
        <w:rPr>
          <w:lang w:eastAsia="zh-CN"/>
        </w:rPr>
        <w:t>公司获发迁册证明书之日即被视为已迁册至香港。</w:t>
      </w:r>
      <w:r>
        <w:rPr>
          <w:lang w:eastAsia="zh-CN"/>
        </w:rPr>
        <w:t>然后经</w:t>
      </w:r>
      <w:r>
        <w:rPr>
          <w:lang w:eastAsia="zh-CN"/>
        </w:rPr>
        <w:t>迁册公司须在该迁册之日起</w:t>
      </w:r>
      <w:r>
        <w:rPr>
          <w:lang w:eastAsia="zh-CN"/>
        </w:rPr>
        <w:t>120</w:t>
      </w:r>
      <w:r>
        <w:rPr>
          <w:lang w:eastAsia="zh-CN"/>
        </w:rPr>
        <w:t>日内向公司注册处提供其在原注册地撤销注册的证明。如相关公司未能在规定期间内提供，那么该公司</w:t>
      </w:r>
      <w:r>
        <w:rPr>
          <w:lang w:eastAsia="zh-CN"/>
        </w:rPr>
        <w:lastRenderedPageBreak/>
        <w:t>在香港的注册会被注销，迁册申请会被视为失败。财经事务及库务局亦准许公司在必要时申请延长期限。</w:t>
      </w:r>
    </w:p>
    <w:p w:rsidR="008130C4" w:rsidRPr="0034794B" w:rsidRDefault="0034794B">
      <w:pPr>
        <w:pStyle w:val="BodyText"/>
        <w:rPr>
          <w:b/>
          <w:color w:val="FF0000"/>
          <w:lang w:eastAsia="zh-CN"/>
        </w:rPr>
      </w:pPr>
      <w:r w:rsidRPr="0034794B">
        <w:rPr>
          <w:b/>
          <w:color w:val="FF0000"/>
          <w:lang w:eastAsia="zh-CN"/>
        </w:rPr>
        <w:t>有关海外金融机构迁册至香港的安排</w:t>
      </w:r>
    </w:p>
    <w:p w:rsidR="008130C4" w:rsidRDefault="0034794B">
      <w:pPr>
        <w:pStyle w:val="BodyText"/>
        <w:rPr>
          <w:lang w:eastAsia="zh-CN"/>
        </w:rPr>
      </w:pPr>
      <w:r>
        <w:rPr>
          <w:lang w:eastAsia="zh-CN"/>
        </w:rPr>
        <w:t>关于在香港开展受规管部门业务运营的公司（例如银行以及保险公司），财经事务及库务局亦拟议对《保险条例》（香港法例第</w:t>
      </w:r>
      <w:r>
        <w:rPr>
          <w:lang w:eastAsia="zh-CN"/>
        </w:rPr>
        <w:t>41</w:t>
      </w:r>
      <w:r>
        <w:rPr>
          <w:lang w:eastAsia="zh-CN"/>
        </w:rPr>
        <w:t>章）以及《银行条例》（香港法例第</w:t>
      </w:r>
      <w:r>
        <w:rPr>
          <w:lang w:eastAsia="zh-CN"/>
        </w:rPr>
        <w:t>155</w:t>
      </w:r>
      <w:r>
        <w:rPr>
          <w:lang w:eastAsia="zh-CN"/>
        </w:rPr>
        <w:t>章）进行修订，以将经迁册的保险公司及认可机构纳入其监管框架内。该项意图旨在确保迁册至香港的保险公司及认可机构与</w:t>
      </w:r>
      <w:r>
        <w:rPr>
          <w:lang w:eastAsia="zh-CN"/>
        </w:rPr>
        <w:t>在香港注册成立的保险公司及认可机构遵守相同的规则及规例。在该咨询总结中，财经事务及库务局亦建议期望迁册至香港的保险公司及认可机构咨询保险业监管局或者香港金管局，以期确认其在提交迁册申请前是否符合本地成立的保险公司及认可机构适用的相关规定。财经事务及库务局在该咨询总结中指出，其将研究作出行政安排，以便就金融机构授权流程事宜加强公司注册处与金融监管机构之间的协调。</w:t>
      </w:r>
    </w:p>
    <w:p w:rsidR="008130C4" w:rsidRPr="0034794B" w:rsidRDefault="0034794B">
      <w:pPr>
        <w:pStyle w:val="BodyText"/>
        <w:rPr>
          <w:b/>
          <w:color w:val="FF0000"/>
          <w:lang w:eastAsia="zh-CN"/>
        </w:rPr>
      </w:pPr>
      <w:r w:rsidRPr="0034794B">
        <w:rPr>
          <w:b/>
          <w:color w:val="FF0000"/>
          <w:lang w:eastAsia="zh-CN"/>
        </w:rPr>
        <w:t>维护国家安全</w:t>
      </w:r>
    </w:p>
    <w:p w:rsidR="008130C4" w:rsidRDefault="0034794B">
      <w:pPr>
        <w:pStyle w:val="BodyText"/>
        <w:rPr>
          <w:lang w:eastAsia="zh-CN"/>
        </w:rPr>
      </w:pPr>
      <w:r>
        <w:rPr>
          <w:lang w:eastAsia="zh-CN"/>
        </w:rPr>
        <w:t>《维护国家安全条例》（香港法例</w:t>
      </w:r>
      <w:r>
        <w:rPr>
          <w:lang w:eastAsia="zh-CN"/>
        </w:rPr>
        <w:t>A305</w:t>
      </w:r>
      <w:r>
        <w:rPr>
          <w:lang w:eastAsia="zh-CN"/>
        </w:rPr>
        <w:t>章）于</w:t>
      </w:r>
      <w:r>
        <w:rPr>
          <w:lang w:eastAsia="zh-CN"/>
        </w:rPr>
        <w:t>2024</w:t>
      </w:r>
      <w:r>
        <w:rPr>
          <w:lang w:eastAsia="zh-CN"/>
        </w:rPr>
        <w:t>年</w:t>
      </w:r>
      <w:r>
        <w:rPr>
          <w:lang w:eastAsia="zh-CN"/>
        </w:rPr>
        <w:t>3</w:t>
      </w:r>
      <w:r>
        <w:rPr>
          <w:lang w:eastAsia="zh-CN"/>
        </w:rPr>
        <w:t>月</w:t>
      </w:r>
      <w:r>
        <w:rPr>
          <w:lang w:eastAsia="zh-CN"/>
        </w:rPr>
        <w:t>23</w:t>
      </w:r>
      <w:r>
        <w:rPr>
          <w:lang w:eastAsia="zh-CN"/>
        </w:rPr>
        <w:t>日生效，其赋予行政长官命令在香港注册成立的公司在港从事可能危害国家安全的</w:t>
      </w:r>
      <w:r>
        <w:rPr>
          <w:lang w:eastAsia="zh-CN"/>
        </w:rPr>
        <w:t>活动的情况下将其自公司登记册中剔除的权力。财经事务及库务局将拟议对相关条文进行修订，以扩大上述权力至涵盖经迁册公司（除香港注册成立公司以外）。</w:t>
      </w:r>
      <w:bookmarkStart w:id="0" w:name="_GoBack"/>
      <w:bookmarkEnd w:id="0"/>
    </w:p>
    <w:p w:rsidR="008130C4" w:rsidRPr="0034794B" w:rsidRDefault="0034794B">
      <w:pPr>
        <w:pStyle w:val="BodyText"/>
        <w:rPr>
          <w:b/>
          <w:color w:val="FF0000"/>
          <w:lang w:eastAsia="zh-CN"/>
        </w:rPr>
      </w:pPr>
      <w:r w:rsidRPr="0034794B">
        <w:rPr>
          <w:b/>
          <w:color w:val="FF0000"/>
          <w:lang w:eastAsia="zh-CN"/>
        </w:rPr>
        <w:t>下一步工作</w:t>
      </w:r>
    </w:p>
    <w:p w:rsidR="008130C4" w:rsidRDefault="0034794B">
      <w:pPr>
        <w:pStyle w:val="BodyText"/>
        <w:rPr>
          <w:lang w:eastAsia="zh-CN"/>
        </w:rPr>
      </w:pPr>
      <w:r>
        <w:rPr>
          <w:lang w:eastAsia="zh-CN"/>
        </w:rPr>
        <w:t>财经事务及库务局正在草拟修订条例草案，以对《香港公司条例》及该咨询总结中提及的其他条例进行修订，预期将于本年年底或之前将该条例草案提交与立法会审议。</w:t>
      </w:r>
    </w:p>
    <w:p w:rsidR="008130C4" w:rsidRDefault="0034794B">
      <w:pPr>
        <w:pStyle w:val="BodyText"/>
        <w:rPr>
          <w:lang w:eastAsia="zh-CN"/>
        </w:rPr>
      </w:pPr>
      <w:hyperlink w:anchor="footnote-598-1-backlink">
        <w:r>
          <w:rPr>
            <w:lang w:eastAsia="zh-CN"/>
          </w:rPr>
          <w:t>1</w:t>
        </w:r>
      </w:hyperlink>
      <w:r>
        <w:rPr>
          <w:lang w:eastAsia="zh-CN"/>
        </w:rPr>
        <w:t xml:space="preserve"> </w:t>
      </w:r>
      <w:r>
        <w:rPr>
          <w:lang w:eastAsia="zh-CN"/>
        </w:rPr>
        <w:t>财经事务及库务局。《有关香港推行公司迁册制度建议的谘询总结及立法建议》，</w:t>
      </w:r>
      <w:r>
        <w:rPr>
          <w:lang w:eastAsia="zh-CN"/>
        </w:rPr>
        <w:t>2024</w:t>
      </w:r>
      <w:r>
        <w:rPr>
          <w:lang w:eastAsia="zh-CN"/>
        </w:rPr>
        <w:t>年</w:t>
      </w:r>
      <w:r>
        <w:rPr>
          <w:lang w:eastAsia="zh-CN"/>
        </w:rPr>
        <w:t>7</w:t>
      </w:r>
      <w:r>
        <w:rPr>
          <w:lang w:eastAsia="zh-CN"/>
        </w:rPr>
        <w:t>月</w:t>
      </w:r>
    </w:p>
    <w:p w:rsidR="008130C4" w:rsidRDefault="0034794B">
      <w:pPr>
        <w:pStyle w:val="BodyText"/>
        <w:rPr>
          <w:lang w:eastAsia="zh-CN"/>
        </w:rPr>
      </w:pPr>
      <w:hyperlink w:anchor="footnote-598-2-backlink">
        <w:r>
          <w:rPr>
            <w:lang w:eastAsia="zh-CN"/>
          </w:rPr>
          <w:t>2</w:t>
        </w:r>
      </w:hyperlink>
      <w:r>
        <w:rPr>
          <w:lang w:eastAsia="zh-CN"/>
        </w:rPr>
        <w:t xml:space="preserve"> </w:t>
      </w:r>
      <w:r>
        <w:rPr>
          <w:lang w:eastAsia="zh-CN"/>
        </w:rPr>
        <w:t>财经事务及库务局。《有关香港推行公司迁册制度建议的公众咨询》，</w:t>
      </w:r>
      <w:r>
        <w:rPr>
          <w:lang w:eastAsia="zh-CN"/>
        </w:rPr>
        <w:t>2023</w:t>
      </w:r>
      <w:r>
        <w:rPr>
          <w:lang w:eastAsia="zh-CN"/>
        </w:rPr>
        <w:t>年</w:t>
      </w:r>
      <w:r>
        <w:rPr>
          <w:lang w:eastAsia="zh-CN"/>
        </w:rPr>
        <w:t>3</w:t>
      </w:r>
      <w:r>
        <w:rPr>
          <w:lang w:eastAsia="zh-CN"/>
        </w:rPr>
        <w:t>月</w:t>
      </w:r>
    </w:p>
    <w:p w:rsidR="008130C4" w:rsidRDefault="0034794B">
      <w:pPr>
        <w:pStyle w:val="BodyText"/>
        <w:rPr>
          <w:lang w:eastAsia="zh-CN"/>
        </w:rPr>
      </w:pPr>
      <w:hyperlink w:anchor="footnote-598-3-backlink">
        <w:r>
          <w:rPr>
            <w:lang w:eastAsia="zh-CN"/>
          </w:rPr>
          <w:t>3</w:t>
        </w:r>
      </w:hyperlink>
      <w:r>
        <w:rPr>
          <w:lang w:eastAsia="zh-CN"/>
        </w:rPr>
        <w:t xml:space="preserve"> </w:t>
      </w:r>
      <w:r>
        <w:rPr>
          <w:lang w:eastAsia="zh-CN"/>
        </w:rPr>
        <w:t>《行政长官</w:t>
      </w:r>
      <w:r>
        <w:rPr>
          <w:lang w:eastAsia="zh-CN"/>
        </w:rPr>
        <w:t>2024</w:t>
      </w:r>
      <w:r>
        <w:rPr>
          <w:lang w:eastAsia="zh-CN"/>
        </w:rPr>
        <w:t>年施政报告》，</w:t>
      </w:r>
      <w:r>
        <w:rPr>
          <w:lang w:eastAsia="zh-CN"/>
        </w:rPr>
        <w:t>2024</w:t>
      </w:r>
      <w:r>
        <w:rPr>
          <w:lang w:eastAsia="zh-CN"/>
        </w:rPr>
        <w:t>年</w:t>
      </w:r>
      <w:r>
        <w:rPr>
          <w:lang w:eastAsia="zh-CN"/>
        </w:rPr>
        <w:t>10</w:t>
      </w:r>
      <w:r>
        <w:rPr>
          <w:lang w:eastAsia="zh-CN"/>
        </w:rPr>
        <w:t>月</w:t>
      </w:r>
    </w:p>
    <w:p w:rsidR="008130C4" w:rsidRDefault="0034794B">
      <w:pPr>
        <w:pStyle w:val="DisclaimerBold"/>
        <w:rPr>
          <w:lang w:eastAsia="zh-CN"/>
        </w:rPr>
      </w:pPr>
      <w:r>
        <w:rPr>
          <w:lang w:eastAsia="zh-CN"/>
        </w:rPr>
        <w:t>此法讯仅为提供相关资料信息之用，其内容并</w:t>
      </w:r>
    </w:p>
    <w:p w:rsidR="008130C4" w:rsidRDefault="0034794B">
      <w:pPr>
        <w:pStyle w:val="Disclaimer"/>
        <w:rPr>
          <w:lang w:eastAsia="zh-CN"/>
        </w:rPr>
      </w:pPr>
      <w:r>
        <w:rPr>
          <w:lang w:eastAsia="zh-CN"/>
        </w:rPr>
        <w:t>不构成法律建议及个案的法律分析。</w:t>
      </w:r>
    </w:p>
    <w:p w:rsidR="008130C4" w:rsidRDefault="0034794B">
      <w:pPr>
        <w:pStyle w:val="Disclaimer"/>
        <w:rPr>
          <w:lang w:eastAsia="zh-CN"/>
        </w:rPr>
      </w:pPr>
      <w:r>
        <w:rPr>
          <w:lang w:eastAsia="zh-CN"/>
        </w:rPr>
        <w:t>此法讯的发送并不是为了在易周律师行与用户或浏览者之间建立一种律师与客户之关系。</w:t>
      </w:r>
    </w:p>
    <w:p w:rsidR="008130C4" w:rsidRDefault="0034794B">
      <w:pPr>
        <w:pStyle w:val="Disclaimer"/>
        <w:rPr>
          <w:lang w:eastAsia="zh-CN"/>
        </w:rPr>
      </w:pPr>
      <w:r>
        <w:rPr>
          <w:lang w:eastAsia="zh-CN"/>
        </w:rPr>
        <w:t>易周律师行并不对可从互联网获得的任何第三方内容负责。</w:t>
      </w:r>
    </w:p>
    <w:p w:rsidR="008130C4" w:rsidRDefault="0034794B">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unsubscribe@charltonslaw.com</w:t>
        </w:r>
      </w:hyperlink>
    </w:p>
    <w:p w:rsidR="008130C4" w:rsidRDefault="0034794B">
      <w:pPr>
        <w:pStyle w:val="BlackStrips"/>
      </w:pPr>
      <w:r>
        <w:t xml:space="preserve">Charltons - </w:t>
      </w:r>
      <w:r>
        <w:t>香港法律</w:t>
      </w:r>
      <w:r>
        <w:t xml:space="preserve"> - 2025</w:t>
      </w:r>
      <w:r>
        <w:t>年</w:t>
      </w:r>
      <w:r>
        <w:t>2</w:t>
      </w:r>
      <w:r>
        <w:t>月</w:t>
      </w:r>
      <w:r>
        <w:t>12</w:t>
      </w:r>
      <w:r>
        <w:t>日</w:t>
      </w:r>
    </w:p>
    <w:sectPr w:rsidR="008130C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794B">
      <w:pPr>
        <w:spacing w:after="0"/>
      </w:pPr>
      <w:r>
        <w:separator/>
      </w:r>
    </w:p>
  </w:endnote>
  <w:endnote w:type="continuationSeparator" w:id="0">
    <w:p w:rsidR="00000000" w:rsidRDefault="00347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Microsoft YaHei">
    <w:panose1 w:val="020B0503020204020204"/>
    <w:charset w:val="86"/>
    <w:family w:val="roman"/>
    <w:pitch w:val="default"/>
    <w:sig w:usb0="80000287" w:usb1="2ACF3C50" w:usb2="00000016" w:usb3="00000000" w:csb0="0004001F"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C4" w:rsidRDefault="0034794B">
      <w:r>
        <w:separator/>
      </w:r>
    </w:p>
  </w:footnote>
  <w:footnote w:type="continuationSeparator" w:id="0">
    <w:p w:rsidR="008130C4" w:rsidRDefault="0034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73080F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0407A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8667E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318E7"/>
    <w:rsid w:val="0034794B"/>
    <w:rsid w:val="004E29B3"/>
    <w:rsid w:val="00590D07"/>
    <w:rsid w:val="006909B6"/>
    <w:rsid w:val="00784D58"/>
    <w:rsid w:val="008130C4"/>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C9F2"/>
  <w15:docId w15:val="{30A3DFE8-DCA9-43C1-A79E-693F0B1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en/publication/consult/doc/ConsultationConclusionOnCompanyRe-domiciliationRegime_e.pdf"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ni-yi-de-gong-si-qian-ce-zhi-du" TargetMode="External"/><Relationship Id="rId12" Type="http://schemas.openxmlformats.org/officeDocument/2006/relationships/hyperlink" Target="https://www.charltonslaw.com.cn/cai-jing-shi-wu-ji-ku-wu-ju-you-guan-xiang-gang-tui-xing-gong-si-qian-ce-zhi-du-de-gong-zhong-zi-x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xing-zheng-zhang-guan-2024-nian-xiang-gang-shi-zheng-bao-gao-zhu-yao-ye-wu-di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olicyaddress.gov.hk/2024/public/pdf/policy/policy-full_en.pdf" TargetMode="External"/><Relationship Id="rId4" Type="http://schemas.openxmlformats.org/officeDocument/2006/relationships/webSettings" Target="webSettings.xml"/><Relationship Id="rId9" Type="http://schemas.openxmlformats.org/officeDocument/2006/relationships/hyperlink" Target="https://www.fstb.gov.hk/fsb/en/publication/consult/doc/Public%20consultation%20paper%20(e)_for%20issu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2025-02-12T03:46:00Z</dcterms:created>
  <dcterms:modified xsi:type="dcterms:W3CDTF">2025-02-12T04:13:00Z</dcterms:modified>
</cp:coreProperties>
</file>