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BlackStrips"/>
      </w:pPr>
      <w:r>
        <w:t>Charltons - 法讯 - 中国 - 2017年8月25日</w:t>
      </w:r>
    </w:p>
    <w:p>
      <w:pPr>
        <w:pStyle w:val="ReadOnline"/>
      </w:pPr>
      <w:hyperlink r:id="rId8">
        <w:r>
          <w:rPr/>
          <w:t>online version</w:t>
        </w:r>
      </w:hyperlink>
    </w:p>
    <w:p>
      <w:pPr>
        <w:pStyle w:val="Title"/>
      </w:pPr>
      <w:r>
        <w:t>李克强签署国务院令公布《融资担保公司监督管理条例》</w:t>
      </w:r>
    </w:p>
    <w:p>
      <w:pPr>
        <w:pStyle w:val="Heading2"/>
      </w:pPr>
      <w:bookmarkStart w:id="21" w:name="资本市场"/>
      <w:bookmarkEnd w:id="21"/>
      <w:r>
        <w:t xml:space="preserve">资本市场</w:t>
      </w:r>
    </w:p>
    <w:p>
      <w:pPr>
        <w:pStyle w:val="Heading3"/>
      </w:pPr>
      <w:bookmarkStart w:id="22" w:name="李克强签署国务院令公布融资担保公司监督管理条例"/>
      <w:bookmarkEnd w:id="22"/>
      <w:r>
        <w:t xml:space="preserve">李克强签署国务院令公布《融资担保公司监督管理条例》</w:t>
      </w:r>
    </w:p>
    <w:p>
      <w:pPr>
        <w:pStyle w:val="FirstParagraph"/>
      </w:pPr>
      <w:r>
        <w:t xml:space="preserve">日前，国务院总理李克强签署国务院令，公布《融资担保公司监督管理条例》（以下简称《条例》），自2017年10月1日起施行。</w:t>
      </w:r>
    </w:p>
    <w:p>
      <w:pPr>
        <w:pStyle w:val="TextBody"/>
      </w:pPr>
      <w:r>
        <w:t xml:space="preserve">《条例》规定，国家推动建立政府性融资担保体系，发展政府支持的融资担保公司，建立政府、银行业金融机构、融资担保公司合作机制，扩大为小微企业和“三农”提供融资担保业务的规模并保持较低的费率水平。各级人民政府财政部门对主要为小微企业和“三农”服务的融资担保公司提供财政支持。《条例》同时规定了融资担保公司的经营规则，包括建立健全各项业务规范以及风险管理等内部控制制度，并按照国家规定的风险权重计量担保责任余额；担保责任余额不得超过相应的比例；自有资金的运用应当符合国家有关其资产安全性、流动性的规定；禁止融资担保公司吸收存款或者变相吸收存款、自营贷款或者受托贷款以及受托投资等。</w:t>
      </w:r>
    </w:p>
    <w:p>
      <w:pPr>
        <w:pStyle w:val="TextBody"/>
      </w:pPr>
      <w:hyperlink r:id="rId23">
        <w:r>
          <w:rPr>
            <w:rStyle w:val="Hyperlink"/>
          </w:rPr>
          <w:t xml:space="preserve">http://www.legaldaily.com.cn/xwzx/content/2017-08/21/content_7288868.htm</w:t>
        </w:r>
      </w:hyperlink>
    </w:p>
    <w:p>
      <w:pPr>
        <w:pStyle w:val="Heading3"/>
      </w:pPr>
      <w:bookmarkStart w:id="24" w:name="银监会等部门联合印发关于促进扶贫小额信贷健康发展的通知"/>
      <w:bookmarkEnd w:id="24"/>
      <w:r>
        <w:t xml:space="preserve">银监会等部门联合印发《关于促进扶贫小额信贷健康发展的通知》</w:t>
      </w:r>
    </w:p>
    <w:p>
      <w:pPr>
        <w:pStyle w:val="FirstParagraph"/>
      </w:pPr>
      <w:r>
        <w:t xml:space="preserve">近日，为进一步加强扶贫小额信贷管理，切实纠正各地扶贫小额信贷工作中出现的偏差，更好地发挥其在精准扶贫、精准脱贫中的作用，银监会与财政部、人民银行、保监会和国务院扶贫办联合印发了《关于促进扶贫小额信贷健康发展的通知》（以下简称《通知》）。</w:t>
      </w:r>
    </w:p>
    <w:p>
      <w:pPr>
        <w:pStyle w:val="TextBody"/>
      </w:pPr>
      <w:r>
        <w:t xml:space="preserve">《通知》进一步明确扶贫小额信贷有关政策要点，要求各地在发展扶贫小额信贷过程中要坚持精准扶贫，坚持依法合规，坚持发展生产，切实提高贫困户脱贫内生发展动力。《通知》要求各单位要认真落实工作责任，强化激励约束机制，加强贷款风险管理，并对扶贫小额信贷差异化监管和尽职免责制度等方面做了说明。《通知》还强调各单位要加强统计监测和评估考核，做好政策宣传解读，确保贫困户真正把握“免担保、免抵押、基准利率放贷、财政贴息”等政策要点。</w:t>
      </w:r>
    </w:p>
    <w:p>
      <w:pPr>
        <w:pStyle w:val="TextBody"/>
      </w:pPr>
      <w:hyperlink r:id="rId25">
        <w:r>
          <w:rPr>
            <w:rStyle w:val="Hyperlink"/>
          </w:rPr>
          <w:t xml:space="preserve">http://www.thepaper.cn/newsDetail_forward_1765803</w:t>
        </w:r>
      </w:hyperlink>
    </w:p>
    <w:p>
      <w:pPr>
        <w:pStyle w:val="Heading3"/>
      </w:pPr>
      <w:bookmarkStart w:id="26" w:name="银监会银行对自有理财及代销产品的销售过程需同步录音录像"/>
      <w:bookmarkEnd w:id="26"/>
      <w:r>
        <w:t xml:space="preserve">银监会：银行对自有理财及代销产品的销售过程需同步录音录像</w:t>
      </w:r>
    </w:p>
    <w:p>
      <w:pPr>
        <w:pStyle w:val="FirstParagraph"/>
      </w:pPr>
      <w:r>
        <w:t xml:space="preserve">2017年8月23日，银监会发布《银行业金融机构销售专区录音录像管理暂行规定》（以下简称《暂行规定》），进一步规范销售市场秩序和银行业金融机构自有理财产品及代销产品销售行为。这是银监会首次对专区“双录”管理作出比较系统性的规范。</w:t>
      </w:r>
    </w:p>
    <w:p>
      <w:pPr>
        <w:pStyle w:val="TextBody"/>
      </w:pPr>
      <w:r>
        <w:t xml:space="preserve">银行销售的理财产品有自有产品和代销产品之分，《暂行办法》则进一步明确了专区“双录”适用的产品范围，即除了银行业金融机构代销国债及实物贵金属，可根据实际情况自行决定是否纳入专区“双录”管理外，银行销售的所有理财及代销产品均应实施专区“双录”管理。在销售专区管理上，银行业金融机构在营业场所销售理财产品，应建设销售专区并安装配备录音录像设备。所有产品均应在销售专区内进行，不得在销售专区外进行产品销售活动。消费者通过自助终端等电子设备进行自主购买的除外。</w:t>
      </w:r>
    </w:p>
    <w:p>
      <w:pPr>
        <w:pStyle w:val="TextBody"/>
      </w:pPr>
      <w:hyperlink r:id="rId27">
        <w:r>
          <w:rPr>
            <w:rStyle w:val="Hyperlink"/>
          </w:rPr>
          <w:t xml:space="preserve">http://www.thepaper.cn/newsDetail_forward_1771917</w:t>
        </w:r>
      </w:hyperlink>
    </w:p>
    <w:p>
      <w:pPr>
        <w:pStyle w:val="Heading3"/>
      </w:pPr>
      <w:bookmarkStart w:id="28" w:name="国务院办公厅限制房地产影城俱乐部等境外投资"/>
      <w:bookmarkEnd w:id="28"/>
      <w:r>
        <w:t xml:space="preserve">国务院办公厅：限制房地产、影城俱乐部等境外投资</w:t>
      </w:r>
    </w:p>
    <w:p>
      <w:pPr>
        <w:pStyle w:val="FirstParagraph"/>
      </w:pPr>
      <w:r>
        <w:t xml:space="preserve">近日，国务院办公厅转发国家发展改革委、商务部、人民银行、外交部《关于进一步引导和规范境外投资方向的指导意见》（以下简称《意见》），部署加强对境外投资的宏观指导，引导和规范境外投资方向，推动境外投资持续合理有序健康发展。</w:t>
      </w:r>
    </w:p>
    <w:p>
      <w:pPr>
        <w:pStyle w:val="TextBody"/>
      </w:pPr>
      <w:r>
        <w:t xml:space="preserve">《意见》指出，当前国际国内环境正在发生深刻变化，我国企业开展境外投资既存在较好机遇，也面临诸多风险和挑战。要以供给侧结构性改革为主线，以“一带一路”建设为统领，进一步引导和规范企业境外投资方向，促进企业合理有序开展境外投资活动，防范和应对境外投资风险，推动境外投资持续健康发展，实现与投资目的国互利共赢、共同发展。《意见》限制开展的境外投资包括，一是赴与我国未建交、发生战乱或者我国缔结的双、多边条约或协议规定需要限制的敏感国家和地区开展境外投资；二是房地产、酒店、影城、娱乐业、体育俱乐部等境外投资；三是在境外设立无具体实业项目的股权投资基金或投资平台；四是使用不符合投资目的国技术标准要求的落后生产设备开展境外投资；五是不符合投资目的国环保、能耗、安全标准的境外投资。</w:t>
      </w:r>
    </w:p>
    <w:p>
      <w:pPr>
        <w:pStyle w:val="TextBody"/>
      </w:pPr>
      <w:hyperlink r:id="rId29">
        <w:r>
          <w:rPr>
            <w:rStyle w:val="Hyperlink"/>
          </w:rPr>
          <w:t xml:space="preserve">http://www.chinapeace.gov.cn/2017-08/19/content_11426134.htm</w:t>
        </w:r>
      </w:hyperlink>
    </w:p>
    <w:p>
      <w:pPr>
        <w:pStyle w:val="Heading2"/>
      </w:pPr>
      <w:bookmarkStart w:id="30" w:name="保险"/>
      <w:bookmarkEnd w:id="30"/>
      <w:r>
        <w:t xml:space="preserve">保险</w:t>
      </w:r>
    </w:p>
    <w:p>
      <w:pPr>
        <w:pStyle w:val="Heading3"/>
      </w:pPr>
      <w:bookmarkStart w:id="31" w:name="保监会就保险公司信息披露管理办法征求意见"/>
      <w:bookmarkEnd w:id="31"/>
      <w:r>
        <w:t xml:space="preserve">保监会就保险公司信息披露管理办法征求意见</w:t>
      </w:r>
    </w:p>
    <w:p>
      <w:pPr>
        <w:pStyle w:val="FirstParagraph"/>
      </w:pPr>
      <w:r>
        <w:t xml:space="preserve">为进一步规范保险公司信息披露工作，提高保险公司信息披露的及时性、可比性、有效性，保障投保人、被保险人、受益人以及相关当事人的合法权益，保监会就《保险公司信息披露管理办法（征求意见稿）》公开征求意见。</w:t>
      </w:r>
    </w:p>
    <w:p>
      <w:pPr>
        <w:pStyle w:val="TextBody"/>
      </w:pPr>
      <w:r>
        <w:t xml:space="preserve">根据人身险公司保费统计口径的变化，《征求意见稿》将人身险公司产品经营信息内容更改为上一年度原保险保费收入居前5位的保险产品的名称、主要销售渠道、原保险保费收入和退保金；上一年度保户投资款新增交费居前3位的保险产品的名称、主要销售渠道、保户投资款新增交费和保户投资款本年退保；上一年度投连险独立账户新增交费居前3位的投连险产品的名称、主要销售渠道、投连险独立账户新增交费和投连险独立账户本年退保。</w:t>
      </w:r>
    </w:p>
    <w:p>
      <w:pPr>
        <w:pStyle w:val="TextBody"/>
      </w:pPr>
      <w:hyperlink r:id="rId32">
        <w:r>
          <w:rPr>
            <w:rStyle w:val="Hyperlink"/>
          </w:rPr>
          <w:t xml:space="preserve">http://finance.sina.com.cn/roll/2017-08-18/doc-ifykcppx9006683.shtml</w:t>
        </w:r>
      </w:hyperlink>
    </w:p>
    <w:p>
      <w:pPr>
        <w:pStyle w:val="Heading2"/>
      </w:pPr>
      <w:bookmarkStart w:id="33" w:name="税收"/>
      <w:bookmarkEnd w:id="33"/>
      <w:r>
        <w:t xml:space="preserve">税收</w:t>
      </w:r>
    </w:p>
    <w:p>
      <w:pPr>
        <w:pStyle w:val="Heading3"/>
      </w:pPr>
      <w:bookmarkStart w:id="34" w:name="国家税务总局财政部和科技部联合发布关于进一步做好企业研发费用加计扣除政策落实工作的通知"/>
      <w:bookmarkEnd w:id="34"/>
      <w:r>
        <w:t xml:space="preserve">国家税务总局、财政部和科技部联合发布《关于进一步做好企业研发费用加计扣除政策落实工作的通知》</w:t>
      </w:r>
    </w:p>
    <w:p>
      <w:pPr>
        <w:pStyle w:val="FirstParagraph"/>
      </w:pPr>
      <w:r>
        <w:t xml:space="preserve">为贯彻落实国务院关于“简政放权、放管结合、优化服务”要求，强化政策服务，降低纳税人风险，增强企业获得感，根据《关于完善研究开发费用税前加计扣除政策的通知》的有关规定，国家税务总局、财政部和科技部联合发布《关于进一步做好企业研发费用加计扣除政策落实工作的通知》（以下简称《通知》）。</w:t>
      </w:r>
    </w:p>
    <w:p>
      <w:pPr>
        <w:pStyle w:val="TextBody"/>
      </w:pPr>
      <w:r>
        <w:t xml:space="preserve">《通知》中指出，税务部门对企业享受加计扣除优惠的研发项目有异议的，应及时通过县（区）级科技部门将项目资料送地市级（含）以上科技部门进行鉴定；由省直接管理的县/市，可直接由县级科技部门进行鉴定。鉴定部门在收到税务部门的鉴定需求后，应及时组织专家进行鉴定，并在规定时间内通过原渠道将鉴定意见反馈税务部门。鉴定时，应由3名以上相关领域的产业、技术、管理等专家参加。税务部门对鉴定部门的鉴定意见有异议的，可转请省级人民政府科技行政管理部门出具鉴定意见。地方各级人民政府科技、财政和税务主管部门要建立工作协调机制，加强工作衔接，形成工作合力。要切实加强对企业的事前事中事后管理和服务，以多种形式开展政策宣讲，引导企业规范研发项目管理和费用归集，确保政策落实、落细、落地。</w:t>
      </w:r>
    </w:p>
    <w:p>
      <w:pPr>
        <w:pStyle w:val="TextBody"/>
      </w:pPr>
      <w:hyperlink r:id="rId35">
        <w:r>
          <w:rPr>
            <w:rStyle w:val="Hyperlink"/>
          </w:rPr>
          <w:t xml:space="preserve">http://szs.mof.gov.cn/zhengwuxinxi/zhengcefabu/201708/t20170815_2673181.html</w:t>
        </w:r>
      </w:hyperlink>
    </w:p>
    <w:p>
      <w:pPr>
        <w:pStyle w:val="Heading2"/>
      </w:pPr>
      <w:bookmarkStart w:id="36" w:name="行业"/>
      <w:bookmarkEnd w:id="36"/>
      <w:r>
        <w:t xml:space="preserve">行业</w:t>
      </w:r>
    </w:p>
    <w:p>
      <w:pPr>
        <w:pStyle w:val="Heading3"/>
      </w:pPr>
      <w:bookmarkStart w:id="37" w:name="李克强签署国务院令公布无证无照经营查处办法"/>
      <w:bookmarkEnd w:id="37"/>
      <w:r>
        <w:t xml:space="preserve">李克强签署国务院令，公布《无证无照经营查处办法》</w:t>
      </w:r>
    </w:p>
    <w:p>
      <w:pPr>
        <w:pStyle w:val="FirstParagraph"/>
      </w:pPr>
      <w:r>
        <w:t xml:space="preserve">日前，国务院总理李克强签署国务院令，公布《无证无照经营查处办法》（以下简称《办法》），自2017年10月1日起施行。</w:t>
      </w:r>
    </w:p>
    <w:p>
      <w:pPr>
        <w:pStyle w:val="TextBody"/>
      </w:pPr>
      <w:r>
        <w:t xml:space="preserve">《办法》共十九条，主要调整了无证无照经营的查处范围，明确了部门监管职责。出台《办法》是转变监管理念、加强事中事后监管、保障“先照后证”改革顺利实施的重要举措，有利于提高监管效率，促进创业创新。《办法》强调明确部门执法权限，厘清监管职责。对无照经营的，由工商行政管理部门依照相关法律、行政法规的规定予以处罚。对无证经营的，法律、法规、国务院决定对负责查处无证经营的部门有明确规定的，由规定的部门查处；法律、法规、国务院决定没有规定或者规定不明确的，由省、自治区、直辖市人民政府确定的部门查处。对既无证也无照从事经营活动的，依照无证经营的规定予以查处。</w:t>
      </w:r>
    </w:p>
    <w:p>
      <w:pPr>
        <w:pStyle w:val="TextBody"/>
      </w:pPr>
      <w:hyperlink r:id="rId38">
        <w:r>
          <w:rPr>
            <w:rStyle w:val="Hyperlink"/>
          </w:rPr>
          <w:t xml:space="preserve">http://www.gov.cn/premier/2017-08/23/content_5219893.htm</w:t>
        </w:r>
      </w:hyperlink>
    </w:p>
    <w:p>
      <w:pPr>
        <w:pStyle w:val="Heading3"/>
      </w:pPr>
      <w:bookmarkStart w:id="39" w:name="中国ppp基金与农业部商谈合作"/>
      <w:bookmarkEnd w:id="39"/>
      <w:r>
        <w:t xml:space="preserve">中国PPP基金与农业部商谈合作</w:t>
      </w:r>
    </w:p>
    <w:p>
      <w:pPr>
        <w:pStyle w:val="FirstParagraph"/>
      </w:pPr>
      <w:r>
        <w:t xml:space="preserve">近日，中国PPP基金与农业部商谈在农业领域推广PPP模式等合作事宜。中国PPP基金是国内唯一国家级PPP引导基金，由财政部联合10家金融机构共同出资成立，注册资本1800亿元。该基金主要采取股权投资方式支持PPP项目，其参与能有效增强项目相关方信心，降低项目财务成本及违约风险。</w:t>
      </w:r>
    </w:p>
    <w:p>
      <w:pPr>
        <w:pStyle w:val="TextBody"/>
      </w:pPr>
      <w:r>
        <w:t xml:space="preserve">中国PPP基金将农业领域作为投资重点之一，希望与农业部加强合作，共同探索推动农业领域PPP项目落地实施。农业部财务司司长陶怀颖表示，在当前深入推进财税体制改革和农业供给侧结构性改革的关键时期，探索应用PPP模式推动财政支农方式创新，可以有效拓宽农业投融资渠道，为社会资本投资农业找准路径，通过政府花钱买机制促进建立农业领域投资持续利用的长效机制，还可以将先进的管理理念和方法引入农业领域，为我国农业产业发展注入活力，稳步提升农业质量效益竞争力，助力我国现代农业加快发展。目前，随着现代农业产业体系建立健全，农业一二三产业深度融合发展，农业领域应用PPP模式将逐步进入加速发展期。</w:t>
      </w:r>
    </w:p>
    <w:p>
      <w:pPr>
        <w:pStyle w:val="TextBody"/>
      </w:pPr>
      <w:hyperlink r:id="rId40">
        <w:r>
          <w:rPr>
            <w:rStyle w:val="Hyperlink"/>
          </w:rPr>
          <w:t xml:space="preserve">http://www.moa.gov.cn/zwllm/zwdt/201708/t20170818_5788613.htm</w:t>
        </w:r>
      </w:hyperlink>
    </w:p>
    <w:p>
      <w:pPr>
        <w:pStyle w:val="Heading3"/>
      </w:pPr>
      <w:bookmarkStart w:id="41" w:name="人社部印发关于工伤保险待遇调整和确定机制的指导意见"/>
      <w:bookmarkEnd w:id="41"/>
      <w:r>
        <w:t xml:space="preserve">人社部印发《关于工伤保险待遇调整和确定机制的指导意见》</w:t>
      </w:r>
    </w:p>
    <w:p>
      <w:pPr>
        <w:pStyle w:val="FirstParagraph"/>
      </w:pPr>
      <w:r>
        <w:t xml:space="preserve">近日，人社部印发《关于工伤保险待遇调整和确定机制的指导意见》（以下简称《意见》），作为调整和确定工伤保险待遇水平的政策依据。</w:t>
      </w:r>
    </w:p>
    <w:p>
      <w:pPr>
        <w:pStyle w:val="TextBody"/>
      </w:pPr>
      <w:r>
        <w:t xml:space="preserve">《意见》重点对伤残津贴、供养亲属抚恤金、生活护理费及职工住院治疗工伤的伙食补助费的调整作出规范。《意见》明确，一级至四级伤残津贴调整以上年度省（区、市）一级至四级工伤职工月人均伤残津贴为基数，综合考虑职工平均工资增长和居民消费价格指数变化情况，侧重职工平均工资增长因素，兼顾工伤保险基金支付能力和相关社会保障待遇调整情况，综合进行调节。《意见》强调，工伤保险待遇调整和确定要与经济发展水平相适应，综合考虑职工工资增长、居民消费价格指数变化、工伤保险基金支付能力、相关社会保障待遇调整情况等因素，兼顾不同地区待遇差别，按照基金省级统筹要求，适度、稳步提升，实现待遇平衡。原则上每两年至少调整一次。</w:t>
      </w:r>
    </w:p>
    <w:p>
      <w:pPr>
        <w:pStyle w:val="TextBody"/>
      </w:pPr>
      <w:hyperlink r:id="rId42">
        <w:r>
          <w:rPr>
            <w:rStyle w:val="Hyperlink"/>
          </w:rPr>
          <w:t xml:space="preserve">http://www.gov.cn/xinwen/2017-08/21/content_5219118.htm</w:t>
        </w:r>
      </w:hyperlink>
    </w:p>
    <w:p>
      <w:pPr>
        <w:pStyle w:val="Heading3"/>
      </w:pPr>
      <w:bookmarkStart w:id="43" w:name="环保部会同证监会规范环境信息披露"/>
      <w:bookmarkEnd w:id="43"/>
      <w:r>
        <w:t xml:space="preserve">环保部会同证监会规范环境信息披露</w:t>
      </w:r>
    </w:p>
    <w:p>
      <w:pPr>
        <w:pStyle w:val="FirstParagraph"/>
      </w:pPr>
      <w:r>
        <w:t xml:space="preserve">2017年8月22日，环境保护部政策法规司司长别涛在8月例行新闻发布会上表示，对目前160多家国家重点监控企业的上市公司环境信息披露基本满意。环保部正在会同证监会，采取措施不断规范国家重点监控企业的上市公司环境信息披露，加快推进上市公司重大环境违法处罚等及时披露。</w:t>
      </w:r>
    </w:p>
    <w:p>
      <w:pPr>
        <w:pStyle w:val="TextBody"/>
      </w:pPr>
      <w:r>
        <w:t xml:space="preserve">别涛表示，环保部将会同证监会，努力提高上市公司信息披露的规范性、全面性、可读性、完整性、有用性，以便于股民、公众准确判断上市公司环境风险。对于未及时按规定披露环境信息的，要依法依规督促、追责，并采取必要的处罚措施。除了年度报告、半年度报告等定期报告，环境信息披露还包括临时报告。别涛强调，前些年有一些大公司出现重大违法不披露，或者不及时披露的情况。这都是违反规定的。重大环境违法处罚，面临新的法律风险应该及时向公众披露。存在因主观恶意违法情形等原因，而受到重大处罚的上市公司，必须履行环境信息披露义务。这方面工作环保部正在加快推进过程中。</w:t>
      </w:r>
    </w:p>
    <w:p>
      <w:pPr>
        <w:pStyle w:val="TextBody"/>
      </w:pPr>
      <w:hyperlink r:id="rId44">
        <w:r>
          <w:rPr>
            <w:rStyle w:val="Hyperlink"/>
          </w:rPr>
          <w:t xml:space="preserve">http://www.stcn.com/2017/0823/13578183.shtml</w:t>
        </w:r>
      </w:hyperlink>
    </w:p>
    <w:p>
      <w:pPr>
        <w:pStyle w:val="Heading2"/>
      </w:pPr>
      <w:bookmarkStart w:id="45" w:name="并购"/>
      <w:bookmarkEnd w:id="45"/>
      <w:r>
        <w:t xml:space="preserve">并购</w:t>
      </w:r>
    </w:p>
    <w:p>
      <w:pPr>
        <w:pStyle w:val="Heading3"/>
      </w:pPr>
      <w:bookmarkStart w:id="46" w:name="爱康科技拟斥资8亿并购加码光伏电站业务"/>
      <w:bookmarkEnd w:id="46"/>
      <w:r>
        <w:t xml:space="preserve">爱康科技拟斥资8亿并购，加码光伏电站业务</w:t>
      </w:r>
    </w:p>
    <w:p>
      <w:pPr>
        <w:pStyle w:val="FirstParagraph"/>
      </w:pPr>
      <w:r>
        <w:t xml:space="preserve">爱康科技近日发布公告，为进一步拓展光伏电站业务，公司拟作价8.06亿元收购农银国际投资（苏州）有限公司等20位股东持有的苏州爱康能源工程技术股份有限公司（以下简称“能源工程”）38.04%股权。能源工程为公司实控人旗下资产，本次交易构成关联交易。</w:t>
      </w:r>
    </w:p>
    <w:p>
      <w:pPr>
        <w:pStyle w:val="TextBody"/>
      </w:pPr>
      <w:r>
        <w:t xml:space="preserve">公告显示，能源工程是国内领先的新能源系统解决方案提供者，主要从事光伏电站的开发与建设业务，具有电力、电气、结构、土建等设计与施工综合能力。此外，能源工程积极贯彻落实“一带一路”国家战略布局，以日本、韩国和澳洲为起点，不断开拓国际市场。爱康科技表示，公司目前主要涉及太阳能配件生产销售和太阳能光伏电站投资、运维两大业务，本次交易完成后，公司可进一步完善产业链，将业务范围拓展至太阳能光伏电站开发与建设，实现从中游光伏配件组件制作到下游光伏电站系统投资、建设与运维的一体化运作；有利于公司加大新能源项目的投资建设，加快战略转型为能源综合服务商；通过与标的公司之间相互配合发挥协同效应，实现光伏电站业务闭环。</w:t>
      </w:r>
    </w:p>
    <w:p>
      <w:pPr>
        <w:pStyle w:val="TextBody"/>
      </w:pPr>
      <w:hyperlink r:id="rId47">
        <w:r>
          <w:rPr>
            <w:rStyle w:val="Hyperlink"/>
          </w:rPr>
          <w:t xml:space="preserve">http://company.stcn.com/2017/0824/13581722.shtml</w:t>
        </w:r>
      </w:hyperlink>
    </w:p>
    <w:p>
      <w:pPr>
        <w:pStyle w:val="Heading3"/>
      </w:pPr>
      <w:bookmarkStart w:id="48" w:name="麦捷科技拟收购军工企业"/>
      <w:bookmarkEnd w:id="48"/>
      <w:r>
        <w:t xml:space="preserve">麦捷科技拟收购军工企业</w:t>
      </w:r>
    </w:p>
    <w:p>
      <w:pPr>
        <w:pStyle w:val="FirstParagraph"/>
      </w:pPr>
      <w:r>
        <w:t xml:space="preserve">麦捷科技于2017年8月21日晚间公告，公司于8月21日与成都金之川电子有限公司的股东李红雨、 成都金蔓共享贸易中心 （有限合伙）签署了《股权收购意向书》，拟以自有资金同时收购李红雨、金蔓共享持有的金之川55%股权、 12.5%股权。</w:t>
      </w:r>
    </w:p>
    <w:p>
      <w:pPr>
        <w:pStyle w:val="TextBody"/>
      </w:pPr>
      <w:r>
        <w:t xml:space="preserve">据公告，经交易各方同意， 本次收购将以现金方式完成收购，有关股权转让的价款及支付条件等相关事宜，除本协议作出约定外，由双方另行签署《股权转让协议》进行约定。麦捷科技表示，公司积极在汽车电子、新能源和5G移动通信等新兴产业进行布局，这些市场领域对电源管理方面的电子元器件要求苛刻、需求旺盛，公司拟通过现金方式收购控股军工企业金之川，助于公司在高端电子元器件产业整合及转型升级，优势资源互补充分发挥协同效应，完善在移动通信、汽车电子、军工电子等领域的产业布局，助力发展成为国内领先、世界一流的高端电子元器件企业。 通过本次收购将有本次股权收购符合公司发展战略，有利于进一步提升公司的综合竞争力和盈利能力，从而最终实现公司和全体投资者利益的最大化。</w:t>
      </w:r>
    </w:p>
    <w:p>
      <w:pPr>
        <w:pStyle w:val="TextBody"/>
      </w:pPr>
      <w:hyperlink r:id="rId49">
        <w:r>
          <w:rPr>
            <w:rStyle w:val="Hyperlink"/>
          </w:rPr>
          <w:t xml:space="preserve">http://company.stcn.com/2017/0821/13574511.shtml</w:t>
        </w:r>
      </w:hyperlink>
    </w:p>
    <w:p>
      <w:pPr>
        <w:pStyle w:val="Heading3"/>
      </w:pPr>
      <w:bookmarkStart w:id="50" w:name="金冠电气拟作价14.76亿收购鸿图隔膜业务进一步向新能源行业延伸"/>
      <w:bookmarkEnd w:id="50"/>
      <w:r>
        <w:t xml:space="preserve">金冠电气拟作价14.76亿收购鸿图隔膜，业务进一步向新能源行业延伸</w:t>
      </w:r>
    </w:p>
    <w:p>
      <w:pPr>
        <w:pStyle w:val="FirstParagraph"/>
      </w:pPr>
      <w:r>
        <w:t xml:space="preserve">金冠电气近日发布披露“发行股份及支付现金购买资产并募集配套资金暨关联交易报告书（草案）”，本次交易方案为金冠电气拟向鸿图隔膜的全体股东以发行股份及支付现金的方式收购其持有鸿图隔膜合计100%股权，并拟募集配套资金。</w:t>
      </w:r>
    </w:p>
    <w:p>
      <w:pPr>
        <w:pStyle w:val="TextBody"/>
      </w:pPr>
      <w:r>
        <w:t xml:space="preserve">本次交易总体作价为14.76亿元，其中股份对价为10.62亿元，现金对价为4.14亿元。为支付本次交易的现金对价及交易费用并支持鸿图隔膜的项目建设，金冠电气拟以询价发行的方式非公开发行股份募集配套资金，募集资金总额不超过7.2亿元。鸿图隔膜的产品定位中高端，其多个隔膜产品已通过日本住友化学株式会社、日本帝人株式会、韩国三星SDI、南阳嘉鹏新能源科技有限公司等企业、机构的检测，产品质量稳定，性能指标一致性好。金冠电气在报告书中表示，本次并购有利于增强上市公司新能源业务板块，深化上市公司“智能电网+新能源”的战略布局，丰富上市公司的技术资源、客户资源和渠道资源，有助于上市公司的产业融合、技术互补和优势共享。因此，上市公司的整体盈利能力将得到进一步提高。</w:t>
      </w:r>
    </w:p>
    <w:p>
      <w:pPr>
        <w:pStyle w:val="TextBody"/>
      </w:pPr>
      <w:hyperlink r:id="rId51">
        <w:r>
          <w:rPr>
            <w:rStyle w:val="Hyperlink"/>
          </w:rPr>
          <w:t xml:space="preserve">http://company.stcn.com/2017/0822/13575103.shtml</w:t>
        </w:r>
      </w:hyperlink>
    </w:p>
    <w:p>
      <w:pPr>
        <w:pStyle w:val="Heading3"/>
      </w:pPr>
      <w:bookmarkStart w:id="52" w:name="东方市场拟作价127亿收购国望高科全部股权"/>
      <w:bookmarkEnd w:id="52"/>
      <w:r>
        <w:t xml:space="preserve">东方市场拟作价127亿收购国望高科全部股权</w:t>
      </w:r>
    </w:p>
    <w:p>
      <w:pPr>
        <w:pStyle w:val="FirstParagraph"/>
      </w:pPr>
      <w:r>
        <w:t xml:space="preserve">2017年8月20日晚间，停牌5个月的东方市场宣布，拟发行股份收购国望高科100%股权，公司业务将拓展至民用涤纶领域。该交易构成重组上市，公司股票暂不复牌。</w:t>
      </w:r>
    </w:p>
    <w:p>
      <w:pPr>
        <w:pStyle w:val="TextBody"/>
      </w:pPr>
      <w:r>
        <w:t xml:space="preserve">据公告，东方市场拟以4.63元/股向盛虹科技、国开基金非公开发行27.57亿股，作价127.62亿元购买国望高科100%股权。交易完成后，东方市场控股股东将由江苏吴江丝绸集团变更为盛虹科技，实控人由苏州吴江区国资办变更为缪汉根、朱红梅夫妇。东方市场表示，通过此次重组，公司将在原有电力、热能、营业房出租、房地产开发、平台贸易业务的基础上，注入盈利能力较强、经营稳定、发展前景广阔的民用涤纶长丝研发、生产和销售业务，实现上市公司主营业务的拓展。同时，国望高科将实现同A股资本市场的对接，且能够通过上市公司的电子商务平台，积极拓展线上销售渠道。</w:t>
      </w:r>
    </w:p>
    <w:p>
      <w:pPr>
        <w:pStyle w:val="TextBody"/>
      </w:pPr>
      <w:hyperlink r:id="rId53">
        <w:r>
          <w:rPr>
            <w:rStyle w:val="Hyperlink"/>
          </w:rPr>
          <w:t xml:space="preserve">http://company.stcn.com/2017/0821/13570928.shtml</w:t>
        </w:r>
      </w:hyperlink>
    </w:p>
    <w:p>
      <w:pPr>
        <w:pStyle w:val="Heading3"/>
      </w:pPr>
      <w:bookmarkStart w:id="54" w:name="冠昊生物并购押注苯烯莫德或迎数十亿市场空间"/>
      <w:bookmarkEnd w:id="54"/>
      <w:r>
        <w:t xml:space="preserve">冠昊生物并购押注苯烯莫德，或迎数十亿市场空间</w:t>
      </w:r>
    </w:p>
    <w:p>
      <w:pPr>
        <w:pStyle w:val="FirstParagraph"/>
      </w:pPr>
      <w:r>
        <w:t xml:space="preserve">冠昊生物日前宣布，拟以2.66亿元从控股股东广东知光手中收购北京文丰53.35%股权和中昊药业53.35%股权。由于2016年已于广东知光手中收购了北京文丰5%的股权并对中昊药业进行同比例的投资，本次交易完成后，冠昊生物对北京文丰和中昊药业的持股比例均将达到58.20%，广东知光不再持有两公司的股权。</w:t>
      </w:r>
    </w:p>
    <w:p>
      <w:pPr>
        <w:pStyle w:val="TextBody"/>
      </w:pPr>
      <w:r>
        <w:t xml:space="preserve">冠昊生物此次收购，目的在于北京文丰研发的新药苯烯莫德。目前，该药已经向国家食药监管总局（CFDA）提交新药申请，经CFDA专家审核论证，已被列入优先审评品种中。该药主要针对目前皮肤科领域的银屑病等。公告介绍，北京文丰是一家医药研发企业，核心研发产品为国家1.1类新药苯烯莫德，是一种治疗炎症性和自身免疫性疾病的小分子化学药物，主要用于治疗银屑病、湿疹等疾病，已被列为国家科技部“十二五国家重大新药创制”科技重大专项。</w:t>
      </w:r>
    </w:p>
    <w:p>
      <w:pPr>
        <w:pStyle w:val="TextBody"/>
      </w:pPr>
      <w:hyperlink r:id="rId55">
        <w:r>
          <w:rPr>
            <w:rStyle w:val="Hyperlink"/>
          </w:rPr>
          <w:t xml:space="preserve">http://company.stcn.com/2017/0821/13570925.shtml</w:t>
        </w:r>
      </w:hyperlink>
    </w:p>
    <w:p>
      <w:pPr>
        <w:pStyle w:val="DisclaimerBold"/>
      </w:pPr>
      <w:r>
        <w:t>此法讯仅为提供相关资料信息之用，其内容并</w:t>
      </w:r>
    </w:p>
    <w:p>
      <w:pPr>
        <w:pStyle w:val="Disclaimer"/>
      </w:pPr>
      <w:r>
        <w:t>不构成法律建议及个案的法律分析。</w:t>
      </w:r>
    </w:p>
    <w:p>
      <w:pPr>
        <w:pStyle w:val="Disclaimer"/>
      </w:pPr>
      <w:r>
        <w:t>此法讯的发送并不是为了在易周律师行与用户或浏览者之间建立一种律师与客户之关系。</w:t>
      </w:r>
    </w:p>
    <w:p>
      <w:pPr>
        <w:pStyle w:val="Disclaimer"/>
      </w:pPr>
      <w:r>
        <w:t>易周律师行并不对可从互联网获得的任何第三方内容负责。</w:t>
      </w:r>
    </w:p>
    <w:p>
      <w:pPr>
        <w:pStyle w:val="Disclaimer"/>
      </w:pPr>
      <w:r>
        <w:t xml:space="preserve">如果您不希望收到该法讯，请电邮  </w:t>
      </w:r>
      <w:hyperlink r:id="rId9">
        <w:r>
          <w:rPr/>
          <w:t>unsubscribe@charltonslaw.com</w:t>
        </w:r>
      </w:hyperlink>
    </w:p>
    <w:p>
      <w:pPr>
        <w:pStyle w:val="BlackStrips"/>
      </w:pPr>
      <w:r>
        <w:t>Charltons - 法讯 - 中国 - 2017年8月25日</w:t>
      </w:r>
    </w:p>
    <w:sectPr>
      <w:type w:val="nextPage"/>
      <w:pgSz w:w="11906" w:h="16838"/>
      <w:pgMar w:left="864" w:right="864" w:header="0" w:top="864" w:footer="0" w:bottom="86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roman"/>
    <w:pitch w:val="variable"/>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771a931b"/>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Cs w:val="24"/>
        <w:lang w:val="en-US" w:eastAsia="en-US" w:bidi="ar-SA"/>
      </w:rPr>
    </w:rPrDefault>
    <w:pPrDefault>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00000A"/>
      <w:sz w:val="24"/>
      <w:szCs w:val="24"/>
      <w:lang w:val="en-US" w:eastAsia="en-US" w:bidi="ar-SA"/>
    </w:rPr>
  </w:style>
  <w:style w:type="paragraph" w:styleId="Heading1">
    <w:name w:val="Heading 1"/>
    <w:basedOn w:val="Normal"/>
    <w:uiPriority w:val="9"/>
    <w:qFormat/>
    <w:pPr>
      <w:keepNext/>
      <w:keepLines/>
      <w:bidi w:val="0"/>
      <w:spacing w:before="480" w:after="0"/>
      <w:jc w:val="left"/>
      <w:outlineLvl w:val="0"/>
    </w:pPr>
    <w:rPr>
      <w:rFonts w:ascii="Calibri" w:hAnsi="Calibri" w:eastAsia="" w:cs="" w:asciiTheme="majorHAnsi" w:cstheme="majorBidi" w:eastAsiaTheme="majorEastAsia" w:hAnsiTheme="majorHAnsi"/>
      <w:b/>
      <w:bCs/>
      <w:color w:val="C0143C" w:themeShade="b5"/>
      <w:sz w:val="32"/>
      <w:szCs w:val="32"/>
    </w:rPr>
  </w:style>
  <w:style w:type="paragraph" w:styleId="Heading2">
    <w:name w:val="Heading 2"/>
    <w:basedOn w:val="Normal"/>
    <w:uiPriority w:val="9"/>
    <w:unhideWhenUsed/>
    <w:qFormat/>
    <w:pPr>
      <w:keepNext/>
      <w:keepLines/>
      <w:bidi w:val="0"/>
      <w:spacing w:before="200" w:after="0"/>
      <w:jc w:val="left"/>
      <w:outlineLvl w:val="1"/>
    </w:pPr>
    <w:rPr>
      <w:rFonts w:ascii="Calibri" w:hAnsi="Calibri" w:eastAsia="" w:cs="" w:asciiTheme="majorHAnsi" w:cstheme="majorBidi" w:eastAsiaTheme="majorEastAsia" w:hAnsiTheme="majorHAnsi"/>
      <w:b/>
      <w:bCs/>
      <w:color w:val="C0143C"/>
      <w:sz w:val="32"/>
      <w:szCs w:val="32"/>
    </w:rPr>
  </w:style>
  <w:style w:type="paragraph" w:styleId="Heading3">
    <w:name w:val="Heading 3"/>
    <w:basedOn w:val="Normal"/>
    <w:uiPriority w:val="9"/>
    <w:unhideWhenUsed/>
    <w:qFormat/>
    <w:pPr>
      <w:keepNext/>
      <w:keepLines/>
      <w:bidi w:val="0"/>
      <w:spacing w:before="200" w:after="0"/>
      <w:jc w:val="left"/>
      <w:outlineLvl w:val="2"/>
    </w:pPr>
    <w:rPr>
      <w:rFonts w:ascii="Calibri" w:hAnsi="Calibri" w:eastAsia="" w:cs="" w:asciiTheme="majorHAnsi" w:cstheme="majorBidi" w:eastAsiaTheme="majorEastAsia" w:hAnsiTheme="majorHAnsi"/>
      <w:b/>
      <w:bCs/>
      <w:color w:val="C0143C"/>
      <w:sz w:val="28"/>
      <w:szCs w:val="28"/>
    </w:rPr>
  </w:style>
  <w:style w:type="paragraph" w:styleId="Heading4">
    <w:name w:val="Heading 4"/>
    <w:basedOn w:val="Normal"/>
    <w:uiPriority w:val="9"/>
    <w:unhideWhenUsed/>
    <w:qFormat/>
    <w:pPr>
      <w:keepNext/>
      <w:keepLines/>
      <w:bidi w:val="0"/>
      <w:spacing w:before="200" w:after="0"/>
      <w:jc w:val="left"/>
      <w:outlineLvl w:val="3"/>
    </w:pPr>
    <w:rPr>
      <w:rFonts w:ascii="Calibri" w:hAnsi="Calibri" w:eastAsia="" w:cs="" w:asciiTheme="majorHAnsi" w:cstheme="majorBidi" w:eastAsiaTheme="majorEastAsia" w:hAnsiTheme="majorHAnsi"/>
      <w:b/>
      <w:bCs/>
      <w:color w:val="C0143C"/>
      <w:sz w:val="24"/>
      <w:szCs w:val="24"/>
    </w:rPr>
  </w:style>
  <w:style w:type="paragraph" w:styleId="Heading5">
    <w:name w:val="Heading 5"/>
    <w:basedOn w:val="Normal"/>
    <w:uiPriority w:val="9"/>
    <w:unhideWhenUsed/>
    <w:qFormat/>
    <w:pPr>
      <w:keepNext/>
      <w:keepLines/>
      <w:bidi w:val="0"/>
      <w:spacing w:before="200" w:after="0"/>
      <w:jc w:val="left"/>
      <w:outlineLvl w:val="4"/>
    </w:pPr>
    <w:rPr>
      <w:rFonts w:ascii="Calibri" w:hAnsi="Calibri" w:eastAsia="" w:cs="" w:asciiTheme="majorHAnsi" w:cstheme="majorBidi" w:eastAsiaTheme="majorEastAsia" w:hAnsiTheme="majorHAnsi"/>
      <w:i/>
      <w:iCs/>
      <w:color w:val="C0143C"/>
      <w:sz w:val="24"/>
      <w:szCs w:val="24"/>
    </w:rPr>
  </w:style>
  <w:style w:type="paragraph" w:styleId="Heading6">
    <w:name w:val="Heading 6"/>
    <w:basedOn w:val="Normal"/>
    <w:uiPriority w:val="9"/>
    <w:unhideWhenUsed/>
    <w:qFormat/>
    <w:pPr>
      <w:keepNext/>
      <w:keepLines/>
      <w:bidi w:val="0"/>
      <w:spacing w:before="200" w:after="0"/>
      <w:jc w:val="left"/>
      <w:outlineLvl w:val="5"/>
    </w:pPr>
    <w:rPr>
      <w:rFonts w:ascii="Calibri" w:hAnsi="Calibri" w:eastAsia="" w:cs="" w:asciiTheme="majorHAnsi" w:cstheme="majorBidi" w:eastAsiaTheme="majorEastAsia" w:hAnsiTheme="majorHAnsi"/>
      <w:color w:val="C0143C"/>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link w:val="BodyText"/>
    <w:qFormat/>
    <w:rPr/>
  </w:style>
  <w:style w:type="character" w:styleId="VerbatimChar" w:customStyle="1">
    <w:name w:val="Verbatim Char"/>
    <w:basedOn w:val="BodyTextChar"/>
    <w:qFormat/>
    <w:rPr>
      <w:rFonts w:ascii="Consolas" w:hAnsi="Consolas"/>
      <w:sz w:val="22"/>
    </w:rPr>
  </w:style>
  <w:style w:type="character" w:styleId="FootnoteAnchor">
    <w:name w:val="Footnote Anchor"/>
    <w:basedOn w:val="BodyTextChar"/>
    <w:rPr>
      <w:vertAlign w:val="superscript"/>
    </w:rPr>
  </w:style>
  <w:style w:type="character" w:styleId="InternetLink">
    <w:name w:val="Internet Link"/>
    <w:basedOn w:val="BodyTextChar"/>
    <w:rPr>
      <w:color w:val="C0143C"/>
    </w:rPr>
  </w:style>
  <w:style w:type="paragraph" w:styleId="Heading">
    <w:name w:val="Heading"/>
    <w:basedOn w:val="Normal"/>
    <w:next w:val="TextBody"/>
    <w:qFormat/>
    <w:pPr>
      <w:keepNext/>
      <w:spacing w:before="240" w:after="120"/>
    </w:pPr>
    <w:rPr>
      <w:rFonts w:ascii="Liberation Sans" w:hAnsi="Liberation Sans" w:eastAsia="Microsoft YaHei" w:cs="Arial Unicode MS"/>
      <w:sz w:val="28"/>
      <w:szCs w:val="28"/>
    </w:rPr>
  </w:style>
  <w:style w:type="paragraph" w:styleId="TextBody">
    <w:name w:val="Body Text"/>
    <w:basedOn w:val="Normal"/>
    <w:link w:val="BodyTextChar"/>
    <w:qFormat/>
    <w:pPr>
      <w:bidi w:val="0"/>
      <w:spacing w:before="180" w:after="180"/>
      <w:jc w:val="both"/>
    </w:pPr>
    <w:rPr/>
  </w:style>
  <w:style w:type="paragraph" w:styleId="List">
    <w:name w:val="List"/>
    <w:basedOn w:val="TextBody"/>
    <w:pPr/>
    <w:rPr>
      <w:rFonts w:cs="Arial Unicode M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Arial Unicode MS"/>
    </w:rPr>
  </w:style>
  <w:style w:type="paragraph" w:styleId="FirstParagraph" w:customStyle="1">
    <w:name w:val="First Paragraph"/>
    <w:basedOn w:val="TextBody"/>
    <w:qFormat/>
    <w:pPr/>
    <w:rPr/>
  </w:style>
  <w:style w:type="paragraph" w:styleId="Compact" w:customStyle="1">
    <w:name w:val="Compact"/>
    <w:basedOn w:val="TextBody"/>
    <w:qFormat/>
    <w:pPr>
      <w:spacing w:before="36" w:after="36"/>
    </w:pPr>
    <w:rPr/>
  </w:style>
  <w:style w:type="paragraph" w:styleId="Title">
    <w:name w:val="Title"/>
    <w:basedOn w:val="Normal"/>
    <w:qFormat/>
    <w:pPr>
      <w:keepNext/>
      <w:keepLines/>
      <w:bidi w:val="0"/>
      <w:spacing w:before="480" w:after="240"/>
      <w:jc w:val="left"/>
    </w:pPr>
    <w:rPr>
      <w:rFonts w:ascii="Calibri" w:hAnsi="Calibri" w:eastAsia="" w:cs="" w:asciiTheme="majorHAnsi" w:cstheme="majorBidi" w:eastAsiaTheme="majorEastAsia" w:hAnsiTheme="majorHAnsi"/>
      <w:b/>
      <w:bCs/>
      <w:color w:val="C0143C" w:themeShade="b5"/>
      <w:sz w:val="36"/>
      <w:szCs w:val="36"/>
    </w:rPr>
  </w:style>
  <w:style w:type="paragraph" w:styleId="Subtitle">
    <w:name w:val="Subtitle"/>
    <w:basedOn w:val="Title"/>
    <w:qFormat/>
    <w:pPr>
      <w:keepNext/>
      <w:keepLines/>
      <w:spacing w:before="240" w:after="240"/>
      <w:jc w:val="center"/>
    </w:pPr>
    <w:rPr>
      <w:sz w:val="30"/>
      <w:szCs w:val="30"/>
    </w:rPr>
  </w:style>
  <w:style w:type="paragraph" w:styleId="Author" w:customStyle="1">
    <w:name w:val="Author"/>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Date">
    <w:name w:val="Date"/>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Abstract" w:customStyle="1">
    <w:name w:val="Abstract"/>
    <w:basedOn w:val="Normal"/>
    <w:qFormat/>
    <w:pPr>
      <w:keepNext/>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uiPriority w:val="9"/>
    <w:unhideWhenUsed/>
    <w:qFormat/>
    <w:pPr>
      <w:spacing w:before="100" w:after="100"/>
      <w:ind w:hanging="0"/>
    </w:pPr>
    <w:rPr>
      <w:rFonts w:ascii="Calibri" w:hAnsi="Calibri" w:eastAsia="" w:cs="" w:asciiTheme="majorHAnsi" w:cstheme="majorBidi" w:eastAsiaTheme="majorEastAsia" w:hAnsiTheme="majorHAnsi"/>
      <w:bCs/>
      <w:sz w:val="20"/>
      <w:szCs w:val="20"/>
    </w:rPr>
  </w:style>
  <w:style w:type="paragraph" w:styleId="Footnote">
    <w:name w:val="Footnote Text"/>
    <w:basedOn w:val="Normal"/>
    <w:uiPriority w:val="9"/>
    <w:unhideWhenUsed/>
    <w:qFormat/>
    <w:pPr/>
    <w:rPr/>
  </w:style>
  <w:style w:type="paragraph" w:styleId="DefinitionTerm" w:customStyle="1">
    <w:name w:val="Definition Term"/>
    <w:basedOn w:val="Normal"/>
    <w:qFormat/>
    <w:pPr>
      <w:keepNext/>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FigurewithCaption" w:customStyle="1">
    <w:name w:val="Figure with Caption"/>
    <w:basedOn w:val="Figure"/>
    <w:qFormat/>
    <w:pPr>
      <w:keepNext/>
    </w:pPr>
    <w:rPr/>
  </w:style>
  <w:style w:type="paragraph" w:styleId="TOCHeading">
    <w:name w:val="TOC Heading"/>
    <w:basedOn w:val="Heading1"/>
    <w:uiPriority w:val="39"/>
    <w:unhideWhenUsed/>
    <w:qFormat/>
    <w:pPr>
      <w:bidi w:val="0"/>
      <w:spacing w:lineRule="auto" w:line="259" w:before="240" w:after="0"/>
      <w:jc w:val="left"/>
    </w:pPr>
    <w:rPr>
      <w:rFonts w:ascii="Calibri" w:hAnsi="Calibri" w:eastAsia="" w:cs="" w:asciiTheme="majorHAnsi" w:cstheme="majorBidi" w:eastAsiaTheme="majorEastAsia" w:hAnsiTheme="majorHAnsi"/>
      <w:b w:val="false"/>
      <w:bCs w:val="false"/>
      <w:color w:val="C0143C" w:themeShade="bf"/>
    </w:rPr>
  </w:style>
  <w:style w:type="paragraph" w:styleId="Disclaimer">
    <w:name w:val="Disclaimer"/>
    <w:basedOn w:val="Normal"/>
    <w:qFormat/>
    <w:pPr>
      <w:pBdr>
        <w:top w:val="single" w:sz="2" w:space="1" w:color="000001"/>
        <w:left w:val="single" w:sz="2" w:space="1" w:color="000001"/>
        <w:bottom w:val="single" w:sz="2" w:space="1" w:color="000001"/>
        <w:right w:val="single" w:sz="2" w:space="1" w:color="000001"/>
      </w:pBdr>
      <w:shd w:val="clear" w:fill="DDDDDD"/>
      <w:bidi w:val="0"/>
      <w:spacing w:before="101" w:after="101"/>
      <w:jc w:val="both"/>
    </w:pPr>
    <w:rPr/>
  </w:style>
  <w:style w:type="paragraph" w:styleId="BlackStrips">
    <w:name w:val="Black Strips"/>
    <w:basedOn w:val="Normal"/>
    <w:qFormat/>
    <w:pPr>
      <w:shd w:val="clear" w:fill="000000"/>
      <w:bidi w:val="0"/>
      <w:jc w:val="center"/>
    </w:pPr>
    <w:rPr>
      <w:color w:val="FFFFFF"/>
    </w:rPr>
  </w:style>
  <w:style w:type="paragraph" w:styleId="DisclaimerBold">
    <w:name w:val="Disclaimer Bold"/>
    <w:basedOn w:val="Disclaimer"/>
    <w:qFormat/>
    <w:pPr>
      <w:shd w:val="clear" w:fill="DDDDDD"/>
      <w:bidi w:val="0"/>
      <w:jc w:val="left"/>
    </w:pPr>
    <w:rPr>
      <w:b/>
    </w:rPr>
  </w:style>
  <w:style w:type="paragraph" w:styleId="ReadOnline">
    <w:name w:val="Read Online"/>
    <w:basedOn w:val="Normal"/>
    <w:qFormat/>
    <w:pPr>
      <w:bidi w:val="0"/>
      <w:jc w:val="center"/>
    </w:pPr>
    <w:rPr>
      <w:sz w:val="28"/>
      <w:u w:val="single"/>
    </w:rPr>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55" Type="http://schemas.openxmlformats.org/officeDocument/2006/relationships/hyperlink" Target="http://company.stcn.com/2017/0821/13570925.shtml" TargetMode="External"/><Relationship Id="rId53" Type="http://schemas.openxmlformats.org/officeDocument/2006/relationships/hyperlink" Target="http://company.stcn.com/2017/0821/13570928.shtml" TargetMode="External"/><Relationship Id="rId49" Type="http://schemas.openxmlformats.org/officeDocument/2006/relationships/hyperlink" Target="http://company.stcn.com/2017/0821/13574511.shtml" TargetMode="External"/><Relationship Id="rId51" Type="http://schemas.openxmlformats.org/officeDocument/2006/relationships/hyperlink" Target="http://company.stcn.com/2017/0822/13575103.shtml" TargetMode="External"/><Relationship Id="rId47" Type="http://schemas.openxmlformats.org/officeDocument/2006/relationships/hyperlink" Target="http://company.stcn.com/2017/0824/13581722.shtml" TargetMode="External"/><Relationship Id="rId32" Type="http://schemas.openxmlformats.org/officeDocument/2006/relationships/hyperlink" Target="http://finance.sina.com.cn/roll/2017-08-18/doc-ifykcppx9006683.shtml" TargetMode="External"/><Relationship Id="rId35" Type="http://schemas.openxmlformats.org/officeDocument/2006/relationships/hyperlink" Target="http://szs.mof.gov.cn/zhengwuxinxi/zhengcefabu/201708/t20170815_2673181.html" TargetMode="External"/><Relationship Id="rId29" Type="http://schemas.openxmlformats.org/officeDocument/2006/relationships/hyperlink" Target="http://www.chinapeace.gov.cn/2017-08/19/content_11426134.htm" TargetMode="External"/><Relationship Id="rId38" Type="http://schemas.openxmlformats.org/officeDocument/2006/relationships/hyperlink" Target="http://www.gov.cn/premier/2017-08/23/content_5219893.htm" TargetMode="External"/><Relationship Id="rId42" Type="http://schemas.openxmlformats.org/officeDocument/2006/relationships/hyperlink" Target="http://www.gov.cn/xinwen/2017-08/21/content_5219118.htm" TargetMode="External"/><Relationship Id="rId23" Type="http://schemas.openxmlformats.org/officeDocument/2006/relationships/hyperlink" Target="http://www.legaldaily.com.cn/xwzx/content/2017-08/21/content_7288868.htm" TargetMode="External"/><Relationship Id="rId40" Type="http://schemas.openxmlformats.org/officeDocument/2006/relationships/hyperlink" Target="http://www.moa.gov.cn/zwllm/zwdt/201708/t20170818_5788613.htm" TargetMode="External"/><Relationship Id="rId44" Type="http://schemas.openxmlformats.org/officeDocument/2006/relationships/hyperlink" Target="http://www.stcn.com/2017/0823/13578183.shtml" TargetMode="External"/><Relationship Id="rId25" Type="http://schemas.openxmlformats.org/officeDocument/2006/relationships/hyperlink" Target="http://www.thepaper.cn/newsDetail_forward_1765803" TargetMode="External"/><Relationship Id="rId27" Type="http://schemas.openxmlformats.org/officeDocument/2006/relationships/hyperlink" Target="http://www.thepaper.cn/newsDetail_forward_1771917" TargetMode="External"/><Relationship Id="rId8" Type="http://schemas.openxmlformats.org/officeDocument/2006/relationships/hyperlink" Target="http://www.charltonslaw.com.cn/li-ke-qiang-qian-shu-guo-wu-yuan-ling-gong-bu-rong-zi-dan-bao-gong-si-jian-du-guan-li-tiao-li" TargetMode="External"/><Relationship Id="rId9" Type="http://schemas.openxmlformats.org/officeDocument/2006/relationships/hyperlink" Target="mailto:unsubscribe@charltonslaw.com?subject=unsubscribe -Hong Kong Law-" TargetMode="External"/></Relationships>
</file>

<file path=word/_rels/footnotes.xml.rels><?xml version='1.0' encoding='UTF-8' standalone='yes'?>
<Relationships xmlns="http://schemas.openxmlformats.org/package/2006/relationships"><Relationship Id="rId55" Type="http://schemas.openxmlformats.org/officeDocument/2006/relationships/hyperlink" Target="http://company.stcn.com/2017/0821/13570925.shtml" TargetMode="External"/><Relationship Id="rId53" Type="http://schemas.openxmlformats.org/officeDocument/2006/relationships/hyperlink" Target="http://company.stcn.com/2017/0821/13570928.shtml" TargetMode="External"/><Relationship Id="rId49" Type="http://schemas.openxmlformats.org/officeDocument/2006/relationships/hyperlink" Target="http://company.stcn.com/2017/0821/13574511.shtml" TargetMode="External"/><Relationship Id="rId51" Type="http://schemas.openxmlformats.org/officeDocument/2006/relationships/hyperlink" Target="http://company.stcn.com/2017/0822/13575103.shtml" TargetMode="External"/><Relationship Id="rId47" Type="http://schemas.openxmlformats.org/officeDocument/2006/relationships/hyperlink" Target="http://company.stcn.com/2017/0824/13581722.shtml" TargetMode="External"/><Relationship Id="rId32" Type="http://schemas.openxmlformats.org/officeDocument/2006/relationships/hyperlink" Target="http://finance.sina.com.cn/roll/2017-08-18/doc-ifykcppx9006683.shtml" TargetMode="External"/><Relationship Id="rId35" Type="http://schemas.openxmlformats.org/officeDocument/2006/relationships/hyperlink" Target="http://szs.mof.gov.cn/zhengwuxinxi/zhengcefabu/201708/t20170815_2673181.html" TargetMode="External"/><Relationship Id="rId29" Type="http://schemas.openxmlformats.org/officeDocument/2006/relationships/hyperlink" Target="http://www.chinapeace.gov.cn/2017-08/19/content_11426134.htm" TargetMode="External"/><Relationship Id="rId38" Type="http://schemas.openxmlformats.org/officeDocument/2006/relationships/hyperlink" Target="http://www.gov.cn/premier/2017-08/23/content_5219893.htm" TargetMode="External"/><Relationship Id="rId42" Type="http://schemas.openxmlformats.org/officeDocument/2006/relationships/hyperlink" Target="http://www.gov.cn/xinwen/2017-08/21/content_5219118.htm" TargetMode="External"/><Relationship Id="rId23" Type="http://schemas.openxmlformats.org/officeDocument/2006/relationships/hyperlink" Target="http://www.legaldaily.com.cn/xwzx/content/2017-08/21/content_7288868.htm" TargetMode="External"/><Relationship Id="rId40" Type="http://schemas.openxmlformats.org/officeDocument/2006/relationships/hyperlink" Target="http://www.moa.gov.cn/zwllm/zwdt/201708/t20170818_5788613.htm" TargetMode="External"/><Relationship Id="rId44" Type="http://schemas.openxmlformats.org/officeDocument/2006/relationships/hyperlink" Target="http://www.stcn.com/2017/0823/13578183.shtml" TargetMode="External"/><Relationship Id="rId25" Type="http://schemas.openxmlformats.org/officeDocument/2006/relationships/hyperlink" Target="http://www.thepaper.cn/newsDetail_forward_1765803" TargetMode="External"/><Relationship Id="rId27" Type="http://schemas.openxmlformats.org/officeDocument/2006/relationships/hyperlink" Target="http://www.thepaper.cn/newsDetail_forward_17719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LibreOffice/5.3.2.2$MacOSX_X86_64 LibreOffice_project/6cd4f1ef626f15116896b1d8e1398b56da0d0ee1</Application>
  <Pages>1</Pages>
  <Words>2</Words>
  <Characters>11</Characters>
  <CharactersWithSpaces>12</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2017-08-25T03:47:53Z</dcterms:created>
  <dcterms:modified xsi:type="dcterms:W3CDTF">2017-08-25T03:47:53Z</dcterms:modified>
</cp:coreProperties>
</file>