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738" w:rsidRDefault="00904560">
      <w:pPr>
        <w:pStyle w:val="BlackStrips"/>
        <w:rPr>
          <w:lang w:eastAsia="zh-CN"/>
        </w:rPr>
      </w:pPr>
      <w:r>
        <w:rPr>
          <w:lang w:eastAsia="zh-CN"/>
        </w:rPr>
        <w:t xml:space="preserve">Charltons - </w:t>
      </w:r>
      <w:r>
        <w:rPr>
          <w:lang w:eastAsia="zh-CN"/>
        </w:rPr>
        <w:t>法讯</w:t>
      </w:r>
      <w:r>
        <w:rPr>
          <w:lang w:eastAsia="zh-CN"/>
        </w:rPr>
        <w:t xml:space="preserve"> - </w:t>
      </w:r>
      <w:r>
        <w:rPr>
          <w:lang w:eastAsia="zh-CN"/>
        </w:rPr>
        <w:t>中国</w:t>
      </w:r>
      <w:r>
        <w:rPr>
          <w:lang w:eastAsia="zh-CN"/>
        </w:rPr>
        <w:t xml:space="preserve"> - 2017</w:t>
      </w:r>
      <w:r>
        <w:rPr>
          <w:lang w:eastAsia="zh-CN"/>
        </w:rPr>
        <w:t>年</w:t>
      </w:r>
      <w:r>
        <w:rPr>
          <w:lang w:eastAsia="zh-CN"/>
        </w:rPr>
        <w:t>10</w:t>
      </w:r>
      <w:r>
        <w:rPr>
          <w:lang w:eastAsia="zh-CN"/>
        </w:rPr>
        <w:t>月</w:t>
      </w:r>
      <w:r>
        <w:rPr>
          <w:lang w:eastAsia="zh-CN"/>
        </w:rPr>
        <w:t>20</w:t>
      </w:r>
      <w:r>
        <w:rPr>
          <w:lang w:eastAsia="zh-CN"/>
        </w:rPr>
        <w:t>日</w:t>
      </w:r>
    </w:p>
    <w:p w:rsidR="007E5738" w:rsidRDefault="00904560">
      <w:pPr>
        <w:pStyle w:val="ReadOnline"/>
        <w:rPr>
          <w:lang w:eastAsia="zh-CN"/>
        </w:rPr>
      </w:pPr>
      <w:hyperlink r:id="rId8">
        <w:proofErr w:type="gramStart"/>
        <w:r>
          <w:rPr>
            <w:lang w:eastAsia="zh-CN"/>
          </w:rPr>
          <w:t>online</w:t>
        </w:r>
        <w:proofErr w:type="gramEnd"/>
        <w:r>
          <w:rPr>
            <w:lang w:eastAsia="zh-CN"/>
          </w:rPr>
          <w:t xml:space="preserve"> version</w:t>
        </w:r>
      </w:hyperlink>
    </w:p>
    <w:p w:rsidR="007E5738" w:rsidRDefault="00904560">
      <w:pPr>
        <w:pStyle w:val="Title"/>
        <w:rPr>
          <w:lang w:eastAsia="zh-CN"/>
        </w:rPr>
      </w:pPr>
      <w:r>
        <w:rPr>
          <w:lang w:eastAsia="zh-CN"/>
        </w:rPr>
        <w:t>上海证券交易所首批</w:t>
      </w:r>
      <w:r>
        <w:rPr>
          <w:lang w:eastAsia="zh-CN"/>
        </w:rPr>
        <w:t>“</w:t>
      </w:r>
      <w:r>
        <w:rPr>
          <w:lang w:eastAsia="zh-CN"/>
        </w:rPr>
        <w:t>创新创业公司可转换债券</w:t>
      </w:r>
      <w:r>
        <w:rPr>
          <w:lang w:eastAsia="zh-CN"/>
        </w:rPr>
        <w:t>”</w:t>
      </w:r>
      <w:r>
        <w:rPr>
          <w:lang w:eastAsia="zh-CN"/>
        </w:rPr>
        <w:t>成功发行</w:t>
      </w:r>
    </w:p>
    <w:p w:rsidR="007E5738" w:rsidRDefault="00904560">
      <w:pPr>
        <w:pStyle w:val="Heading2"/>
        <w:rPr>
          <w:lang w:eastAsia="zh-CN"/>
        </w:rPr>
      </w:pPr>
      <w:bookmarkStart w:id="0" w:name="资本市场"/>
      <w:bookmarkEnd w:id="0"/>
      <w:r>
        <w:rPr>
          <w:lang w:eastAsia="zh-CN"/>
        </w:rPr>
        <w:t>资本市场</w:t>
      </w:r>
    </w:p>
    <w:p w:rsidR="007E5738" w:rsidRDefault="00904560">
      <w:pPr>
        <w:pStyle w:val="Heading3"/>
        <w:rPr>
          <w:lang w:eastAsia="zh-CN"/>
        </w:rPr>
      </w:pPr>
      <w:bookmarkStart w:id="1" w:name="上海证券交易所首批创新创业公司可转换债券成功发行"/>
      <w:bookmarkEnd w:id="1"/>
      <w:r>
        <w:rPr>
          <w:lang w:eastAsia="zh-CN"/>
        </w:rPr>
        <w:t>上海证券交易所首批</w:t>
      </w:r>
      <w:r>
        <w:rPr>
          <w:lang w:eastAsia="zh-CN"/>
        </w:rPr>
        <w:t>“</w:t>
      </w:r>
      <w:r>
        <w:rPr>
          <w:lang w:eastAsia="zh-CN"/>
        </w:rPr>
        <w:t>创新创业公司可转换债券</w:t>
      </w:r>
      <w:r>
        <w:rPr>
          <w:lang w:eastAsia="zh-CN"/>
        </w:rPr>
        <w:t>”</w:t>
      </w:r>
      <w:r>
        <w:rPr>
          <w:lang w:eastAsia="zh-CN"/>
        </w:rPr>
        <w:t>成功发行</w:t>
      </w:r>
    </w:p>
    <w:p w:rsidR="007E5738" w:rsidRDefault="00904560">
      <w:pPr>
        <w:pStyle w:val="FirstParagraph"/>
        <w:rPr>
          <w:lang w:eastAsia="zh-CN"/>
        </w:rPr>
      </w:pPr>
      <w:r>
        <w:rPr>
          <w:lang w:eastAsia="zh-CN"/>
        </w:rPr>
        <w:t>为贯彻落实国家创新驱动发展战略，完善债券市场服务实体经济模式，在中国证监会统一部署下，沪深交易所、全国股转公司、中国结算于</w:t>
      </w:r>
      <w:r>
        <w:rPr>
          <w:lang w:eastAsia="zh-CN"/>
        </w:rPr>
        <w:t>2017</w:t>
      </w:r>
      <w:r>
        <w:rPr>
          <w:lang w:eastAsia="zh-CN"/>
        </w:rPr>
        <w:t>年</w:t>
      </w:r>
      <w:r>
        <w:rPr>
          <w:lang w:eastAsia="zh-CN"/>
        </w:rPr>
        <w:t>9</w:t>
      </w:r>
      <w:r>
        <w:rPr>
          <w:lang w:eastAsia="zh-CN"/>
        </w:rPr>
        <w:t>月</w:t>
      </w:r>
      <w:r>
        <w:rPr>
          <w:lang w:eastAsia="zh-CN"/>
        </w:rPr>
        <w:t>22</w:t>
      </w:r>
      <w:r>
        <w:rPr>
          <w:lang w:eastAsia="zh-CN"/>
        </w:rPr>
        <w:t>日共同发布了《创新创业公司非公开发行可转换公司债券业务实施细则（试行）》，该细则发布后备受市场关注，相关各方积极响应。经过上海证券交易所（以下简称</w:t>
      </w:r>
      <w:r>
        <w:rPr>
          <w:lang w:eastAsia="zh-CN"/>
        </w:rPr>
        <w:t>“</w:t>
      </w:r>
      <w:r>
        <w:rPr>
          <w:lang w:eastAsia="zh-CN"/>
        </w:rPr>
        <w:t>上交所</w:t>
      </w:r>
      <w:r>
        <w:rPr>
          <w:lang w:eastAsia="zh-CN"/>
        </w:rPr>
        <w:t>”</w:t>
      </w:r>
      <w:r>
        <w:rPr>
          <w:lang w:eastAsia="zh-CN"/>
        </w:rPr>
        <w:t>）、全国股转公司、主承销商以及相关中介机构等各方的共同努力，上交所首批双创可转债于</w:t>
      </w:r>
      <w:r>
        <w:rPr>
          <w:lang w:eastAsia="zh-CN"/>
        </w:rPr>
        <w:t>2017</w:t>
      </w:r>
      <w:r>
        <w:rPr>
          <w:lang w:eastAsia="zh-CN"/>
        </w:rPr>
        <w:t>年</w:t>
      </w:r>
      <w:r>
        <w:rPr>
          <w:lang w:eastAsia="zh-CN"/>
        </w:rPr>
        <w:t>10</w:t>
      </w:r>
      <w:r>
        <w:rPr>
          <w:lang w:eastAsia="zh-CN"/>
        </w:rPr>
        <w:t>月</w:t>
      </w:r>
      <w:r>
        <w:rPr>
          <w:lang w:eastAsia="zh-CN"/>
        </w:rPr>
        <w:t>16</w:t>
      </w:r>
      <w:r>
        <w:rPr>
          <w:lang w:eastAsia="zh-CN"/>
        </w:rPr>
        <w:t>日成功发行。</w:t>
      </w:r>
    </w:p>
    <w:p w:rsidR="007E5738" w:rsidRDefault="00904560">
      <w:pPr>
        <w:pStyle w:val="BodyText"/>
        <w:rPr>
          <w:lang w:eastAsia="zh-CN"/>
        </w:rPr>
      </w:pPr>
      <w:r>
        <w:rPr>
          <w:lang w:eastAsia="zh-CN"/>
        </w:rPr>
        <w:t>发展双创可转债是贯彻落实资本市场能更好服务于国</w:t>
      </w:r>
      <w:r>
        <w:rPr>
          <w:lang w:eastAsia="zh-CN"/>
        </w:rPr>
        <w:t>家创新驱动战略和供给侧结构性改革的重要举措，也是交易所债券市场丰富债券品种体系、服务实体经济的创新手段。双创可转债一方面有助于拓宽企业的融资渠道，丰富融资方式，降低融资成本，并通过标准化的融资工具规范创新创业企业融资行为，提高公司治理水平；另一方面为投资者带来更多的投资选择和退出渠道，增强创新创业公司债的市场吸引力。上交所将继续落实投融资体制改革的要求，充分发挥交易所债券市场支持高科技成长性企业、服务实体经济的积极作用，进一步探索适合创新创业企业发展的债券市场服务支持新模式。</w:t>
      </w:r>
    </w:p>
    <w:p w:rsidR="007E5738" w:rsidRDefault="00904560">
      <w:pPr>
        <w:pStyle w:val="BodyText"/>
      </w:pPr>
      <w:hyperlink r:id="rId9">
        <w:r>
          <w:t>http://www.sse.com.cn/aboutus/mediacenter/hotandd/c/c_20171016_4401030.shtml</w:t>
        </w:r>
      </w:hyperlink>
    </w:p>
    <w:p w:rsidR="007E5738" w:rsidRDefault="00904560">
      <w:pPr>
        <w:pStyle w:val="Heading3"/>
        <w:rPr>
          <w:lang w:eastAsia="zh-CN"/>
        </w:rPr>
      </w:pPr>
      <w:bookmarkStart w:id="2" w:name="深圳证券交易所与加拿大多伦多交易所集团合作共建中加科技创新型企业服务机制"/>
      <w:bookmarkEnd w:id="2"/>
      <w:r>
        <w:rPr>
          <w:lang w:eastAsia="zh-CN"/>
        </w:rPr>
        <w:t>深圳证券交易所与加拿大多伦多交易所集团合作共建中加科技创新型企业服务机制</w:t>
      </w:r>
    </w:p>
    <w:p w:rsidR="007E5738" w:rsidRDefault="00904560">
      <w:pPr>
        <w:pStyle w:val="FirstParagraph"/>
        <w:rPr>
          <w:lang w:eastAsia="zh-CN"/>
        </w:rPr>
      </w:pPr>
      <w:r>
        <w:rPr>
          <w:lang w:eastAsia="zh-CN"/>
        </w:rPr>
        <w:t>日前，深圳证券交易所（以下简称</w:t>
      </w:r>
      <w:r>
        <w:rPr>
          <w:lang w:eastAsia="zh-CN"/>
        </w:rPr>
        <w:t>“</w:t>
      </w:r>
      <w:r>
        <w:rPr>
          <w:lang w:eastAsia="zh-CN"/>
        </w:rPr>
        <w:t>深交所</w:t>
      </w:r>
      <w:r>
        <w:rPr>
          <w:lang w:eastAsia="zh-CN"/>
        </w:rPr>
        <w:t>”</w:t>
      </w:r>
      <w:r>
        <w:rPr>
          <w:lang w:eastAsia="zh-CN"/>
        </w:rPr>
        <w:t>）与加拿大多伦多交易所集团（</w:t>
      </w:r>
      <w:r>
        <w:rPr>
          <w:lang w:eastAsia="zh-CN"/>
        </w:rPr>
        <w:t>TMX Group</w:t>
      </w:r>
      <w:r>
        <w:rPr>
          <w:lang w:eastAsia="zh-CN"/>
        </w:rPr>
        <w:t>）签署合作谅解备忘录，共同推动资本市</w:t>
      </w:r>
      <w:r>
        <w:rPr>
          <w:lang w:eastAsia="zh-CN"/>
        </w:rPr>
        <w:t>场合作，服务两国科技创新型企业发展。多伦多交易所集团是加拿大最大的交易所集团，涵盖证券发行、交易、结算、市场分析等多元化业务领域，旗下包括多伦多证券交易所、多伦多创业板市场、多伦多私募市场等证券融资平台。</w:t>
      </w:r>
    </w:p>
    <w:p w:rsidR="007E5738" w:rsidRDefault="00904560">
      <w:pPr>
        <w:pStyle w:val="BodyText"/>
        <w:rPr>
          <w:lang w:eastAsia="zh-CN"/>
        </w:rPr>
      </w:pPr>
      <w:r>
        <w:rPr>
          <w:lang w:eastAsia="zh-CN"/>
        </w:rPr>
        <w:t>根据协议，双方将在以下方面开展合作：一是积极推动人员交流。双方建立高层沟通机制，并在工作层面开展人员互访、岗位交流等方面合作，增进双方市场的相互了解，为进一步开展合作打下基础。二是促进信息展示与服务对接。双方将利用各自业务渠道，探索中加科技创新型企业在对方市场的展示，实现双方市场信息对接，并积极推动专业中</w:t>
      </w:r>
      <w:r>
        <w:rPr>
          <w:lang w:eastAsia="zh-CN"/>
        </w:rPr>
        <w:t>介机构参与中加跨境资本服务，为企业跨境投融资提供全方位服务体系。三是开展跨境产品及指数研究。双方将探索围绕创业创新主题，开展合作编制指数研究，推动对方创业创新特色指数在本地开发产品并挂牌，在跨境融资产品开发方面开展研究。</w:t>
      </w:r>
    </w:p>
    <w:p w:rsidR="007E5738" w:rsidRDefault="00904560">
      <w:pPr>
        <w:pStyle w:val="BodyText"/>
      </w:pPr>
      <w:hyperlink r:id="rId10">
        <w:r>
          <w:t>http://www.szse.cn/main/aboutus/bsyw/39775105.shtml</w:t>
        </w:r>
      </w:hyperlink>
    </w:p>
    <w:p w:rsidR="007E5738" w:rsidRDefault="00904560">
      <w:pPr>
        <w:pStyle w:val="Heading3"/>
        <w:rPr>
          <w:lang w:eastAsia="zh-CN"/>
        </w:rPr>
      </w:pPr>
      <w:bookmarkStart w:id="3" w:name="新一轮促民资政策集中出台国企混改和ppp项目成重点"/>
      <w:bookmarkEnd w:id="3"/>
      <w:r>
        <w:rPr>
          <w:lang w:eastAsia="zh-CN"/>
        </w:rPr>
        <w:t>新一轮促民资政策集中出台，国企混改和</w:t>
      </w:r>
      <w:r>
        <w:rPr>
          <w:lang w:eastAsia="zh-CN"/>
        </w:rPr>
        <w:t>PPP</w:t>
      </w:r>
      <w:r>
        <w:rPr>
          <w:lang w:eastAsia="zh-CN"/>
        </w:rPr>
        <w:t>项</w:t>
      </w:r>
      <w:r>
        <w:rPr>
          <w:lang w:eastAsia="zh-CN"/>
        </w:rPr>
        <w:t>目成重点</w:t>
      </w:r>
    </w:p>
    <w:p w:rsidR="007E5738" w:rsidRDefault="00904560">
      <w:pPr>
        <w:pStyle w:val="FirstParagraph"/>
        <w:rPr>
          <w:lang w:eastAsia="zh-CN"/>
        </w:rPr>
      </w:pPr>
      <w:r>
        <w:rPr>
          <w:lang w:eastAsia="zh-CN"/>
        </w:rPr>
        <w:t>国家统计局最新数据显示，</w:t>
      </w:r>
      <w:r>
        <w:rPr>
          <w:lang w:eastAsia="zh-CN"/>
        </w:rPr>
        <w:t>2017</w:t>
      </w:r>
      <w:r>
        <w:rPr>
          <w:lang w:eastAsia="zh-CN"/>
        </w:rPr>
        <w:t>年</w:t>
      </w:r>
      <w:r>
        <w:rPr>
          <w:lang w:eastAsia="zh-CN"/>
        </w:rPr>
        <w:t>8</w:t>
      </w:r>
      <w:r>
        <w:rPr>
          <w:lang w:eastAsia="zh-CN"/>
        </w:rPr>
        <w:t>月当月民间投资增速降至</w:t>
      </w:r>
      <w:r>
        <w:rPr>
          <w:lang w:eastAsia="zh-CN"/>
        </w:rPr>
        <w:t>3%</w:t>
      </w:r>
      <w:r>
        <w:rPr>
          <w:lang w:eastAsia="zh-CN"/>
        </w:rPr>
        <w:t>，在经历了数月的增长后连续两月呈现回落态势。研究机构预测，今年四季度民间投资仍然存在下行压力。对此，中央和地方政府新一轮促民资政策开始集中出台，放开民资进入门槛、降低民间融资成本等成为政策主要内容，而国企混改、</w:t>
      </w:r>
      <w:r>
        <w:rPr>
          <w:lang w:eastAsia="zh-CN"/>
        </w:rPr>
        <w:t>PPP</w:t>
      </w:r>
      <w:r>
        <w:rPr>
          <w:lang w:eastAsia="zh-CN"/>
        </w:rPr>
        <w:t>项目将成为未来民间资本进入的重要方面。</w:t>
      </w:r>
    </w:p>
    <w:p w:rsidR="007E5738" w:rsidRDefault="00904560">
      <w:pPr>
        <w:pStyle w:val="BodyText"/>
        <w:rPr>
          <w:lang w:eastAsia="zh-CN"/>
        </w:rPr>
      </w:pPr>
      <w:r>
        <w:rPr>
          <w:lang w:eastAsia="zh-CN"/>
        </w:rPr>
        <w:lastRenderedPageBreak/>
        <w:t>国务院日前也印发了进一步激发民间投资的指导意见，通过鼓励民间资本参与</w:t>
      </w:r>
      <w:r>
        <w:rPr>
          <w:lang w:eastAsia="zh-CN"/>
        </w:rPr>
        <w:t>PPP</w:t>
      </w:r>
      <w:r>
        <w:rPr>
          <w:lang w:eastAsia="zh-CN"/>
        </w:rPr>
        <w:t>项目、降低企业经营成本等方式进一步提振民间投资。而国家发改委等部门表示，未来将进一步加大促进民间投资的政策支持</w:t>
      </w:r>
      <w:r>
        <w:rPr>
          <w:lang w:eastAsia="zh-CN"/>
        </w:rPr>
        <w:t>力度，建立合理回报机制，进一步放开民间资本进入的范围。发改委表示，进一步激发民间投资仍是未来的重要工作，将通过落实民间投资支持政策、优化民间投资环境、进一步推进</w:t>
      </w:r>
      <w:r>
        <w:rPr>
          <w:lang w:eastAsia="zh-CN"/>
        </w:rPr>
        <w:t>PPP</w:t>
      </w:r>
      <w:r>
        <w:rPr>
          <w:lang w:eastAsia="zh-CN"/>
        </w:rPr>
        <w:t>项目发展等方式推进民间投资持续发展。国务院常务会议日前也明确，要深入推进重点领域国企混合所有制改革，并积极引入社会资本参与央企重组。</w:t>
      </w:r>
    </w:p>
    <w:p w:rsidR="007E5738" w:rsidRDefault="00904560">
      <w:pPr>
        <w:pStyle w:val="BodyText"/>
      </w:pPr>
      <w:hyperlink r:id="rId11">
        <w:r>
          <w:t>http://www.cfen.com.cn/zyx</w:t>
        </w:r>
        <w:r>
          <w:t>w/yw/201710/t20171016_2721565.html</w:t>
        </w:r>
      </w:hyperlink>
    </w:p>
    <w:p w:rsidR="007E5738" w:rsidRDefault="00904560">
      <w:pPr>
        <w:pStyle w:val="Heading3"/>
        <w:rPr>
          <w:lang w:eastAsia="zh-CN"/>
        </w:rPr>
      </w:pPr>
      <w:bookmarkStart w:id="4" w:name="世界银行与国际货币基金组织年会首次聚焦一带一路"/>
      <w:bookmarkEnd w:id="4"/>
      <w:r>
        <w:rPr>
          <w:lang w:eastAsia="zh-CN"/>
        </w:rPr>
        <w:t>世界银行与国际货币基金组织年会首次聚焦</w:t>
      </w:r>
      <w:r>
        <w:rPr>
          <w:lang w:eastAsia="zh-CN"/>
        </w:rPr>
        <w:t>“</w:t>
      </w:r>
      <w:r>
        <w:rPr>
          <w:lang w:eastAsia="zh-CN"/>
        </w:rPr>
        <w:t>一带一路</w:t>
      </w:r>
      <w:r>
        <w:rPr>
          <w:lang w:eastAsia="zh-CN"/>
        </w:rPr>
        <w:t>”</w:t>
      </w:r>
    </w:p>
    <w:p w:rsidR="007E5738" w:rsidRDefault="00904560">
      <w:pPr>
        <w:pStyle w:val="FirstParagraph"/>
        <w:rPr>
          <w:lang w:eastAsia="zh-CN"/>
        </w:rPr>
      </w:pPr>
      <w:r>
        <w:rPr>
          <w:lang w:eastAsia="zh-CN"/>
        </w:rPr>
        <w:t>近日，中国财政部与世界银行在美国华盛顿共同举办</w:t>
      </w:r>
      <w:r>
        <w:rPr>
          <w:lang w:eastAsia="zh-CN"/>
        </w:rPr>
        <w:t>“</w:t>
      </w:r>
      <w:r>
        <w:rPr>
          <w:lang w:eastAsia="zh-CN"/>
        </w:rPr>
        <w:t>一带一路</w:t>
      </w:r>
      <w:r>
        <w:rPr>
          <w:lang w:eastAsia="zh-CN"/>
        </w:rPr>
        <w:t>”</w:t>
      </w:r>
      <w:r>
        <w:rPr>
          <w:lang w:eastAsia="zh-CN"/>
        </w:rPr>
        <w:t>高级别研讨会。本次会议是中方与世界银行在今年</w:t>
      </w:r>
      <w:r>
        <w:rPr>
          <w:lang w:eastAsia="zh-CN"/>
        </w:rPr>
        <w:t>5</w:t>
      </w:r>
      <w:r>
        <w:rPr>
          <w:lang w:eastAsia="zh-CN"/>
        </w:rPr>
        <w:t>月</w:t>
      </w:r>
      <w:r>
        <w:rPr>
          <w:lang w:eastAsia="zh-CN"/>
        </w:rPr>
        <w:t>“</w:t>
      </w:r>
      <w:r>
        <w:rPr>
          <w:lang w:eastAsia="zh-CN"/>
        </w:rPr>
        <w:t>一带一路</w:t>
      </w:r>
      <w:r>
        <w:rPr>
          <w:lang w:eastAsia="zh-CN"/>
        </w:rPr>
        <w:t>”</w:t>
      </w:r>
      <w:r>
        <w:rPr>
          <w:lang w:eastAsia="zh-CN"/>
        </w:rPr>
        <w:t>国际合作高峰论坛后商议的合作计划，是世界银行与国际货币基金组织年会首次聚焦</w:t>
      </w:r>
      <w:r>
        <w:rPr>
          <w:lang w:eastAsia="zh-CN"/>
        </w:rPr>
        <w:t>“</w:t>
      </w:r>
      <w:r>
        <w:rPr>
          <w:lang w:eastAsia="zh-CN"/>
        </w:rPr>
        <w:t>一带一路</w:t>
      </w:r>
      <w:r>
        <w:rPr>
          <w:lang w:eastAsia="zh-CN"/>
        </w:rPr>
        <w:t>”</w:t>
      </w:r>
      <w:r>
        <w:rPr>
          <w:lang w:eastAsia="zh-CN"/>
        </w:rPr>
        <w:t>倡议。</w:t>
      </w:r>
    </w:p>
    <w:p w:rsidR="007E5738" w:rsidRDefault="00904560">
      <w:pPr>
        <w:pStyle w:val="BodyText"/>
        <w:rPr>
          <w:lang w:eastAsia="zh-CN"/>
        </w:rPr>
      </w:pPr>
      <w:r>
        <w:rPr>
          <w:lang w:eastAsia="zh-CN"/>
        </w:rPr>
        <w:t>中国财政部副部长史耀斌强调，资金融通是</w:t>
      </w:r>
      <w:r>
        <w:rPr>
          <w:lang w:eastAsia="zh-CN"/>
        </w:rPr>
        <w:t>“</w:t>
      </w:r>
      <w:r>
        <w:rPr>
          <w:lang w:eastAsia="zh-CN"/>
        </w:rPr>
        <w:t>一带一路</w:t>
      </w:r>
      <w:r>
        <w:rPr>
          <w:lang w:eastAsia="zh-CN"/>
        </w:rPr>
        <w:t>”</w:t>
      </w:r>
      <w:r>
        <w:rPr>
          <w:lang w:eastAsia="zh-CN"/>
        </w:rPr>
        <w:t>建设的重要支撑。今年</w:t>
      </w:r>
      <w:r>
        <w:rPr>
          <w:lang w:eastAsia="zh-CN"/>
        </w:rPr>
        <w:t>5</w:t>
      </w:r>
      <w:r>
        <w:rPr>
          <w:lang w:eastAsia="zh-CN"/>
        </w:rPr>
        <w:t>月，中国财政部与</w:t>
      </w:r>
      <w:r>
        <w:rPr>
          <w:lang w:eastAsia="zh-CN"/>
        </w:rPr>
        <w:t>26</w:t>
      </w:r>
      <w:r>
        <w:rPr>
          <w:lang w:eastAsia="zh-CN"/>
        </w:rPr>
        <w:t>国财政部共同核准了《</w:t>
      </w:r>
      <w:r>
        <w:rPr>
          <w:lang w:eastAsia="zh-CN"/>
        </w:rPr>
        <w:t>“</w:t>
      </w:r>
      <w:r>
        <w:rPr>
          <w:lang w:eastAsia="zh-CN"/>
        </w:rPr>
        <w:t>一带一路</w:t>
      </w:r>
      <w:r>
        <w:rPr>
          <w:lang w:eastAsia="zh-CN"/>
        </w:rPr>
        <w:t>”</w:t>
      </w:r>
      <w:r>
        <w:rPr>
          <w:lang w:eastAsia="zh-CN"/>
        </w:rPr>
        <w:t>融资指导原则》，与世行、亚投行、新开发银行、亚行、欧投</w:t>
      </w:r>
      <w:r>
        <w:rPr>
          <w:lang w:eastAsia="zh-CN"/>
        </w:rPr>
        <w:t>行、欧洲复兴开发银行共同签署了加强</w:t>
      </w:r>
      <w:r>
        <w:rPr>
          <w:lang w:eastAsia="zh-CN"/>
        </w:rPr>
        <w:t>“</w:t>
      </w:r>
      <w:r>
        <w:rPr>
          <w:lang w:eastAsia="zh-CN"/>
        </w:rPr>
        <w:t>一带一路</w:t>
      </w:r>
      <w:r>
        <w:rPr>
          <w:lang w:eastAsia="zh-CN"/>
        </w:rPr>
        <w:t>”</w:t>
      </w:r>
      <w:r>
        <w:rPr>
          <w:lang w:eastAsia="zh-CN"/>
        </w:rPr>
        <w:t>合作备忘录。财政部联合多边开发银行将设立多边开发融资合作中心，共同组织培训、研讨，分享各国发展经验，介绍多边开发融资领域的良好实践，促进</w:t>
      </w:r>
      <w:r>
        <w:rPr>
          <w:lang w:eastAsia="zh-CN"/>
        </w:rPr>
        <w:t>“</w:t>
      </w:r>
      <w:r>
        <w:rPr>
          <w:lang w:eastAsia="zh-CN"/>
        </w:rPr>
        <w:t>一带一路</w:t>
      </w:r>
      <w:r>
        <w:rPr>
          <w:lang w:eastAsia="zh-CN"/>
        </w:rPr>
        <w:t>”</w:t>
      </w:r>
      <w:r>
        <w:rPr>
          <w:lang w:eastAsia="zh-CN"/>
        </w:rPr>
        <w:t>沿线国家政府和企业的能力建设，支持</w:t>
      </w:r>
      <w:r>
        <w:rPr>
          <w:lang w:eastAsia="zh-CN"/>
        </w:rPr>
        <w:t>“</w:t>
      </w:r>
      <w:r>
        <w:rPr>
          <w:lang w:eastAsia="zh-CN"/>
        </w:rPr>
        <w:t>一带一路</w:t>
      </w:r>
      <w:r>
        <w:rPr>
          <w:lang w:eastAsia="zh-CN"/>
        </w:rPr>
        <w:t>”</w:t>
      </w:r>
      <w:r>
        <w:rPr>
          <w:lang w:eastAsia="zh-CN"/>
        </w:rPr>
        <w:t>重点项目的前期准备，开展多种形式的资金合作。</w:t>
      </w:r>
    </w:p>
    <w:p w:rsidR="007E5738" w:rsidRDefault="00904560">
      <w:pPr>
        <w:pStyle w:val="BodyText"/>
      </w:pPr>
      <w:hyperlink r:id="rId12">
        <w:r>
          <w:t>http://www.cfen.com.cn/cjxw/jr/20</w:t>
        </w:r>
        <w:r>
          <w:t>1710/t20171018_2726632.html</w:t>
        </w:r>
      </w:hyperlink>
    </w:p>
    <w:p w:rsidR="007E5738" w:rsidRDefault="00904560">
      <w:pPr>
        <w:pStyle w:val="Heading2"/>
        <w:rPr>
          <w:lang w:eastAsia="zh-CN"/>
        </w:rPr>
      </w:pPr>
      <w:bookmarkStart w:id="5" w:name="保险"/>
      <w:bookmarkEnd w:id="5"/>
      <w:r>
        <w:rPr>
          <w:lang w:eastAsia="zh-CN"/>
        </w:rPr>
        <w:t>保险</w:t>
      </w:r>
    </w:p>
    <w:p w:rsidR="007E5738" w:rsidRDefault="00904560">
      <w:pPr>
        <w:pStyle w:val="Heading3"/>
        <w:rPr>
          <w:lang w:eastAsia="zh-CN"/>
        </w:rPr>
      </w:pPr>
      <w:bookmarkStart w:id="6" w:name="保险蓝皮书-中国保险市场发展分析2017发布"/>
      <w:bookmarkEnd w:id="6"/>
      <w:r>
        <w:rPr>
          <w:lang w:eastAsia="zh-CN"/>
        </w:rPr>
        <w:t>《保险蓝皮书</w:t>
      </w:r>
      <w:r>
        <w:rPr>
          <w:lang w:eastAsia="zh-CN"/>
        </w:rPr>
        <w:t>-</w:t>
      </w:r>
      <w:r>
        <w:rPr>
          <w:lang w:eastAsia="zh-CN"/>
        </w:rPr>
        <w:t>中国保险市场发展分析（</w:t>
      </w:r>
      <w:r>
        <w:rPr>
          <w:lang w:eastAsia="zh-CN"/>
        </w:rPr>
        <w:t>2017</w:t>
      </w:r>
      <w:r>
        <w:rPr>
          <w:lang w:eastAsia="zh-CN"/>
        </w:rPr>
        <w:t>）》发布</w:t>
      </w:r>
    </w:p>
    <w:p w:rsidR="007E5738" w:rsidRDefault="00904560">
      <w:pPr>
        <w:pStyle w:val="FirstParagraph"/>
        <w:rPr>
          <w:lang w:eastAsia="zh-CN"/>
        </w:rPr>
      </w:pPr>
      <w:r>
        <w:rPr>
          <w:lang w:eastAsia="zh-CN"/>
        </w:rPr>
        <w:t>党的十八大以来，保险业在国家改革发展全局中发挥了越来越重要的作用，近日，</w:t>
      </w:r>
      <w:r>
        <w:rPr>
          <w:lang w:eastAsia="zh-CN"/>
        </w:rPr>
        <w:t>“</w:t>
      </w:r>
      <w:r>
        <w:rPr>
          <w:lang w:eastAsia="zh-CN"/>
        </w:rPr>
        <w:t>第三届中国保险市场发展圆桌论坛</w:t>
      </w:r>
      <w:r>
        <w:rPr>
          <w:lang w:eastAsia="zh-CN"/>
        </w:rPr>
        <w:t>”</w:t>
      </w:r>
      <w:r>
        <w:rPr>
          <w:lang w:eastAsia="zh-CN"/>
        </w:rPr>
        <w:t>在京举行，论坛同时发布了《保险蓝皮书</w:t>
      </w:r>
      <w:r>
        <w:rPr>
          <w:lang w:eastAsia="zh-CN"/>
        </w:rPr>
        <w:t>—</w:t>
      </w:r>
      <w:r>
        <w:rPr>
          <w:lang w:eastAsia="zh-CN"/>
        </w:rPr>
        <w:t>中国保险市场发展分析（</w:t>
      </w:r>
      <w:r>
        <w:rPr>
          <w:lang w:eastAsia="zh-CN"/>
        </w:rPr>
        <w:t>2017</w:t>
      </w:r>
      <w:r>
        <w:rPr>
          <w:lang w:eastAsia="zh-CN"/>
        </w:rPr>
        <w:t>）》。</w:t>
      </w:r>
    </w:p>
    <w:p w:rsidR="007E5738" w:rsidRDefault="00904560">
      <w:pPr>
        <w:pStyle w:val="BodyText"/>
        <w:rPr>
          <w:lang w:eastAsia="zh-CN"/>
        </w:rPr>
      </w:pPr>
      <w:r>
        <w:rPr>
          <w:lang w:eastAsia="zh-CN"/>
        </w:rPr>
        <w:t>此次发布的《保险蓝皮书</w:t>
      </w:r>
      <w:r>
        <w:rPr>
          <w:lang w:eastAsia="zh-CN"/>
        </w:rPr>
        <w:t>—</w:t>
      </w:r>
      <w:r>
        <w:rPr>
          <w:lang w:eastAsia="zh-CN"/>
        </w:rPr>
        <w:t>中国保险市场发展分析（</w:t>
      </w:r>
      <w:r>
        <w:rPr>
          <w:lang w:eastAsia="zh-CN"/>
        </w:rPr>
        <w:t>2017</w:t>
      </w:r>
      <w:r>
        <w:rPr>
          <w:lang w:eastAsia="zh-CN"/>
        </w:rPr>
        <w:t>）》运用了现代经济学理论、精算模型、大数据平台和现代统计分析工具，采用定性和定量两种研究方法，总结国内外特别是发达国家保险产业发展结构，探讨中国保险市场和各经营</w:t>
      </w:r>
      <w:r>
        <w:rPr>
          <w:lang w:eastAsia="zh-CN"/>
        </w:rPr>
        <w:t>主体的发展规律，分析中国保险市场中的产品结构、服务水平和消费者保护等方面的特点，并从保险科技、保险创新和保险监管等几个方面对中国保险市场发展的现状和发展趋势进行了研究，而且对中国保险公司的社会责任发展作出了专题分析。</w:t>
      </w:r>
    </w:p>
    <w:p w:rsidR="007E5738" w:rsidRDefault="00904560">
      <w:pPr>
        <w:pStyle w:val="BodyText"/>
      </w:pPr>
      <w:hyperlink r:id="rId13">
        <w:r>
          <w:t>http://xw.sinoins.com/2017-10/13/content_244672.htm</w:t>
        </w:r>
      </w:hyperlink>
    </w:p>
    <w:p w:rsidR="007E5738" w:rsidRDefault="00904560">
      <w:pPr>
        <w:pStyle w:val="Heading2"/>
        <w:rPr>
          <w:lang w:eastAsia="zh-CN"/>
        </w:rPr>
      </w:pPr>
      <w:bookmarkStart w:id="7" w:name="税收"/>
      <w:bookmarkEnd w:id="7"/>
      <w:r>
        <w:rPr>
          <w:lang w:eastAsia="zh-CN"/>
        </w:rPr>
        <w:t>税收</w:t>
      </w:r>
    </w:p>
    <w:p w:rsidR="007E5738" w:rsidRDefault="00904560">
      <w:pPr>
        <w:pStyle w:val="Heading3"/>
        <w:rPr>
          <w:lang w:eastAsia="zh-CN"/>
        </w:rPr>
      </w:pPr>
      <w:bookmarkStart w:id="8" w:name="水资源税试点首轮扩围在即京津鲁等多地有望纳入"/>
      <w:bookmarkEnd w:id="8"/>
      <w:r>
        <w:rPr>
          <w:lang w:eastAsia="zh-CN"/>
        </w:rPr>
        <w:t>水资源税试点首轮扩围在即，京津鲁等多地有望</w:t>
      </w:r>
      <w:r>
        <w:rPr>
          <w:lang w:eastAsia="zh-CN"/>
        </w:rPr>
        <w:t>纳入</w:t>
      </w:r>
    </w:p>
    <w:p w:rsidR="007E5738" w:rsidRDefault="00904560">
      <w:pPr>
        <w:pStyle w:val="FirstParagraph"/>
        <w:rPr>
          <w:lang w:eastAsia="zh-CN"/>
        </w:rPr>
      </w:pPr>
      <w:r>
        <w:rPr>
          <w:lang w:eastAsia="zh-CN"/>
        </w:rPr>
        <w:t>作为绿色税收，我国资源税改革以及水资源税试点均已走过一年多时光。《经济参考报》记者获悉，当前，水资源税试点分步扩围正在密集筹备中，包括北京、天津、山东、山西、陕西、内蒙古等地有望纳入首轮扩围。</w:t>
      </w:r>
    </w:p>
    <w:p w:rsidR="007E5738" w:rsidRDefault="00904560">
      <w:pPr>
        <w:pStyle w:val="BodyText"/>
        <w:rPr>
          <w:lang w:eastAsia="zh-CN"/>
        </w:rPr>
      </w:pPr>
      <w:r>
        <w:rPr>
          <w:lang w:eastAsia="zh-CN"/>
        </w:rPr>
        <w:t>为了深入了解水资源税改革有关情况，切实做好改革前期工作，陕西、内蒙古等多地已经密集开展调研准备工作。据悉，调研准备工作包括成立当地财政、水利、住建、地税等部门组成的调研组，对当地水资源、供水设施、取水单位以及水资源费收入等情况，研究分析水资源费改税对当地水资源节约保护、企业税负、财政收入等方面的影响等，并分析研判存在的问题和面临的挑战</w:t>
      </w:r>
      <w:r>
        <w:rPr>
          <w:lang w:eastAsia="zh-CN"/>
        </w:rPr>
        <w:lastRenderedPageBreak/>
        <w:t>，对建立征收管理制度、调整水资源税征收标准及结构、制定税收返还政策、明确征管主体责任等形成建议和改革依据。</w:t>
      </w:r>
    </w:p>
    <w:p w:rsidR="007E5738" w:rsidRDefault="00904560">
      <w:pPr>
        <w:pStyle w:val="BodyText"/>
      </w:pPr>
      <w:hyperlink r:id="rId14">
        <w:r>
          <w:t>http://www.cfen.com.cn/zyxw/yw/201710/t20171016_2721554.html</w:t>
        </w:r>
      </w:hyperlink>
    </w:p>
    <w:p w:rsidR="007E5738" w:rsidRDefault="00904560">
      <w:pPr>
        <w:pStyle w:val="Heading3"/>
        <w:rPr>
          <w:lang w:eastAsia="zh-CN"/>
        </w:rPr>
      </w:pPr>
      <w:bookmarkStart w:id="9" w:name="国家税务总局进一步规范改进税收执法"/>
      <w:bookmarkEnd w:id="9"/>
      <w:r>
        <w:rPr>
          <w:lang w:eastAsia="zh-CN"/>
        </w:rPr>
        <w:t>国家税务总局进一步规范改进税收执法</w:t>
      </w:r>
    </w:p>
    <w:p w:rsidR="007E5738" w:rsidRDefault="00904560">
      <w:pPr>
        <w:pStyle w:val="FirstParagraph"/>
        <w:rPr>
          <w:lang w:eastAsia="zh-CN"/>
        </w:rPr>
      </w:pPr>
      <w:r>
        <w:rPr>
          <w:lang w:eastAsia="zh-CN"/>
        </w:rPr>
        <w:t>为深入贯彻落实中央财经领导小组第十六次会议，国家税务总局近日发出通知，从事前明责晰权、规范执法行为、完善执法程序、规范行政裁量权和强化执法监督</w:t>
      </w:r>
      <w:r>
        <w:rPr>
          <w:lang w:eastAsia="zh-CN"/>
        </w:rPr>
        <w:t>5</w:t>
      </w:r>
      <w:r>
        <w:rPr>
          <w:lang w:eastAsia="zh-CN"/>
        </w:rPr>
        <w:t>个方面，对进一步规范和改进税收执法工作提出要求，营造稳定公平透明、可预期的营商环境。</w:t>
      </w:r>
    </w:p>
    <w:p w:rsidR="007E5738" w:rsidRDefault="00904560">
      <w:pPr>
        <w:pStyle w:val="BodyText"/>
        <w:rPr>
          <w:lang w:eastAsia="zh-CN"/>
        </w:rPr>
      </w:pPr>
      <w:r>
        <w:rPr>
          <w:lang w:eastAsia="zh-CN"/>
        </w:rPr>
        <w:t>通知提出，在税务系统全面推行权责</w:t>
      </w:r>
      <w:r>
        <w:rPr>
          <w:lang w:eastAsia="zh-CN"/>
        </w:rPr>
        <w:t>清单管理，编制并公布权责事项运行流程图和服务指南，开展试点，为群众办事提供便利。稳妥推行税务系统权力和责任清单制度，适时印发税务系统权责清单范本，形成上下贯通、有机衔接、运转顺畅和透明高效的全国税务系统权责清单运行体系，营造公平公正的税收环境。通知要求各级税务机关要规范执法行为，清理并减少进户执法事项，严格进户执法计划管理，推动国地税执法资源整合，减轻纳税人负担，要完善执法程序，细化执法指引，加强执法记录，改进执法方式，强化权力制约，维护纳税人合法权益。</w:t>
      </w:r>
    </w:p>
    <w:p w:rsidR="007E5738" w:rsidRDefault="00904560">
      <w:pPr>
        <w:pStyle w:val="BodyText"/>
      </w:pPr>
      <w:hyperlink r:id="rId15">
        <w:r>
          <w:t>http://www.cfen.com.cn/cjxw/ss/201710/t20171012_2719254.html</w:t>
        </w:r>
      </w:hyperlink>
    </w:p>
    <w:p w:rsidR="007E5738" w:rsidRDefault="00904560">
      <w:pPr>
        <w:pStyle w:val="Heading2"/>
        <w:rPr>
          <w:lang w:eastAsia="zh-CN"/>
        </w:rPr>
      </w:pPr>
      <w:bookmarkStart w:id="10" w:name="行业"/>
      <w:bookmarkEnd w:id="10"/>
      <w:r>
        <w:rPr>
          <w:lang w:eastAsia="zh-CN"/>
        </w:rPr>
        <w:t>行业</w:t>
      </w:r>
    </w:p>
    <w:p w:rsidR="007E5738" w:rsidRDefault="00904560">
      <w:pPr>
        <w:pStyle w:val="Heading3"/>
        <w:rPr>
          <w:lang w:eastAsia="zh-CN"/>
        </w:rPr>
      </w:pPr>
      <w:bookmarkStart w:id="11" w:name="国家工商总局公布拍卖监督管理办法-2017年11月起施行"/>
      <w:bookmarkEnd w:id="11"/>
      <w:r>
        <w:rPr>
          <w:lang w:eastAsia="zh-CN"/>
        </w:rPr>
        <w:t>国家工商总局公布《拍卖监督管理办法》</w:t>
      </w:r>
      <w:r>
        <w:rPr>
          <w:lang w:eastAsia="zh-CN"/>
        </w:rPr>
        <w:t xml:space="preserve"> 2017</w:t>
      </w:r>
      <w:r>
        <w:rPr>
          <w:lang w:eastAsia="zh-CN"/>
        </w:rPr>
        <w:t>年</w:t>
      </w:r>
      <w:r>
        <w:rPr>
          <w:lang w:eastAsia="zh-CN"/>
        </w:rPr>
        <w:t>11</w:t>
      </w:r>
      <w:r>
        <w:rPr>
          <w:lang w:eastAsia="zh-CN"/>
        </w:rPr>
        <w:t>月起施行</w:t>
      </w:r>
    </w:p>
    <w:p w:rsidR="007E5738" w:rsidRDefault="00904560">
      <w:pPr>
        <w:pStyle w:val="FirstParagraph"/>
        <w:rPr>
          <w:lang w:eastAsia="zh-CN"/>
        </w:rPr>
      </w:pPr>
      <w:r>
        <w:rPr>
          <w:lang w:eastAsia="zh-CN"/>
        </w:rPr>
        <w:t>据国家工商总局网站消息，《拍卖监督管理办法》</w:t>
      </w:r>
      <w:r>
        <w:rPr>
          <w:rFonts w:eastAsiaTheme="minorEastAsia" w:hint="eastAsia"/>
          <w:lang w:eastAsia="zh-CN"/>
        </w:rPr>
        <w:t>（</w:t>
      </w:r>
      <w:r>
        <w:rPr>
          <w:lang w:eastAsia="zh-CN"/>
        </w:rPr>
        <w:t>以下简称《办法》</w:t>
      </w:r>
      <w:r>
        <w:rPr>
          <w:rFonts w:eastAsiaTheme="minorEastAsia" w:hint="eastAsia"/>
          <w:lang w:eastAsia="zh-CN"/>
        </w:rPr>
        <w:t>）</w:t>
      </w:r>
      <w:r>
        <w:rPr>
          <w:lang w:eastAsia="zh-CN"/>
        </w:rPr>
        <w:t>已经由国家工商行政管理总局局务会议审议通过，现予公布，自</w:t>
      </w:r>
      <w:r>
        <w:rPr>
          <w:lang w:eastAsia="zh-CN"/>
        </w:rPr>
        <w:t>2017</w:t>
      </w:r>
      <w:r>
        <w:rPr>
          <w:lang w:eastAsia="zh-CN"/>
        </w:rPr>
        <w:t>年</w:t>
      </w:r>
      <w:r>
        <w:rPr>
          <w:lang w:eastAsia="zh-CN"/>
        </w:rPr>
        <w:t>11</w:t>
      </w:r>
      <w:r>
        <w:rPr>
          <w:lang w:eastAsia="zh-CN"/>
        </w:rPr>
        <w:t>月</w:t>
      </w:r>
      <w:r>
        <w:rPr>
          <w:lang w:eastAsia="zh-CN"/>
        </w:rPr>
        <w:t>1</w:t>
      </w:r>
      <w:r>
        <w:rPr>
          <w:lang w:eastAsia="zh-CN"/>
        </w:rPr>
        <w:t>日起施行，</w:t>
      </w:r>
      <w:r>
        <w:rPr>
          <w:lang w:eastAsia="zh-CN"/>
        </w:rPr>
        <w:t>2013</w:t>
      </w:r>
      <w:r>
        <w:rPr>
          <w:lang w:eastAsia="zh-CN"/>
        </w:rPr>
        <w:t>年</w:t>
      </w:r>
      <w:r>
        <w:rPr>
          <w:lang w:eastAsia="zh-CN"/>
        </w:rPr>
        <w:t>1</w:t>
      </w:r>
      <w:r>
        <w:rPr>
          <w:lang w:eastAsia="zh-CN"/>
        </w:rPr>
        <w:t>月</w:t>
      </w:r>
      <w:r>
        <w:rPr>
          <w:lang w:eastAsia="zh-CN"/>
        </w:rPr>
        <w:t>5</w:t>
      </w:r>
      <w:r>
        <w:rPr>
          <w:lang w:eastAsia="zh-CN"/>
        </w:rPr>
        <w:t>日国家工商行政管理总局令第</w:t>
      </w:r>
      <w:r>
        <w:rPr>
          <w:lang w:eastAsia="zh-CN"/>
        </w:rPr>
        <w:t>59</w:t>
      </w:r>
      <w:r>
        <w:rPr>
          <w:lang w:eastAsia="zh-CN"/>
        </w:rPr>
        <w:t>号修订的《拍卖监督管</w:t>
      </w:r>
      <w:r>
        <w:rPr>
          <w:lang w:eastAsia="zh-CN"/>
        </w:rPr>
        <w:t>理办法》同时废止。</w:t>
      </w:r>
    </w:p>
    <w:p w:rsidR="007E5738" w:rsidRDefault="00904560">
      <w:pPr>
        <w:pStyle w:val="BodyText"/>
        <w:rPr>
          <w:lang w:eastAsia="zh-CN"/>
        </w:rPr>
      </w:pPr>
      <w:r>
        <w:rPr>
          <w:lang w:eastAsia="zh-CN"/>
        </w:rPr>
        <w:t>《办法》规定，拍卖人不得采用财物或者其他手段进行贿赂以争揽业务；不得利用拍卖公告或者其他方法，对拍卖标的作引人误解的虚假宣传；不得捏造、散布虚假事实，损害其他拍卖人的商业信誉；不得以不正当手段侵犯他人的商业秘密；不得拍卖人及其工作人员以竞买人的身份参与自己组织的拍卖活动，或者委托他人代为竞买；不得在自己组织的拍卖活动中拍卖自己的物品或者财产权利；不得雇佣非拍卖师主持拍卖活动；不得其他违反法律法规及规章的行为。</w:t>
      </w:r>
    </w:p>
    <w:p w:rsidR="007E5738" w:rsidRDefault="00904560">
      <w:pPr>
        <w:pStyle w:val="BodyText"/>
      </w:pPr>
      <w:hyperlink r:id="rId16">
        <w:r>
          <w:t>http://www.chinacourt.org/article/detail/2017/10/id/3016575.shtml</w:t>
        </w:r>
      </w:hyperlink>
    </w:p>
    <w:p w:rsidR="007E5738" w:rsidRDefault="00904560">
      <w:pPr>
        <w:pStyle w:val="Heading3"/>
        <w:rPr>
          <w:lang w:eastAsia="zh-CN"/>
        </w:rPr>
      </w:pPr>
      <w:bookmarkStart w:id="12" w:name="北京市推进政策性住房建设进度"/>
      <w:bookmarkEnd w:id="12"/>
      <w:r>
        <w:rPr>
          <w:lang w:eastAsia="zh-CN"/>
        </w:rPr>
        <w:t>北京市推进政策性住房建设进度</w:t>
      </w:r>
    </w:p>
    <w:p w:rsidR="007E5738" w:rsidRDefault="00904560">
      <w:pPr>
        <w:pStyle w:val="FirstParagraph"/>
        <w:rPr>
          <w:lang w:eastAsia="zh-CN"/>
        </w:rPr>
      </w:pPr>
      <w:r>
        <w:rPr>
          <w:lang w:eastAsia="zh-CN"/>
        </w:rPr>
        <w:t>为保障民生需求，加快推进政策性住房、商品房及配套设施建设任务的落地，北京市住房和城乡建设委员会近日印发《关于加快推进</w:t>
      </w:r>
      <w:r>
        <w:rPr>
          <w:lang w:eastAsia="zh-CN"/>
        </w:rPr>
        <w:t>2017</w:t>
      </w:r>
      <w:r>
        <w:rPr>
          <w:lang w:eastAsia="zh-CN"/>
        </w:rPr>
        <w:t>年政策性住房、商品房及配套设施投资任务落实的通知》</w:t>
      </w:r>
      <w:r>
        <w:rPr>
          <w:rFonts w:eastAsiaTheme="minorEastAsia" w:hint="eastAsia"/>
          <w:lang w:eastAsia="zh-CN"/>
        </w:rPr>
        <w:t>（</w:t>
      </w:r>
      <w:r>
        <w:rPr>
          <w:lang w:eastAsia="zh-CN"/>
        </w:rPr>
        <w:t>以下简称</w:t>
      </w:r>
      <w:r>
        <w:rPr>
          <w:lang w:eastAsia="zh-CN"/>
        </w:rPr>
        <w:t>《通知》</w:t>
      </w:r>
      <w:r>
        <w:rPr>
          <w:rFonts w:eastAsiaTheme="minorEastAsia" w:hint="eastAsia"/>
          <w:lang w:eastAsia="zh-CN"/>
        </w:rPr>
        <w:t>）</w:t>
      </w:r>
      <w:bookmarkStart w:id="13" w:name="_GoBack"/>
      <w:bookmarkEnd w:id="13"/>
      <w:r>
        <w:rPr>
          <w:lang w:eastAsia="zh-CN"/>
        </w:rPr>
        <w:t>。</w:t>
      </w:r>
    </w:p>
    <w:p w:rsidR="007E5738" w:rsidRDefault="00904560">
      <w:pPr>
        <w:pStyle w:val="BodyText"/>
        <w:rPr>
          <w:lang w:eastAsia="zh-CN"/>
        </w:rPr>
      </w:pPr>
      <w:r>
        <w:rPr>
          <w:lang w:eastAsia="zh-CN"/>
        </w:rPr>
        <w:t>《通知》要求，各区住建委、房管局主管领导要亲自带队，定期赴项目现场进行巡查，通过督促项目投资落地，加快项目建设进度。按照计划，北京市住建委将于近日赴重点区域、重点项目开展专项调度、专项督查，加快推进政策性住房、商品房及配套设施建设任务落实，加快建设进度，尽快形成有效供应。北京市住建委负责人表示，市、区两级住建委将继续加大协调推进力度，全力推进政策性住房、商品房及配套设施的开工和建设进度，尽快形成有效供应，惠及更多民众，满足民生住房需求。</w:t>
      </w:r>
    </w:p>
    <w:p w:rsidR="007E5738" w:rsidRDefault="00904560">
      <w:pPr>
        <w:pStyle w:val="BodyText"/>
      </w:pPr>
      <w:hyperlink r:id="rId17">
        <w:r>
          <w:t>http://www.chinacourt.org/article/detail/2017/10/id/3017123.shtml</w:t>
        </w:r>
      </w:hyperlink>
    </w:p>
    <w:p w:rsidR="007E5738" w:rsidRDefault="00904560">
      <w:pPr>
        <w:pStyle w:val="Heading3"/>
        <w:rPr>
          <w:lang w:eastAsia="zh-CN"/>
        </w:rPr>
      </w:pPr>
      <w:bookmarkStart w:id="14" w:name="最高人民法院司法部出台关于开展律师调解试点工作的意见"/>
      <w:bookmarkEnd w:id="14"/>
      <w:r>
        <w:rPr>
          <w:lang w:eastAsia="zh-CN"/>
        </w:rPr>
        <w:lastRenderedPageBreak/>
        <w:t>最高人民法院、司法部出台《关于开展律师调解试点工作的意见》</w:t>
      </w:r>
    </w:p>
    <w:p w:rsidR="007E5738" w:rsidRDefault="00904560">
      <w:pPr>
        <w:pStyle w:val="FirstParagraph"/>
        <w:rPr>
          <w:lang w:eastAsia="zh-CN"/>
        </w:rPr>
      </w:pPr>
      <w:r>
        <w:rPr>
          <w:lang w:eastAsia="zh-CN"/>
        </w:rPr>
        <w:t>最高人民法院、司法部日前联合印发了《关于开展律师调解试点工作的意见》（以下简称《意见》），对开展律师调解试点工作作出部署。开展律师调解是完善我国诉讼制度的创新性举措，有利于及时化解民商事纠纷，节约司法资源和</w:t>
      </w:r>
      <w:r>
        <w:rPr>
          <w:lang w:eastAsia="zh-CN"/>
        </w:rPr>
        <w:t>诉讼成本，推动形成中国特色多元化纠纷解决体系。</w:t>
      </w:r>
    </w:p>
    <w:p w:rsidR="007E5738" w:rsidRDefault="00904560">
      <w:pPr>
        <w:pStyle w:val="BodyText"/>
        <w:rPr>
          <w:lang w:eastAsia="zh-CN"/>
        </w:rPr>
      </w:pPr>
      <w:r>
        <w:rPr>
          <w:lang w:eastAsia="zh-CN"/>
        </w:rPr>
        <w:t>《意见》规定了律师调解的四种工作模式：一是在人民法院诉讼服务中心、诉调对接中心或具备条件的人民法庭设立律师调解工作室，配备必要的工作设施和工作场所。二是在县级公共法律服务中心、乡镇公共法律服务站设立专门的律师调解工作室，由公共法律服务中心（站）指派律师调解员提供公益性调解服务。三是在律师协会设立律师调解中心，在律师协会的指导下，组织律师作为调解员，接受当事人申请或人民法院移送，参与矛盾化解和纠纷调解。四是鼓励和支持有条件的律师事务所设立调解工作室，可以将接受当</w:t>
      </w:r>
      <w:r>
        <w:rPr>
          <w:lang w:eastAsia="zh-CN"/>
        </w:rPr>
        <w:t>事人申请调解作为一项律师业务开展。</w:t>
      </w:r>
    </w:p>
    <w:p w:rsidR="007E5738" w:rsidRDefault="00904560">
      <w:pPr>
        <w:pStyle w:val="BodyText"/>
      </w:pPr>
      <w:hyperlink r:id="rId18">
        <w:r>
          <w:t>http://www.chinalawinfo.com/News/NewsFullText.aspx?NewsId=87691&amp;NewsType=1</w:t>
        </w:r>
      </w:hyperlink>
    </w:p>
    <w:p w:rsidR="007E5738" w:rsidRDefault="00904560">
      <w:pPr>
        <w:pStyle w:val="Heading2"/>
        <w:rPr>
          <w:lang w:eastAsia="zh-CN"/>
        </w:rPr>
      </w:pPr>
      <w:bookmarkStart w:id="15" w:name="并购"/>
      <w:bookmarkEnd w:id="15"/>
      <w:r>
        <w:rPr>
          <w:lang w:eastAsia="zh-CN"/>
        </w:rPr>
        <w:t>并购</w:t>
      </w:r>
    </w:p>
    <w:p w:rsidR="007E5738" w:rsidRDefault="00904560">
      <w:pPr>
        <w:pStyle w:val="Heading3"/>
        <w:rPr>
          <w:lang w:eastAsia="zh-CN"/>
        </w:rPr>
      </w:pPr>
      <w:bookmarkStart w:id="16" w:name="恒拓开源拟收购智能航空50股权"/>
      <w:bookmarkEnd w:id="16"/>
      <w:r>
        <w:rPr>
          <w:lang w:eastAsia="zh-CN"/>
        </w:rPr>
        <w:t>恒拓开源拟收购智能航空</w:t>
      </w:r>
      <w:r>
        <w:rPr>
          <w:lang w:eastAsia="zh-CN"/>
        </w:rPr>
        <w:t>50%</w:t>
      </w:r>
      <w:r>
        <w:rPr>
          <w:lang w:eastAsia="zh-CN"/>
        </w:rPr>
        <w:t>股权</w:t>
      </w:r>
    </w:p>
    <w:p w:rsidR="007E5738" w:rsidRDefault="00904560">
      <w:pPr>
        <w:pStyle w:val="FirstParagraph"/>
        <w:rPr>
          <w:lang w:eastAsia="zh-CN"/>
        </w:rPr>
      </w:pPr>
      <w:r>
        <w:rPr>
          <w:lang w:eastAsia="zh-CN"/>
        </w:rPr>
        <w:t>恒拓开源于</w:t>
      </w:r>
      <w:r>
        <w:rPr>
          <w:lang w:eastAsia="zh-CN"/>
        </w:rPr>
        <w:t>2017</w:t>
      </w:r>
      <w:r>
        <w:rPr>
          <w:lang w:eastAsia="zh-CN"/>
        </w:rPr>
        <w:t>年</w:t>
      </w:r>
      <w:r>
        <w:rPr>
          <w:lang w:eastAsia="zh-CN"/>
        </w:rPr>
        <w:t>10</w:t>
      </w:r>
      <w:r>
        <w:rPr>
          <w:lang w:eastAsia="zh-CN"/>
        </w:rPr>
        <w:t>月</w:t>
      </w:r>
      <w:r>
        <w:rPr>
          <w:lang w:eastAsia="zh-CN"/>
        </w:rPr>
        <w:t>17</w:t>
      </w:r>
      <w:r>
        <w:rPr>
          <w:lang w:eastAsia="zh-CN"/>
        </w:rPr>
        <w:t>日晚公告称，拟以</w:t>
      </w:r>
      <w:r>
        <w:rPr>
          <w:lang w:eastAsia="zh-CN"/>
        </w:rPr>
        <w:t>6</w:t>
      </w:r>
      <w:r>
        <w:rPr>
          <w:lang w:eastAsia="zh-CN"/>
        </w:rPr>
        <w:t>元</w:t>
      </w:r>
      <w:r>
        <w:rPr>
          <w:lang w:eastAsia="zh-CN"/>
        </w:rPr>
        <w:t>/</w:t>
      </w:r>
      <w:r>
        <w:rPr>
          <w:lang w:eastAsia="zh-CN"/>
        </w:rPr>
        <w:t>股的价格向智能航空系统有限公司的股东西藏智航交</w:t>
      </w:r>
      <w:r>
        <w:rPr>
          <w:lang w:eastAsia="zh-CN"/>
        </w:rPr>
        <w:t>通科技有限公司，定向发行股份</w:t>
      </w:r>
      <w:r>
        <w:rPr>
          <w:lang w:eastAsia="zh-CN"/>
        </w:rPr>
        <w:t>629</w:t>
      </w:r>
      <w:r>
        <w:rPr>
          <w:lang w:eastAsia="zh-CN"/>
        </w:rPr>
        <w:t>万股收购智能航空</w:t>
      </w:r>
      <w:r>
        <w:rPr>
          <w:lang w:eastAsia="zh-CN"/>
        </w:rPr>
        <w:t>50%</w:t>
      </w:r>
      <w:r>
        <w:rPr>
          <w:lang w:eastAsia="zh-CN"/>
        </w:rPr>
        <w:t>的股权，交易价格为</w:t>
      </w:r>
      <w:r>
        <w:rPr>
          <w:lang w:eastAsia="zh-CN"/>
        </w:rPr>
        <w:t>3774</w:t>
      </w:r>
      <w:r>
        <w:rPr>
          <w:lang w:eastAsia="zh-CN"/>
        </w:rPr>
        <w:t>万元。</w:t>
      </w:r>
    </w:p>
    <w:p w:rsidR="007E5738" w:rsidRDefault="00904560">
      <w:pPr>
        <w:pStyle w:val="BodyText"/>
        <w:rPr>
          <w:lang w:eastAsia="zh-CN"/>
        </w:rPr>
      </w:pPr>
      <w:r>
        <w:rPr>
          <w:lang w:eastAsia="zh-CN"/>
        </w:rPr>
        <w:t>恒拓开源初步构建了航空领域及制造业为主的非航空领域的全产业链信息化业务框架。此次拟收购的智能航空主营业务为向目标客户提供专网的系统集成服务。收购完成后，公司及智能航空将进行资源整合，有利于实现优势互补，提升整体竞争力。本次股票发行价格综合考虑了公司所处行业、每股净资产、成长性等因素，并与投资者沟通后最终确定。公司表示，通过收购智能航空</w:t>
      </w:r>
      <w:r>
        <w:rPr>
          <w:lang w:eastAsia="zh-CN"/>
        </w:rPr>
        <w:t>50%</w:t>
      </w:r>
      <w:r>
        <w:rPr>
          <w:lang w:eastAsia="zh-CN"/>
        </w:rPr>
        <w:t>的股权，增强公司在航空领域的实力。本次交易完成后，将对公司完成战略布局起到一定的</w:t>
      </w:r>
      <w:r>
        <w:rPr>
          <w:lang w:eastAsia="zh-CN"/>
        </w:rPr>
        <w:t>推动作用。</w:t>
      </w:r>
    </w:p>
    <w:p w:rsidR="007E5738" w:rsidRDefault="00904560">
      <w:pPr>
        <w:pStyle w:val="BodyText"/>
      </w:pPr>
      <w:hyperlink r:id="rId19">
        <w:r>
          <w:t>http://sanban.stcn.com/2017/1018/13698356.shtml</w:t>
        </w:r>
      </w:hyperlink>
    </w:p>
    <w:p w:rsidR="007E5738" w:rsidRDefault="00904560">
      <w:pPr>
        <w:pStyle w:val="Heading3"/>
      </w:pPr>
      <w:bookmarkStart w:id="17" w:name="小康股份拟收购美国电池系统商"/>
      <w:bookmarkEnd w:id="17"/>
      <w:r>
        <w:t>小康股份拟收购美国电池系统商</w:t>
      </w:r>
    </w:p>
    <w:p w:rsidR="007E5738" w:rsidRDefault="00904560">
      <w:pPr>
        <w:pStyle w:val="FirstParagraph"/>
        <w:rPr>
          <w:lang w:eastAsia="zh-CN"/>
        </w:rPr>
      </w:pPr>
      <w:r>
        <w:rPr>
          <w:lang w:eastAsia="zh-CN"/>
        </w:rPr>
        <w:t>小康股份近日发布公告称，其全资子公司</w:t>
      </w:r>
      <w:r>
        <w:rPr>
          <w:lang w:eastAsia="zh-CN"/>
        </w:rPr>
        <w:t>SF MOTORS</w:t>
      </w:r>
      <w:r>
        <w:rPr>
          <w:lang w:eastAsia="zh-CN"/>
        </w:rPr>
        <w:t>拟收购</w:t>
      </w:r>
      <w:proofErr w:type="spellStart"/>
      <w:r>
        <w:rPr>
          <w:lang w:eastAsia="zh-CN"/>
        </w:rPr>
        <w:t>InEVit</w:t>
      </w:r>
      <w:proofErr w:type="spellEnd"/>
      <w:r>
        <w:rPr>
          <w:lang w:eastAsia="zh-CN"/>
        </w:rPr>
        <w:t>的</w:t>
      </w:r>
      <w:r>
        <w:rPr>
          <w:lang w:eastAsia="zh-CN"/>
        </w:rPr>
        <w:t>100%</w:t>
      </w:r>
      <w:r>
        <w:rPr>
          <w:lang w:eastAsia="zh-CN"/>
        </w:rPr>
        <w:t>股权，交易对价为</w:t>
      </w:r>
      <w:r>
        <w:rPr>
          <w:lang w:eastAsia="zh-CN"/>
        </w:rPr>
        <w:t>3300</w:t>
      </w:r>
      <w:r>
        <w:rPr>
          <w:lang w:eastAsia="zh-CN"/>
        </w:rPr>
        <w:t>万美元，以进一步夯实在新能源电动汽车领域的战略布局。</w:t>
      </w:r>
    </w:p>
    <w:p w:rsidR="007E5738" w:rsidRDefault="00904560">
      <w:pPr>
        <w:pStyle w:val="BodyText"/>
        <w:rPr>
          <w:lang w:eastAsia="zh-CN"/>
        </w:rPr>
      </w:pPr>
      <w:r>
        <w:rPr>
          <w:lang w:eastAsia="zh-CN"/>
        </w:rPr>
        <w:t>公告显示，</w:t>
      </w:r>
      <w:proofErr w:type="spellStart"/>
      <w:r>
        <w:rPr>
          <w:lang w:eastAsia="zh-CN"/>
        </w:rPr>
        <w:t>InEVit</w:t>
      </w:r>
      <w:proofErr w:type="spellEnd"/>
      <w:r>
        <w:rPr>
          <w:lang w:eastAsia="zh-CN"/>
        </w:rPr>
        <w:t>主要业务为电动汽车电池系统研发和设计。在电动汽车和其他应用</w:t>
      </w:r>
      <w:r>
        <w:rPr>
          <w:lang w:eastAsia="zh-CN"/>
        </w:rPr>
        <w:t>领域，</w:t>
      </w:r>
      <w:proofErr w:type="spellStart"/>
      <w:r>
        <w:rPr>
          <w:lang w:eastAsia="zh-CN"/>
        </w:rPr>
        <w:t>InEVit</w:t>
      </w:r>
      <w:proofErr w:type="spellEnd"/>
      <w:r>
        <w:rPr>
          <w:lang w:eastAsia="zh-CN"/>
        </w:rPr>
        <w:t>通过将电池模组系统标准化设计，大幅降低成本，对促进电动汽车行业发展起到积极意义。在小康股份看来，此次收购对公司新能源汽车产业链的布局意义重大。公司表示，此次收购将有助于公司进一步掌握领先的电动汽车电池系统技术，中性化发展三电系统业务。目前，标的公司已获得奥迪</w:t>
      </w:r>
      <w:r>
        <w:rPr>
          <w:lang w:eastAsia="zh-CN"/>
        </w:rPr>
        <w:t>30</w:t>
      </w:r>
      <w:r>
        <w:rPr>
          <w:lang w:eastAsia="zh-CN"/>
        </w:rPr>
        <w:t>万欧元的设计开发订单，并与戴姆勒股份公司、大众汽车公司和雷诺汽车集团进行了接触。</w:t>
      </w:r>
    </w:p>
    <w:p w:rsidR="007E5738" w:rsidRDefault="00904560">
      <w:pPr>
        <w:pStyle w:val="BodyText"/>
      </w:pPr>
      <w:hyperlink r:id="rId20">
        <w:r>
          <w:t>http://</w:t>
        </w:r>
        <w:r>
          <w:t>company.stcn.com/2017/1018/13698174.shtml</w:t>
        </w:r>
      </w:hyperlink>
    </w:p>
    <w:p w:rsidR="007E5738" w:rsidRDefault="00904560">
      <w:pPr>
        <w:pStyle w:val="Heading3"/>
      </w:pPr>
      <w:bookmarkStart w:id="18" w:name="华铭智能拟16.65亿收购国政通九成股份"/>
      <w:bookmarkEnd w:id="18"/>
      <w:r>
        <w:t>华铭智能拟</w:t>
      </w:r>
      <w:r>
        <w:t>16.65</w:t>
      </w:r>
      <w:r>
        <w:t>亿收购国政通九成股份</w:t>
      </w:r>
    </w:p>
    <w:p w:rsidR="007E5738" w:rsidRDefault="00904560">
      <w:pPr>
        <w:pStyle w:val="FirstParagraph"/>
        <w:rPr>
          <w:lang w:eastAsia="zh-CN"/>
        </w:rPr>
      </w:pPr>
      <w:r>
        <w:rPr>
          <w:lang w:eastAsia="zh-CN"/>
        </w:rPr>
        <w:t>2017</w:t>
      </w:r>
      <w:r>
        <w:rPr>
          <w:lang w:eastAsia="zh-CN"/>
        </w:rPr>
        <w:t>年</w:t>
      </w:r>
      <w:r>
        <w:rPr>
          <w:lang w:eastAsia="zh-CN"/>
        </w:rPr>
        <w:t>10</w:t>
      </w:r>
      <w:r>
        <w:rPr>
          <w:lang w:eastAsia="zh-CN"/>
        </w:rPr>
        <w:t>月</w:t>
      </w:r>
      <w:r>
        <w:rPr>
          <w:lang w:eastAsia="zh-CN"/>
        </w:rPr>
        <w:t>16</w:t>
      </w:r>
      <w:r>
        <w:rPr>
          <w:lang w:eastAsia="zh-CN"/>
        </w:rPr>
        <w:t>日晚间，华铭智能发布重大资产重组草案，拟以发行股份和支付现金相结合的方式收购国政通</w:t>
      </w:r>
      <w:r>
        <w:rPr>
          <w:lang w:eastAsia="zh-CN"/>
        </w:rPr>
        <w:t>90%</w:t>
      </w:r>
      <w:r>
        <w:rPr>
          <w:lang w:eastAsia="zh-CN"/>
        </w:rPr>
        <w:t>股权。国政通</w:t>
      </w:r>
      <w:r>
        <w:rPr>
          <w:lang w:eastAsia="zh-CN"/>
        </w:rPr>
        <w:t>100%</w:t>
      </w:r>
      <w:r>
        <w:rPr>
          <w:lang w:eastAsia="zh-CN"/>
        </w:rPr>
        <w:t>股权在此次交易中的估值为</w:t>
      </w:r>
      <w:r>
        <w:rPr>
          <w:lang w:eastAsia="zh-CN"/>
        </w:rPr>
        <w:t>18.5</w:t>
      </w:r>
      <w:r>
        <w:rPr>
          <w:lang w:eastAsia="zh-CN"/>
        </w:rPr>
        <w:t>亿元，</w:t>
      </w:r>
      <w:r>
        <w:rPr>
          <w:lang w:eastAsia="zh-CN"/>
        </w:rPr>
        <w:t>90%</w:t>
      </w:r>
      <w:r>
        <w:rPr>
          <w:lang w:eastAsia="zh-CN"/>
        </w:rPr>
        <w:t>股权对应的交易价格为</w:t>
      </w:r>
      <w:r>
        <w:rPr>
          <w:lang w:eastAsia="zh-CN"/>
        </w:rPr>
        <w:t>16.65</w:t>
      </w:r>
      <w:r>
        <w:rPr>
          <w:lang w:eastAsia="zh-CN"/>
        </w:rPr>
        <w:t>亿元，华铭智能拟以现金支付</w:t>
      </w:r>
      <w:r>
        <w:rPr>
          <w:lang w:eastAsia="zh-CN"/>
        </w:rPr>
        <w:t>5.18</w:t>
      </w:r>
      <w:r>
        <w:rPr>
          <w:lang w:eastAsia="zh-CN"/>
        </w:rPr>
        <w:t>亿元，另以发行股份的方式支付其余</w:t>
      </w:r>
      <w:r>
        <w:rPr>
          <w:lang w:eastAsia="zh-CN"/>
        </w:rPr>
        <w:t>11.5</w:t>
      </w:r>
      <w:r>
        <w:rPr>
          <w:lang w:eastAsia="zh-CN"/>
        </w:rPr>
        <w:t>亿元。华铭智能还拟以市价向不超过</w:t>
      </w:r>
      <w:r>
        <w:rPr>
          <w:lang w:eastAsia="zh-CN"/>
        </w:rPr>
        <w:t>5</w:t>
      </w:r>
      <w:r>
        <w:rPr>
          <w:lang w:eastAsia="zh-CN"/>
        </w:rPr>
        <w:t>名特定对象发行股份募集配套资金，募资总额不超过</w:t>
      </w:r>
      <w:r>
        <w:rPr>
          <w:lang w:eastAsia="zh-CN"/>
        </w:rPr>
        <w:t>5.54</w:t>
      </w:r>
      <w:r>
        <w:rPr>
          <w:lang w:eastAsia="zh-CN"/>
        </w:rPr>
        <w:t>亿元，主要用于支付本次交易中的现金对价及相关费用。</w:t>
      </w:r>
    </w:p>
    <w:p w:rsidR="007E5738" w:rsidRDefault="00904560">
      <w:pPr>
        <w:pStyle w:val="BodyText"/>
        <w:rPr>
          <w:lang w:eastAsia="zh-CN"/>
        </w:rPr>
      </w:pPr>
      <w:r>
        <w:rPr>
          <w:lang w:eastAsia="zh-CN"/>
        </w:rPr>
        <w:lastRenderedPageBreak/>
        <w:t>公开资料显示，国政通为专业从事多数据源防欺诈业务的高新技术企业，在身份信息核验领域占据领先地位。</w:t>
      </w:r>
      <w:r>
        <w:rPr>
          <w:lang w:eastAsia="zh-CN"/>
        </w:rPr>
        <w:t>国政通官网显示其服务覆盖了全国</w:t>
      </w:r>
      <w:r>
        <w:rPr>
          <w:lang w:eastAsia="zh-CN"/>
        </w:rPr>
        <w:t>90%</w:t>
      </w:r>
      <w:r>
        <w:rPr>
          <w:lang w:eastAsia="zh-CN"/>
        </w:rPr>
        <w:t>以上的内资银行、</w:t>
      </w:r>
      <w:r>
        <w:rPr>
          <w:lang w:eastAsia="zh-CN"/>
        </w:rPr>
        <w:t>100%</w:t>
      </w:r>
      <w:r>
        <w:rPr>
          <w:lang w:eastAsia="zh-CN"/>
        </w:rPr>
        <w:t>的通信运营商，以及互联网、消费金融、互联网金融、物流、招聘、交友等领域的龙头企业。华铭智能也表示，近年来大数据分析和防欺诈产业发展迅速，市场前景广阔。大数据防欺诈业务能够安全、便捷、高效的实现对个人信息的核验，也能和</w:t>
      </w:r>
      <w:r>
        <w:rPr>
          <w:lang w:eastAsia="zh-CN"/>
        </w:rPr>
        <w:t>AFC</w:t>
      </w:r>
      <w:r>
        <w:rPr>
          <w:lang w:eastAsia="zh-CN"/>
        </w:rPr>
        <w:t>系统结合，优化地铁进出口以及与地面交通的衔接，帮助城市管理者更好地部署警力、消防，尤其在组织大型活动时减少安全隐患，并为反恐侦查、打击犯罪及时提供有效的信息。</w:t>
      </w:r>
    </w:p>
    <w:p w:rsidR="007E5738" w:rsidRDefault="00904560">
      <w:pPr>
        <w:pStyle w:val="BodyText"/>
      </w:pPr>
      <w:hyperlink r:id="rId21">
        <w:r>
          <w:t>http://company.stcn.com/2017/1018/13698219.shtml</w:t>
        </w:r>
      </w:hyperlink>
    </w:p>
    <w:p w:rsidR="007E5738" w:rsidRDefault="00904560">
      <w:pPr>
        <w:pStyle w:val="Heading3"/>
      </w:pPr>
      <w:bookmarkStart w:id="19" w:name="赫美集团拟8亿收购四标的奢侈品品牌运营板块再下一城"/>
      <w:bookmarkEnd w:id="19"/>
      <w:r>
        <w:t>赫美集团拟</w:t>
      </w:r>
      <w:r>
        <w:t>8</w:t>
      </w:r>
      <w:r>
        <w:t>亿收购四标的，奢侈品品牌运营板块再下一城</w:t>
      </w:r>
    </w:p>
    <w:p w:rsidR="007E5738" w:rsidRDefault="00904560">
      <w:pPr>
        <w:pStyle w:val="FirstParagraph"/>
        <w:rPr>
          <w:lang w:eastAsia="zh-CN"/>
        </w:rPr>
      </w:pPr>
      <w:r>
        <w:rPr>
          <w:lang w:eastAsia="zh-CN"/>
        </w:rPr>
        <w:t>正在停牌中的赫美集团于</w:t>
      </w:r>
      <w:r>
        <w:rPr>
          <w:lang w:eastAsia="zh-CN"/>
        </w:rPr>
        <w:t>2017</w:t>
      </w:r>
      <w:r>
        <w:rPr>
          <w:lang w:eastAsia="zh-CN"/>
        </w:rPr>
        <w:t>年</w:t>
      </w:r>
      <w:r>
        <w:rPr>
          <w:lang w:eastAsia="zh-CN"/>
        </w:rPr>
        <w:t>10</w:t>
      </w:r>
      <w:r>
        <w:rPr>
          <w:lang w:eastAsia="zh-CN"/>
        </w:rPr>
        <w:t>月</w:t>
      </w:r>
      <w:r>
        <w:rPr>
          <w:lang w:eastAsia="zh-CN"/>
        </w:rPr>
        <w:t>15</w:t>
      </w:r>
      <w:r>
        <w:rPr>
          <w:lang w:eastAsia="zh-CN"/>
        </w:rPr>
        <w:t>日晚间披露公告，公司全资子赫美商业或其指定主体将以</w:t>
      </w:r>
      <w:r>
        <w:rPr>
          <w:lang w:eastAsia="zh-CN"/>
        </w:rPr>
        <w:t>8</w:t>
      </w:r>
      <w:r>
        <w:rPr>
          <w:lang w:eastAsia="zh-CN"/>
        </w:rPr>
        <w:t>亿元现金总对价同时收购深圳臻乔时装有限公司、彩虹现代商贸（深圳）有限公司、盈彩拓展商贸（深圳）有限公司及彩虹现代商贸有限公司</w:t>
      </w:r>
      <w:r>
        <w:rPr>
          <w:lang w:eastAsia="zh-CN"/>
        </w:rPr>
        <w:t>4</w:t>
      </w:r>
      <w:r>
        <w:rPr>
          <w:lang w:eastAsia="zh-CN"/>
        </w:rPr>
        <w:t>家公司各</w:t>
      </w:r>
      <w:r>
        <w:rPr>
          <w:lang w:eastAsia="zh-CN"/>
        </w:rPr>
        <w:t>80%</w:t>
      </w:r>
      <w:r>
        <w:rPr>
          <w:lang w:eastAsia="zh-CN"/>
        </w:rPr>
        <w:t>股权。此次并购是赫美集团继收购上海欧蓝和温州崇高百货后，在国</w:t>
      </w:r>
      <w:r>
        <w:rPr>
          <w:lang w:eastAsia="zh-CN"/>
        </w:rPr>
        <w:t>际奢侈品牌运营领域实施的又一次重大收购和战略布局。</w:t>
      </w:r>
    </w:p>
    <w:p w:rsidR="007E5738" w:rsidRDefault="00904560">
      <w:pPr>
        <w:pStyle w:val="BodyText"/>
        <w:rPr>
          <w:lang w:eastAsia="zh-CN"/>
        </w:rPr>
      </w:pPr>
      <w:r>
        <w:rPr>
          <w:lang w:eastAsia="zh-CN"/>
        </w:rPr>
        <w:t>据了解，赫美集团拟收购的</w:t>
      </w:r>
      <w:r>
        <w:rPr>
          <w:lang w:eastAsia="zh-CN"/>
        </w:rPr>
        <w:t>4</w:t>
      </w:r>
      <w:r>
        <w:rPr>
          <w:lang w:eastAsia="zh-CN"/>
        </w:rPr>
        <w:t>家标的企业均是彩虹集团旗下的子公司，负责彩虹集团在中国大陆地区不同国际时尚品牌的运营管理业务。公开信息显示，彩虹集团是中国奢侈品品牌零售领域的先锋，有着超过</w:t>
      </w:r>
      <w:r>
        <w:rPr>
          <w:lang w:eastAsia="zh-CN"/>
        </w:rPr>
        <w:t>30</w:t>
      </w:r>
      <w:r>
        <w:rPr>
          <w:lang w:eastAsia="zh-CN"/>
        </w:rPr>
        <w:t>年的国际奢侈品品牌运营和管理经验，在中国内地有</w:t>
      </w:r>
      <w:r>
        <w:rPr>
          <w:lang w:eastAsia="zh-CN"/>
        </w:rPr>
        <w:t>20</w:t>
      </w:r>
      <w:r>
        <w:rPr>
          <w:lang w:eastAsia="zh-CN"/>
        </w:rPr>
        <w:t>多年经营历史，建立了中国最大的欧洲高级品牌零售网络。本次交易完成后，赫美集团将承接彩虹集团中国区国际品牌运营业务，加上原先收购的上海欧蓝和崇高百货所拥有的零售网络，意味着赫美集团将一举成为中国最大的欧洲高级品牌零售商和运营商</w:t>
      </w:r>
      <w:r>
        <w:rPr>
          <w:lang w:eastAsia="zh-CN"/>
        </w:rPr>
        <w:t>。</w:t>
      </w:r>
    </w:p>
    <w:p w:rsidR="007E5738" w:rsidRDefault="00904560">
      <w:pPr>
        <w:pStyle w:val="BodyText"/>
      </w:pPr>
      <w:hyperlink r:id="rId22">
        <w:r>
          <w:t>http://company.stcn.com/2017/1015/13691524.shtml</w:t>
        </w:r>
      </w:hyperlink>
    </w:p>
    <w:p w:rsidR="007E5738" w:rsidRDefault="00904560">
      <w:pPr>
        <w:pStyle w:val="Heading3"/>
      </w:pPr>
      <w:bookmarkStart w:id="20" w:name="正平股份拟收购隆地电力可形成协同效应"/>
      <w:bookmarkEnd w:id="20"/>
      <w:r>
        <w:t>正平股份拟收购隆地电力，可形成协同效应</w:t>
      </w:r>
    </w:p>
    <w:p w:rsidR="007E5738" w:rsidRDefault="00904560">
      <w:pPr>
        <w:pStyle w:val="FirstParagraph"/>
        <w:rPr>
          <w:lang w:eastAsia="zh-CN"/>
        </w:rPr>
      </w:pPr>
      <w:r>
        <w:rPr>
          <w:lang w:eastAsia="zh-CN"/>
        </w:rPr>
        <w:t>日前，正平股份与陕西隆地电力自动化有限公司签署股权合作协议，公司支付隆地电力</w:t>
      </w:r>
      <w:r>
        <w:rPr>
          <w:lang w:eastAsia="zh-CN"/>
        </w:rPr>
        <w:t>2848</w:t>
      </w:r>
      <w:r>
        <w:rPr>
          <w:lang w:eastAsia="zh-CN"/>
        </w:rPr>
        <w:t>万元，收购其</w:t>
      </w:r>
      <w:r>
        <w:rPr>
          <w:lang w:eastAsia="zh-CN"/>
        </w:rPr>
        <w:t>51%</w:t>
      </w:r>
      <w:r>
        <w:rPr>
          <w:lang w:eastAsia="zh-CN"/>
        </w:rPr>
        <w:t>的股权。正平股份董事长金生光在接受中国证券报记者采访时表示，入股隆地电力是公司</w:t>
      </w:r>
      <w:r>
        <w:rPr>
          <w:lang w:eastAsia="zh-CN"/>
        </w:rPr>
        <w:t>“</w:t>
      </w:r>
      <w:r>
        <w:rPr>
          <w:lang w:eastAsia="zh-CN"/>
        </w:rPr>
        <w:t>四商兴正平</w:t>
      </w:r>
      <w:r>
        <w:rPr>
          <w:lang w:eastAsia="zh-CN"/>
        </w:rPr>
        <w:t>”</w:t>
      </w:r>
      <w:r>
        <w:rPr>
          <w:lang w:eastAsia="zh-CN"/>
        </w:rPr>
        <w:t>战略落地的重要举措，有利于公司完善全产业</w:t>
      </w:r>
      <w:r>
        <w:rPr>
          <w:lang w:eastAsia="zh-CN"/>
        </w:rPr>
        <w:t>链布局。</w:t>
      </w:r>
    </w:p>
    <w:p w:rsidR="007E5738" w:rsidRDefault="00904560">
      <w:pPr>
        <w:pStyle w:val="BodyText"/>
        <w:rPr>
          <w:lang w:eastAsia="zh-CN"/>
        </w:rPr>
      </w:pPr>
      <w:r>
        <w:rPr>
          <w:lang w:eastAsia="zh-CN"/>
        </w:rPr>
        <w:t>公告显示，隆地电力具有输变电工程专业承包三级、电力行业送变电设计丙级资质，主要业务包括电力线路的安装、架设，变电站的综合自动化系统的设计与安装。金生光表示，隆地电力是典型的</w:t>
      </w:r>
      <w:r>
        <w:rPr>
          <w:lang w:eastAsia="zh-CN"/>
        </w:rPr>
        <w:t>“</w:t>
      </w:r>
      <w:r>
        <w:rPr>
          <w:lang w:eastAsia="zh-CN"/>
        </w:rPr>
        <w:t>小企业、大行业</w:t>
      </w:r>
      <w:r>
        <w:rPr>
          <w:lang w:eastAsia="zh-CN"/>
        </w:rPr>
        <w:t>”</w:t>
      </w:r>
      <w:r>
        <w:rPr>
          <w:lang w:eastAsia="zh-CN"/>
        </w:rPr>
        <w:t>，其经营范围和资质基本涵盖了电力自动化技术和设备的上下游各个产业，加之隆地推动的运维中心电力建设模式、能源互联网建设模式的探索，在有效资本和新的市场支持下，必定会很快在行业内大有作为。此次收购完成后，正平股份在城市基础设施领域将实现全牌照运营，并逐步实现从承包商、制造商向投资商、运营商的转型升级。</w:t>
      </w:r>
    </w:p>
    <w:p w:rsidR="007E5738" w:rsidRDefault="00904560">
      <w:pPr>
        <w:pStyle w:val="BodyText"/>
      </w:pPr>
      <w:hyperlink r:id="rId23">
        <w:r>
          <w:t>http://company.stcn.com/2017/1016/13691901.shtml</w:t>
        </w:r>
      </w:hyperlink>
    </w:p>
    <w:p w:rsidR="007E5738" w:rsidRDefault="00904560">
      <w:pPr>
        <w:pStyle w:val="DisclaimerBold"/>
      </w:pPr>
      <w:r>
        <w:t>此法讯仅为提供相关资料信息之用，其内容并</w:t>
      </w:r>
    </w:p>
    <w:p w:rsidR="007E5738" w:rsidRDefault="00904560">
      <w:pPr>
        <w:pStyle w:val="Disclaimer"/>
        <w:rPr>
          <w:lang w:eastAsia="zh-CN"/>
        </w:rPr>
      </w:pPr>
      <w:r>
        <w:rPr>
          <w:lang w:eastAsia="zh-CN"/>
        </w:rPr>
        <w:t>不构成法律建议及个案的法律分析。</w:t>
      </w:r>
    </w:p>
    <w:p w:rsidR="007E5738" w:rsidRDefault="00904560">
      <w:pPr>
        <w:pStyle w:val="Disclaimer"/>
        <w:rPr>
          <w:lang w:eastAsia="zh-CN"/>
        </w:rPr>
      </w:pPr>
      <w:r>
        <w:rPr>
          <w:lang w:eastAsia="zh-CN"/>
        </w:rPr>
        <w:t>此法讯的发送并不是为了在易周律师行与用户或浏览者之间建立一种律师与客户之关系。</w:t>
      </w:r>
    </w:p>
    <w:p w:rsidR="007E5738" w:rsidRDefault="00904560">
      <w:pPr>
        <w:pStyle w:val="Disclaimer"/>
        <w:rPr>
          <w:lang w:eastAsia="zh-CN"/>
        </w:rPr>
      </w:pPr>
      <w:r>
        <w:rPr>
          <w:lang w:eastAsia="zh-CN"/>
        </w:rPr>
        <w:t>易周律师行并不对可从互联网获得的任何第三方内容负责。</w:t>
      </w:r>
    </w:p>
    <w:p w:rsidR="007E5738" w:rsidRDefault="00904560">
      <w:pPr>
        <w:pStyle w:val="Disclaimer"/>
        <w:rPr>
          <w:lang w:eastAsia="zh-CN"/>
        </w:rPr>
      </w:pPr>
      <w:r>
        <w:rPr>
          <w:lang w:eastAsia="zh-CN"/>
        </w:rPr>
        <w:t>如果您不希望收到该法讯，请电邮</w:t>
      </w:r>
      <w:r>
        <w:rPr>
          <w:lang w:eastAsia="zh-CN"/>
        </w:rPr>
        <w:t xml:space="preserve">  </w:t>
      </w:r>
      <w:hyperlink r:id="rId24">
        <w:r>
          <w:rPr>
            <w:lang w:eastAsia="zh-CN"/>
          </w:rPr>
          <w:t>unsubscribe@charltonslaw.com</w:t>
        </w:r>
      </w:hyperlink>
    </w:p>
    <w:p w:rsidR="007E5738" w:rsidRDefault="00904560">
      <w:pPr>
        <w:pStyle w:val="BlackStrips"/>
      </w:pPr>
      <w:r>
        <w:t xml:space="preserve">Charltons - </w:t>
      </w:r>
      <w:proofErr w:type="spellStart"/>
      <w:r>
        <w:t>法讯</w:t>
      </w:r>
      <w:proofErr w:type="spellEnd"/>
      <w:r>
        <w:t xml:space="preserve"> - </w:t>
      </w:r>
      <w:r>
        <w:t>中国</w:t>
      </w:r>
      <w:r>
        <w:t xml:space="preserve"> - 2017</w:t>
      </w:r>
      <w:r>
        <w:t>年</w:t>
      </w:r>
      <w:r>
        <w:t>10</w:t>
      </w:r>
      <w:r>
        <w:t>月</w:t>
      </w:r>
      <w:r>
        <w:t>20</w:t>
      </w:r>
      <w:r>
        <w:t>日</w:t>
      </w:r>
    </w:p>
    <w:sectPr w:rsidR="007E573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04560">
      <w:pPr>
        <w:spacing w:after="0"/>
      </w:pPr>
      <w:r>
        <w:separator/>
      </w:r>
    </w:p>
  </w:endnote>
  <w:endnote w:type="continuationSeparator" w:id="0">
    <w:p w:rsidR="00000000" w:rsidRDefault="00904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738" w:rsidRDefault="00904560">
      <w:r>
        <w:separator/>
      </w:r>
    </w:p>
  </w:footnote>
  <w:footnote w:type="continuationSeparator" w:id="0">
    <w:p w:rsidR="007E5738" w:rsidRDefault="00904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7F69BA"/>
    <w:multiLevelType w:val="multilevel"/>
    <w:tmpl w:val="33B03C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579A80C6"/>
    <w:multiLevelType w:val="multilevel"/>
    <w:tmpl w:val="C9D6B1B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4E29B3"/>
    <w:rsid w:val="00590D07"/>
    <w:rsid w:val="00784D58"/>
    <w:rsid w:val="007E5738"/>
    <w:rsid w:val="008D6863"/>
    <w:rsid w:val="00904560"/>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0" w:defSemiHidden="0" w:defUnhideWhenUsed="0" w:defQFormat="0" w:count="267"/>
  <w:style w:type="paragraph" w:default="1" w:styleId="Normal">
    <w:name w:val="Normal"/>
    <w:qFormat/>
    <w:pPr>
      <w:spacing w:after="200"/>
    </w:pPr>
    <w:rPr>
      <w:rFonts w:eastAsiaTheme="minorHAnsi"/>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rFonts w:eastAsiaTheme="minorHAnsi"/>
      <w:color w:val="00000A"/>
      <w:sz w:val="24"/>
    </w:rPr>
  </w:style>
  <w:style w:type="paragraph" w:styleId="Date">
    <w:name w:val="Date"/>
    <w:qFormat/>
    <w:pPr>
      <w:keepNext/>
      <w:keepLines/>
      <w:jc w:val="center"/>
    </w:pPr>
    <w:rPr>
      <w:rFonts w:eastAsiaTheme="minorHAnsi"/>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tonslaw.com.cn/shang-hai-zheng-quan-jiao-yi-suo-shou-pi-chuang-xin-chuang-ye-gong-si-ke-zhuan-huan-zhai-quan-cheng-gong-fa-xing" TargetMode="External"/><Relationship Id="rId13" Type="http://schemas.openxmlformats.org/officeDocument/2006/relationships/hyperlink" Target="http://xw.sinoins.com/2017-10/13/content_244672.htm" TargetMode="External"/><Relationship Id="rId18" Type="http://schemas.openxmlformats.org/officeDocument/2006/relationships/hyperlink" Target="http://www.chinalawinfo.com/News/NewsFullText.aspx?NewsId=87691&amp;NewsType=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pany.stcn.com/2017/1018/13698219.shtml" TargetMode="External"/><Relationship Id="rId7" Type="http://schemas.openxmlformats.org/officeDocument/2006/relationships/endnotes" Target="endnotes.xml"/><Relationship Id="rId12" Type="http://schemas.openxmlformats.org/officeDocument/2006/relationships/hyperlink" Target="http://www.cfen.com.cn/cjxw/jr/201710/t20171018_2726632.html" TargetMode="External"/><Relationship Id="rId17" Type="http://schemas.openxmlformats.org/officeDocument/2006/relationships/hyperlink" Target="http://www.chinacourt.org/article/detail/2017/10/id/3017123.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inacourt.org/article/detail/2017/10/id/3016575.shtml" TargetMode="External"/><Relationship Id="rId20" Type="http://schemas.openxmlformats.org/officeDocument/2006/relationships/hyperlink" Target="http://company.stcn.com/2017/1018/13698174.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fen.com.cn/zyxw/yw/201710/t20171016_2721565.html" TargetMode="External"/><Relationship Id="rId24" Type="http://schemas.openxmlformats.org/officeDocument/2006/relationships/hyperlink" Target="mailto:unsubscribe@charltonslaw.com?subject=unsubscribe%20-Hong%20Kong%20Law-" TargetMode="External"/><Relationship Id="rId5" Type="http://schemas.openxmlformats.org/officeDocument/2006/relationships/webSettings" Target="webSettings.xml"/><Relationship Id="rId15" Type="http://schemas.openxmlformats.org/officeDocument/2006/relationships/hyperlink" Target="http://www.cfen.com.cn/cjxw/ss/201710/t20171012_2719254.html" TargetMode="External"/><Relationship Id="rId23" Type="http://schemas.openxmlformats.org/officeDocument/2006/relationships/hyperlink" Target="http://company.stcn.com/2017/1016/13691901.shtml" TargetMode="External"/><Relationship Id="rId10" Type="http://schemas.openxmlformats.org/officeDocument/2006/relationships/hyperlink" Target="http://www.szse.cn/main/aboutus/bsyw/39775105.shtml" TargetMode="External"/><Relationship Id="rId19" Type="http://schemas.openxmlformats.org/officeDocument/2006/relationships/hyperlink" Target="http://sanban.stcn.com/2017/1018/13698356.shtml" TargetMode="External"/><Relationship Id="rId4" Type="http://schemas.openxmlformats.org/officeDocument/2006/relationships/settings" Target="settings.xml"/><Relationship Id="rId9" Type="http://schemas.openxmlformats.org/officeDocument/2006/relationships/hyperlink" Target="http://www.sse.com.cn/aboutus/mediacenter/hotandd/c/c_20171016_4401030.shtml" TargetMode="External"/><Relationship Id="rId14" Type="http://schemas.openxmlformats.org/officeDocument/2006/relationships/hyperlink" Target="http://www.cfen.com.cn/zyxw/yw/201710/t20171016_2721554.html" TargetMode="External"/><Relationship Id="rId22" Type="http://schemas.openxmlformats.org/officeDocument/2006/relationships/hyperlink" Target="http://company.stcn.com/2017/1015/13691524.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1259</Words>
  <Characters>7178</Characters>
  <Application>Microsoft Office Word</Application>
  <DocSecurity>0</DocSecurity>
  <Lines>59</Lines>
  <Paragraphs>16</Paragraphs>
  <ScaleCrop>false</ScaleCrop>
  <Company>C</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Charltons</cp:lastModifiedBy>
  <cp:revision>2</cp:revision>
  <dcterms:created xsi:type="dcterms:W3CDTF">2017-10-20T04:05:00Z</dcterms:created>
  <dcterms:modified xsi:type="dcterms:W3CDTF">2017-10-20T09:11:00Z</dcterms:modified>
</cp:coreProperties>
</file>