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- 2017年10月27日</w:t>
      </w:r>
    </w:p>
    <w:p>
      <w:pPr>
        <w:pStyle w:val="ReadOnline"/>
      </w:pPr>
      <w:hyperlink r:id="rId8">
        <w:r>
          <w:rPr/>
          <w:t>online version</w:t>
        </w:r>
      </w:hyperlink>
    </w:p>
    <w:p>
      <w:pPr>
        <w:pStyle w:val="Title"/>
      </w:pPr>
      <w:r>
        <w:t>深圳证券交易所：完善信披监管规则体系，不断提升市场运行质量</w:t>
      </w:r>
    </w:p>
    <w:p>
      <w:pPr>
        <w:pStyle w:val="Heading2"/>
      </w:pPr>
      <w:bookmarkStart w:id="21" w:name="简介"/>
      <w:bookmarkEnd w:id="21"/>
      <w:r>
        <w:t xml:space="preserve">简介</w:t>
      </w:r>
    </w:p>
    <w:p>
      <w:pPr>
        <w:pStyle w:val="FirstParagraph"/>
      </w:pPr>
      <w:r>
        <w:t xml:space="preserve">深圳证券交易所：完善信披监管规则体系，不断提升市场运行质量；光大银行率先实现托管资产RTGS业务自动勾单；中国拟完善保险业偿付能力监管，加强“一行三会”等协作；中国忠旺收购澳洲超级游艇制造商，首次直接进入下游终端制造领域</w:t>
      </w:r>
    </w:p>
    <w:p>
      <w:pPr>
        <w:pStyle w:val="Heading2"/>
      </w:pPr>
      <w:bookmarkStart w:id="22" w:name="资本市场"/>
      <w:bookmarkEnd w:id="22"/>
      <w:r>
        <w:t xml:space="preserve">资本市场</w:t>
      </w:r>
    </w:p>
    <w:p>
      <w:pPr>
        <w:pStyle w:val="Heading3"/>
      </w:pPr>
      <w:bookmarkStart w:id="23" w:name="深圳证券交易所完善信披监管规则体系不断提升市场运行质量"/>
      <w:bookmarkEnd w:id="23"/>
      <w:r>
        <w:t xml:space="preserve">深圳证券交易所：完善信披监管规则体系，不断提升市场运行质量</w:t>
      </w:r>
    </w:p>
    <w:p>
      <w:pPr>
        <w:pStyle w:val="FirstParagraph"/>
      </w:pPr>
      <w:r>
        <w:t xml:space="preserve">日前，深圳证券交易所（以下简称“深交所”）发布上市公司从事零售相关业务、上市公司从事快递服务业务两份行业信息披露指引，修订变更公司名称、上市公司与专业投资机构合作事项两份信息披露业务备忘录，这是深交所不断完善信息披露制度，夯实多层次资本市场信息披露监管规则体系，切实提升市场运行质量的最新举措。</w:t>
      </w:r>
    </w:p>
    <w:p>
      <w:pPr>
        <w:pStyle w:val="TextBody"/>
      </w:pPr>
      <w:r>
        <w:t xml:space="preserve">本次发布的零售相关业务、快递服务业务2项传统行业信息披露指引分别针对零售行业和快递服务行业上市公司的经营特点，从定期报告和临时报告、财务信息与非财务信息、行业特征与公司业务等多维度对上市公司应当履行的披露义务进行了规范，着力提高零售及快递服务行业信息披露的有效性和针对性。今年以来，深交所积极应对市场新问题、新情况，坚持以信息披露监管为核心，以投资者需求为导向，不断完善以上市规则为核心，以规范运作指引、行业信息披露指引为主干，以信息披露业务备忘录为补充的上市公司监管规则体系，持续提升市场运行质量，促进深市多层次市场健康发展。</w:t>
      </w:r>
    </w:p>
    <w:p>
      <w:pPr>
        <w:pStyle w:val="TextBody"/>
      </w:pPr>
      <w:hyperlink r:id="rId24">
        <w:r>
          <w:rPr>
            <w:rStyle w:val="Hyperlink"/>
          </w:rPr>
          <w:t xml:space="preserve">http://www.szse.cn/main/aboutus/bsyw/39775249.shtml</w:t>
        </w:r>
      </w:hyperlink>
    </w:p>
    <w:p>
      <w:pPr>
        <w:pStyle w:val="Heading3"/>
      </w:pPr>
      <w:bookmarkStart w:id="25" w:name="上海证券交易所全国首单项目收益公司债券落地陕西延安"/>
      <w:bookmarkEnd w:id="25"/>
      <w:r>
        <w:t xml:space="preserve">上海证券交易所：全国首单项目收益公司债券落地陕西延安</w:t>
      </w:r>
    </w:p>
    <w:p>
      <w:pPr>
        <w:pStyle w:val="FirstParagraph"/>
      </w:pPr>
      <w:r>
        <w:t xml:space="preserve">近日，由陕西省旅游集团延安文化旅游产业投资有限公司发行的我国首单项目收益公司债券在上海证券交易所（以下简称“上交所”）成功挂牌转让。公司债券募集资金主要用于陕西省延安圣地河谷文化旅游产业园区金延安项目建设。陕旅公司项目收益公司债券的成功发行和挂牌转让，标志着在中国证监会的统一部署下，首单项目收益公司债券正式落地，也预示着上交所服务“一带一路”倡议的能力进一步提升。</w:t>
      </w:r>
    </w:p>
    <w:p>
      <w:pPr>
        <w:pStyle w:val="TextBody"/>
      </w:pPr>
      <w:r>
        <w:t xml:space="preserve">项目收益债为公司债的子品种，在审核程序、发行方式、上市（挂牌）交易、投资者适当性、登记托管、清算交收、监督管理及其法律责任方面遵从现行公司债的规定。具备公司债券发行条件可以发行项目收益债券，募集资金用于项目投资、建设、运营或收购，且以项目产生的经营性现金流为主要偿债来源。这一创新债券品种综合考虑了项目融资需求、资金用途和项目收益，实现“借、用、还”相统一，为企业开拓了项目融资的新渠道、解决了项目周期与融资期限错配的问题，同时有助于丰富交易所债券市场内涵，推动我国多层次资本市场的健康发展。</w:t>
      </w:r>
    </w:p>
    <w:p>
      <w:pPr>
        <w:pStyle w:val="TextBody"/>
      </w:pPr>
      <w:hyperlink r:id="rId26">
        <w:r>
          <w:rPr>
            <w:rStyle w:val="Hyperlink"/>
          </w:rPr>
          <w:t xml:space="preserve">http://www.sse.com.cn/aboutus/mediacenter/hotandd/c/c_20171018_4402307.shtml</w:t>
        </w:r>
      </w:hyperlink>
    </w:p>
    <w:p>
      <w:pPr>
        <w:pStyle w:val="Heading3"/>
      </w:pPr>
      <w:bookmarkStart w:id="27" w:name="云南省财政厅成功在上海证券交易所首次续发行地方政府债券"/>
      <w:bookmarkEnd w:id="27"/>
      <w:r>
        <w:t xml:space="preserve">云南省财政厅成功在上海证券交易所首次续发行地方政府债券</w:t>
      </w:r>
    </w:p>
    <w:p>
      <w:pPr>
        <w:pStyle w:val="FirstParagraph"/>
      </w:pPr>
      <w:r>
        <w:t xml:space="preserve">近日， 2017年云南省政府一般债券第九期、第十一期续发行在上海证券交易所（以下简称“上交所”）成功试点，标志着全国首单地方债续发行顺利落地。这是上交所贯彻落实证监会、财政部的有关工作部署，积极配合地方财政部门开展地方债发行制度创新改革的一次有益尝试，为进一步改善地方债二级市场流动性迈出了重要一步。</w:t>
      </w:r>
    </w:p>
    <w:p>
      <w:pPr>
        <w:pStyle w:val="TextBody"/>
      </w:pPr>
      <w:r>
        <w:t xml:space="preserve">续发行是对已上市交易的单期债券进行的增量发行，各要素均与原债券相同，上市后的债券与原债券合并交易。从实践经验来看，续发行可以在维持较高发行频率的情况下，减少债券支数，扩大单支规模，从而增加单支债券流通量，减少债券碎片，提高投资者认购积极性，进而提高债券流动性。为配合此次全国首单地方债续发行试点，上交所提前组织专员开展制度研究、系统调试，并制定应急预案，确保各项发行基础配套万无一失。本次续发行的成功试点，不仅标志着上交所与地方财政部门通力合作再结硕果，也是上交所地方债市场建设的又一关键里程碑，对进一步完善地方债市场化发行制度具有重大的意义和深远的影响。</w:t>
      </w:r>
    </w:p>
    <w:p>
      <w:pPr>
        <w:pStyle w:val="TextBody"/>
      </w:pPr>
      <w:hyperlink r:id="rId28">
        <w:r>
          <w:rPr>
            <w:rStyle w:val="Hyperlink"/>
          </w:rPr>
          <w:t xml:space="preserve">http://www.sse.com.cn/aboutus/mediacenter/hotandd/c/c_20171019_4402934.shtml</w:t>
        </w:r>
      </w:hyperlink>
    </w:p>
    <w:p>
      <w:pPr>
        <w:pStyle w:val="Heading3"/>
      </w:pPr>
      <w:bookmarkStart w:id="29" w:name="光大银行率先实现托管资产rtgs业务自动勾单"/>
      <w:bookmarkEnd w:id="29"/>
      <w:r>
        <w:t xml:space="preserve">光大银行率先实现托管资产RTGS业务自动勾单</w:t>
      </w:r>
    </w:p>
    <w:p>
      <w:pPr>
        <w:pStyle w:val="FirstParagraph"/>
      </w:pPr>
      <w:r>
        <w:t xml:space="preserve">日前，中国光大银行资产托管系统上交所实时全额逐笔交收（RTGS）业务自动勾单功能顺利投产，这标志着光大银行成为国内首家实现托管资产RTGS业务自动化处理的托管银行。</w:t>
      </w:r>
    </w:p>
    <w:p>
      <w:pPr>
        <w:pStyle w:val="TextBody"/>
      </w:pPr>
      <w:r>
        <w:t xml:space="preserve">RTGS业务是中国证券登记结算公司为上海证券交易所非场内集中交易证券品种和不符合净额结算标准的证券提供的实时全额逐笔交收结算业务，具有逐笔处理业务、全额清算资金、实时到账等业务特点。RTGS自动勾单功能利用中登公司数据接口实现信息直连、指令自动生成，并可根据管理人授权完成智能支付与自动勾单申报，整个流程实现直通式不落地处理。该功能可以精准、及时地完成托管产品场内RTGS业务的交收，有效规避因业务量和时效性引发的业务交收风险。光大银行顺应市场趋势，依托自身丰富的资产托管经验和先进的科技研发实力，开发了RTGS业务自动勾单功能，并顺利实现投产。</w:t>
      </w:r>
    </w:p>
    <w:p>
      <w:pPr>
        <w:pStyle w:val="TextBody"/>
      </w:pPr>
      <w:hyperlink r:id="rId30">
        <w:r>
          <w:rPr>
            <w:rStyle w:val="Hyperlink"/>
          </w:rPr>
          <w:t xml:space="preserve">http://kuaixun.stcn.com/2017/1026/13715427.shtml</w:t>
        </w:r>
      </w:hyperlink>
    </w:p>
    <w:p>
      <w:pPr>
        <w:pStyle w:val="Heading2"/>
      </w:pPr>
      <w:bookmarkStart w:id="31" w:name="保险"/>
      <w:bookmarkEnd w:id="31"/>
      <w:r>
        <w:t xml:space="preserve">保险</w:t>
      </w:r>
    </w:p>
    <w:p>
      <w:pPr>
        <w:pStyle w:val="Heading3"/>
      </w:pPr>
      <w:bookmarkStart w:id="32" w:name="中国拟完善保险业偿付能力监管加强一行三会等协作"/>
      <w:bookmarkEnd w:id="32"/>
      <w:r>
        <w:t xml:space="preserve">中国拟完善保险业偿付能力监管，加强“一行三会”等协作</w:t>
      </w:r>
    </w:p>
    <w:p>
      <w:pPr>
        <w:pStyle w:val="FirstParagraph"/>
      </w:pPr>
      <w:r>
        <w:t xml:space="preserve">中国保险监督管理委员会近日宣布，就拟修订的《保险公司偿付能力管理规定（征求意见稿）》公开征求意见。征求意见稿进一步明确了偿付能力监管框架和原则，并提出“一行三会”等部门将加强监管协作。</w:t>
      </w:r>
    </w:p>
    <w:p>
      <w:pPr>
        <w:pStyle w:val="TextBody"/>
      </w:pPr>
      <w:r>
        <w:t xml:space="preserve">此次征求意见稿规范了保监会、保监局、保险公司以及中介机构、投资者等市场相关方在偿付能力监管体系中的职责定位，构建起监管机构内部上下联动、监管与市场内外结合、保险公司与监管机构各负其责的偿付能力监管机制和体系。与现行规定相比，征求意见稿进一步明确了以风险为导向，建立定量资本要求、定性监管要求和市场约束机制相结合的三支柱偿付能力监管体系；同时还明确，偿付能力达标公司需同时满足“核心偿付能力充足率达50%、综合偿付能力充足率达100%、风险综合评级B类以上”三大指标。</w:t>
      </w:r>
    </w:p>
    <w:p>
      <w:pPr>
        <w:pStyle w:val="TextBody"/>
      </w:pPr>
      <w:hyperlink r:id="rId33">
        <w:r>
          <w:rPr>
            <w:rStyle w:val="Hyperlink"/>
          </w:rPr>
          <w:t xml:space="preserve">http://www.chinanews.com/fortune/2017/10-20/8357315.shtml</w:t>
        </w:r>
      </w:hyperlink>
    </w:p>
    <w:p>
      <w:pPr>
        <w:pStyle w:val="Heading2"/>
      </w:pPr>
      <w:bookmarkStart w:id="34" w:name="税收"/>
      <w:bookmarkEnd w:id="34"/>
      <w:r>
        <w:t xml:space="preserve">税收</w:t>
      </w:r>
    </w:p>
    <w:p>
      <w:pPr>
        <w:pStyle w:val="Heading3"/>
      </w:pPr>
      <w:bookmarkStart w:id="35" w:name="广东省将于2018年下调车船税最高降幅83.3"/>
      <w:bookmarkEnd w:id="35"/>
      <w:r>
        <w:t xml:space="preserve">广东省将于2018年下调车船税，最高降幅83.3%</w:t>
      </w:r>
    </w:p>
    <w:p>
      <w:pPr>
        <w:pStyle w:val="FirstParagraph"/>
      </w:pPr>
      <w:r>
        <w:t xml:space="preserve">近日，从广东省政府官网获悉，《广东省人民政府关于调整车辆车船税具体适用税额的通知》（以下简称《通知》）已经印发，明年起，广东车船税适用税额拟降低到法定税率最低水平，其中1.0升的乘用车车船税由原来的180元直接减到60元，降幅达到66.7%，而货车车船税降幅更达到83.3%。</w:t>
      </w:r>
    </w:p>
    <w:p>
      <w:pPr>
        <w:pStyle w:val="TextBody"/>
      </w:pPr>
      <w:r>
        <w:t xml:space="preserve">《通知》指出，此次是根据《中华人民共和国车船税法》所附《车船税税目税额表》，合理调整广东省车辆车船税征收标准。对于运输行业来说，此次下调车船税是重大利好。对私家车主来说，此次调整也是不折不扣的“福利”，比如排气量在1.0升（含）以下的乘用车辆，明年每车基准税额可从180元降为60元。新的车船税适用税额将从2018年1月1日起开始施行，有效期五年。</w:t>
      </w:r>
    </w:p>
    <w:p>
      <w:pPr>
        <w:pStyle w:val="TextBody"/>
      </w:pPr>
      <w:hyperlink r:id="rId36">
        <w:r>
          <w:rPr>
            <w:rStyle w:val="Hyperlink"/>
          </w:rPr>
          <w:t xml:space="preserve">http://www.cfen.com.cn/cjxw/ss/201710/t20171023_2730007.html</w:t>
        </w:r>
      </w:hyperlink>
    </w:p>
    <w:p>
      <w:pPr>
        <w:pStyle w:val="Heading2"/>
      </w:pPr>
      <w:bookmarkStart w:id="37" w:name="行业"/>
      <w:bookmarkEnd w:id="37"/>
      <w:r>
        <w:t xml:space="preserve">行业</w:t>
      </w:r>
    </w:p>
    <w:p>
      <w:pPr>
        <w:pStyle w:val="Heading3"/>
      </w:pPr>
      <w:bookmarkStart w:id="38" w:name="工信部发布加快推进环保装备制造业发展指导意见"/>
      <w:bookmarkEnd w:id="38"/>
      <w:r>
        <w:t xml:space="preserve">工信部发布加快推进环保装备制造业发展指导意见</w:t>
      </w:r>
    </w:p>
    <w:p>
      <w:pPr>
        <w:pStyle w:val="FirstParagraph"/>
      </w:pPr>
      <w:r>
        <w:t xml:space="preserve">为全面推行绿色制造，提升环保装备制造业水平，促进环保产业持续健康发展，实现有效供给，工信部日前发布加快推进环保装备制造业发展的指导意见。</w:t>
      </w:r>
    </w:p>
    <w:p>
      <w:pPr>
        <w:pStyle w:val="TextBody"/>
      </w:pPr>
      <w:r>
        <w:t xml:space="preserve">意见提出，到2020年，行业创新能力明显提升，关键核心技术取得新突破，创新驱动的行业发展体系基本建成。先进环保技术装备的有效供给能力显著提高，市场占有率大幅提升。主要技术装备基本达到国际先进水平，国际竞争力明显增强。产业结构不断优化，在每个重点领域支持一批具有示范引领作用的规范企业，培育十家百亿规模龙头企业，打造千家“专精特新”中小企业，形成若干个带动效应强、特色鲜明的产业集群，环保装备制造业产值达到10000亿元。</w:t>
      </w:r>
    </w:p>
    <w:p>
      <w:pPr>
        <w:pStyle w:val="TextBody"/>
      </w:pPr>
      <w:hyperlink r:id="rId39">
        <w:r>
          <w:rPr>
            <w:rStyle w:val="Hyperlink"/>
          </w:rPr>
          <w:t xml:space="preserve">http://www.sohu.com/a/199839085_115433</w:t>
        </w:r>
      </w:hyperlink>
    </w:p>
    <w:p>
      <w:pPr>
        <w:pStyle w:val="Heading3"/>
      </w:pPr>
      <w:bookmarkStart w:id="40" w:name="质检总局商务部等十部门联合印发-关于开展重要产品追溯标准化工作的指导意见"/>
      <w:bookmarkEnd w:id="40"/>
      <w:r>
        <w:t xml:space="preserve">质检总局、商务部等十部门联合印发 《关于开展重要产品追溯标准化工作的指导意见》</w:t>
      </w:r>
    </w:p>
    <w:p>
      <w:pPr>
        <w:pStyle w:val="FirstParagraph"/>
      </w:pPr>
      <w:r>
        <w:t xml:space="preserve">为深入贯彻落实国务院办公厅《关于加快推进重要产品追溯体系建设的意见》，加强重要产品追溯标准化工作指导和统筹协调，有序推进重要产品追溯标准体系建设，近日，质检总局、商务部、中央网信办、国家发展改革委、工信部、公安部、农业部、卫生计生委、安全监管总局、食品药品监管总局等十部门联合印发了《关于开展重要产品追溯标准化工作的指导意见》（以下简称《指导意见》）。</w:t>
      </w:r>
    </w:p>
    <w:p>
      <w:pPr>
        <w:pStyle w:val="TextBody"/>
      </w:pPr>
      <w:r>
        <w:t xml:space="preserve">《指导意见》明确了重要产品追溯标准化工作的指导思想、基本原则、主要目标和任务、工作对象和保障措施，为全面开展重要产品追溯标准化工作提供了全面科学的政策支持。《指导意见》明确了六个方面主要任务。一是开展重要产品追溯标准化基础研究；二是统筹规划重要产品追溯标准体系；三是研制重要产品追溯基础共性标准；四是探索重要产品追溯标准化试点示范；五是抓好重要产品追溯标准的推广应用；六是做好重要产品追溯标准实施信息反馈和评估，为重要产品追溯体系建设提供标准化支撑。</w:t>
      </w:r>
    </w:p>
    <w:p>
      <w:pPr>
        <w:pStyle w:val="TextBody"/>
      </w:pPr>
      <w:hyperlink r:id="rId41">
        <w:r>
          <w:rPr>
            <w:rStyle w:val="Hyperlink"/>
          </w:rPr>
          <w:t xml:space="preserve">http://www.mofcom.gov.cn/article/ae/ai/201710/20171002657648.shtml</w:t>
        </w:r>
      </w:hyperlink>
    </w:p>
    <w:p>
      <w:pPr>
        <w:pStyle w:val="Heading3"/>
      </w:pPr>
      <w:bookmarkStart w:id="42" w:name="财政部税务总局农业部等6部门联合发文培育农业产业化联合体"/>
      <w:bookmarkEnd w:id="42"/>
      <w:r>
        <w:t xml:space="preserve">财政部、税务总局、农业部等6部门联合发文培育农业产业化联合体</w:t>
      </w:r>
    </w:p>
    <w:p>
      <w:pPr>
        <w:pStyle w:val="FirstParagraph"/>
      </w:pPr>
      <w:r>
        <w:t xml:space="preserve">近日，财政部、税务总局、农业部、国家发展改革委、国土资源部、人民银行6部门联合印发《关于促进农业产业化联合体发展的指导意见》（以下简称《意见》），确定将培育发展一批带农作用突出、综合竞争力强、稳定可持续发展的农业产业化联合体，成为引领我国农村一二三产业融合和现代农业建设的重要力量。</w:t>
      </w:r>
    </w:p>
    <w:p>
      <w:pPr>
        <w:pStyle w:val="TextBody"/>
      </w:pPr>
      <w:r>
        <w:t xml:space="preserve">《意见》指出，要建立多元主体分工协作机制，增强龙头企业带动能力，提升农民合作社服务能力，强化家庭农场生产能力，完善内部组织制度，组建农业产业化联合体；健全资源要素共享机制，发展土地适度规模经营，引导资金有效流动，促进科技转化应用，加强市场信息互通，推动品牌共创共享，推动联合体各成员融通发展；完善利益共享机制，提升产业链价值，促进龙头企业、农民合作社和家庭农场互助服务，探索成员相互入股、组建新主体等联结方式，实现深度融合发展。</w:t>
      </w:r>
    </w:p>
    <w:p>
      <w:pPr>
        <w:pStyle w:val="TextBody"/>
      </w:pPr>
      <w:hyperlink r:id="rId43">
        <w:r>
          <w:rPr>
            <w:rStyle w:val="Hyperlink"/>
          </w:rPr>
          <w:t xml:space="preserve">http://news.jcrb.com/jxsw/201710/t20171026_1808908.html</w:t>
        </w:r>
      </w:hyperlink>
    </w:p>
    <w:p>
      <w:pPr>
        <w:pStyle w:val="Heading3"/>
      </w:pPr>
      <w:bookmarkStart w:id="44" w:name="财政部规范中央文化企业国有资产交易"/>
      <w:bookmarkEnd w:id="44"/>
      <w:r>
        <w:t xml:space="preserve">财政部规范中央文化企业国有资产交易</w:t>
      </w:r>
    </w:p>
    <w:p>
      <w:pPr>
        <w:pStyle w:val="FirstParagraph"/>
      </w:pPr>
      <w:r>
        <w:t xml:space="preserve">日前，财政部发布《关于进一步规范中央文化企业国有资产交易管理的通知》（以下简称《通知》），对财政部代表国务院履行出资人职责的中央文化企业国有资产交易行为进行规范，以促进国有资产合理流动，推动文化领域供给侧结构性改革，防止企业国有资产流失。</w:t>
      </w:r>
    </w:p>
    <w:p>
      <w:pPr>
        <w:pStyle w:val="TextBody"/>
      </w:pPr>
      <w:r>
        <w:t xml:space="preserve">《通知》规定，涉及主业关系国家文化安全、符合国家文化领域国有资本布局结构调整需要的重组整合，对受让方有特殊要求，企业产权需要在国有及国有控股企业之间转让的，经财政部批准，可以采取非公开协议转让方式；符合中央文化企业发展战略规划，同一中央文化企业及其各级控股企业或实际控制企业之间因实施内部重组整合进行产权转让的，经该中央文化企业审议决策，可以采取非公开协议转让方式。</w:t>
      </w:r>
    </w:p>
    <w:p>
      <w:pPr>
        <w:pStyle w:val="TextBody"/>
      </w:pPr>
      <w:hyperlink r:id="rId45">
        <w:r>
          <w:rPr>
            <w:rStyle w:val="Hyperlink"/>
          </w:rPr>
          <w:t xml:space="preserve">http://www.cfen.com.cn/cjxw/cz/201710/t20171025_2735226.html</w:t>
        </w:r>
      </w:hyperlink>
    </w:p>
    <w:p>
      <w:pPr>
        <w:pStyle w:val="Heading2"/>
      </w:pPr>
      <w:bookmarkStart w:id="46" w:name="并购"/>
      <w:bookmarkEnd w:id="46"/>
      <w:r>
        <w:t xml:space="preserve">并购</w:t>
      </w:r>
    </w:p>
    <w:p>
      <w:pPr>
        <w:pStyle w:val="Heading3"/>
      </w:pPr>
      <w:bookmarkStart w:id="47" w:name="中国忠旺收购澳洲超级游艇制造商首次直接进入下游终端制造领域"/>
      <w:bookmarkEnd w:id="47"/>
      <w:r>
        <w:t xml:space="preserve">中国忠旺收购澳洲超级游艇制造商，首次直接进入下游终端制造领域</w:t>
      </w:r>
    </w:p>
    <w:p>
      <w:pPr>
        <w:pStyle w:val="FirstParagraph"/>
      </w:pPr>
      <w:r>
        <w:t xml:space="preserve">港股上市公司中国忠旺近日公布，公司收购以澳大利亚为生产基地的全铝合金超级游艇制造商SilverYachts的控股权。公司强调，该项交易将有利于双方联手进一步拓展航海领域的铝合金材料应用。</w:t>
      </w:r>
    </w:p>
    <w:p>
      <w:pPr>
        <w:pStyle w:val="TextBody"/>
      </w:pPr>
      <w:r>
        <w:t xml:space="preserve">公开资料显示，SilverYachts是世界顶级游艇制造商之一，更是目前全球唯一一家有能力设计并生产70米以上大型全铝合金超级游艇的企业。铝合金船身让SilverYachts的游艇具备更轻更快的优良特性，在速度和燃油效率上均代表了世界顶级水准，是已建成游艇中航速最快的常规动力游艇。中国忠旺总裁兼执行董事路长青表示，该项收购是中国忠旺将其深加工业务战略进一步延伸至航海领域所采取的关键举措，并有利于推动公司国际业务的发展。中国忠旺与SilverYachts拥有共同理念，双方均致力于向客户提供超乎想象的顶尖产品。</w:t>
      </w:r>
    </w:p>
    <w:p>
      <w:pPr>
        <w:pStyle w:val="TextBody"/>
      </w:pPr>
      <w:hyperlink r:id="rId48">
        <w:r>
          <w:rPr>
            <w:rStyle w:val="Hyperlink"/>
          </w:rPr>
          <w:t xml:space="preserve">http://kuaixun.stcn.com/2017/1026/13715448.shtml</w:t>
        </w:r>
      </w:hyperlink>
    </w:p>
    <w:p>
      <w:pPr>
        <w:pStyle w:val="Heading3"/>
      </w:pPr>
      <w:bookmarkStart w:id="49" w:name="江特电机拟超亿元收购澳矿企11.45股权"/>
      <w:bookmarkEnd w:id="49"/>
      <w:r>
        <w:t xml:space="preserve">江特电机拟超亿元收购澳矿企11.45%股权</w:t>
      </w:r>
    </w:p>
    <w:p>
      <w:pPr>
        <w:pStyle w:val="FirstParagraph"/>
      </w:pPr>
      <w:r>
        <w:t xml:space="preserve">江特电机近日发布公告称，公司通过全资子公司德国尉尔参与澳大利亚上市矿企Tawana增发并获其11.45%股权，成为其第一大股东。</w:t>
      </w:r>
    </w:p>
    <w:p>
      <w:pPr>
        <w:pStyle w:val="TextBody"/>
      </w:pPr>
      <w:r>
        <w:t xml:space="preserve">公告显示，江特电机全资子公司德国尉尔与Tawana签订了股份认购协议，德国威尔将以每股0.35澳元的价格认购Tawana约5714.29万股新增股份，交易金额为2000万澳元（折合人民币约1.04亿元），认购完成后，德国尉尔将持有Tawana发行后约11.45%的股权。江特电机在公告中称，此次收购Tawana股权，是为了确保江特电机的合资公司宝江锂业生产碳酸锂、氢氧化锂的锂精矿供应。</w:t>
      </w:r>
    </w:p>
    <w:p>
      <w:pPr>
        <w:pStyle w:val="TextBody"/>
      </w:pPr>
      <w:hyperlink r:id="rId50">
        <w:r>
          <w:rPr>
            <w:rStyle w:val="Hyperlink"/>
          </w:rPr>
          <w:t xml:space="preserve">http://company.stcn.com/2017/1020/13702570.shtml</w:t>
        </w:r>
      </w:hyperlink>
    </w:p>
    <w:p>
      <w:pPr>
        <w:pStyle w:val="Heading3"/>
      </w:pPr>
      <w:bookmarkStart w:id="51" w:name="万安科技拟收购万安机械"/>
      <w:bookmarkEnd w:id="51"/>
      <w:r>
        <w:t xml:space="preserve">万安科技拟收购万安机械</w:t>
      </w:r>
    </w:p>
    <w:p>
      <w:pPr>
        <w:pStyle w:val="FirstParagraph"/>
      </w:pPr>
      <w:r>
        <w:t xml:space="preserve">万安科技近日发布公告称，与控股股东万安集团有限公司签订协议，万安科技拟以现金方式收购万安集团持有的万安机械100%股权，交易价格将以经第三方评估机构评估后的评估价值为基础协商确定，本次交易构成关联交易。</w:t>
      </w:r>
    </w:p>
    <w:p>
      <w:pPr>
        <w:pStyle w:val="TextBody"/>
      </w:pPr>
      <w:r>
        <w:t xml:space="preserve">公司表示，此次拟收购的万安机械毗邻全资子公司浙江万宝，拥有近125亩土地。此次收购完成后，公司将对该区域进行整体规划和布局，增加产能投入，提高生产能力；完善汽车试验、测试设施的投入，建设试车跑道，就近解决公司重点产品，尤其是汽车电子产品的装车路试，提高公司在产品试验、检测方面的竞争能力。</w:t>
      </w:r>
    </w:p>
    <w:p>
      <w:pPr>
        <w:pStyle w:val="TextBody"/>
      </w:pPr>
      <w:hyperlink r:id="rId52">
        <w:r>
          <w:rPr>
            <w:rStyle w:val="Hyperlink"/>
          </w:rPr>
          <w:t xml:space="preserve">http://company.stcn.com/2017/1024/13708641.shtml</w:t>
        </w:r>
      </w:hyperlink>
    </w:p>
    <w:p>
      <w:pPr>
        <w:pStyle w:val="Heading3"/>
      </w:pPr>
      <w:bookmarkStart w:id="53" w:name="新华联12亿元收购你我金融扩充金融领域布局"/>
      <w:bookmarkEnd w:id="53"/>
      <w:r>
        <w:t xml:space="preserve">新华联12亿元收购“你我金融”，扩充金融领域布局</w:t>
      </w:r>
    </w:p>
    <w:p>
      <w:pPr>
        <w:pStyle w:val="FirstParagraph"/>
      </w:pPr>
      <w:r>
        <w:t xml:space="preserve">新华联近日发布公告称，公司间接持有的控股子公司新丝路文旅拟通过发行股份的方式，购买派生科技持有的移动社交平台“你我金融”100%股权。根据协议，新丝路文旅拟按每股1.30港币发行10.86亿股作为本次收购对价，最终以14.118亿港元（约合人民币12亿元）进行收购。</w:t>
      </w:r>
    </w:p>
    <w:p>
      <w:pPr>
        <w:pStyle w:val="TextBody"/>
      </w:pPr>
      <w:r>
        <w:t xml:space="preserve">资料显示，你我金融是派生科技旗下垂直深耕于社交金融领域的子公司，此次，派生科技承诺，你我金融2017年、2018年、2019年的净利润分别不低于7000万元、2亿元、3亿元。如未达到以上利润标准，派生科技须以现金方式向新丝路文旅补偿该笔不足保证部分金额的6.3倍。此次交易完成后，新华联全资子公司新华联国际置地持股比例将由54.79%减少至40.93%，仍为新丝路文旅第一大股东。派生科技将持有新丝路文旅25.29%的股份，成为新丝路文旅第二大股东。新华联方面表示，此次通过新丝路文旅战略性引入派生科技，也是看中派生科技在创新金融科技领域的排头兵作用。</w:t>
      </w:r>
    </w:p>
    <w:p>
      <w:pPr>
        <w:pStyle w:val="TextBody"/>
      </w:pPr>
      <w:hyperlink r:id="rId54">
        <w:r>
          <w:rPr>
            <w:rStyle w:val="Hyperlink"/>
          </w:rPr>
          <w:t xml:space="preserve">http://company.stcn.com/2017/1019/13701409.shtml</w:t>
        </w:r>
      </w:hyperlink>
    </w:p>
    <w:p>
      <w:pPr>
        <w:pStyle w:val="Heading3"/>
      </w:pPr>
      <w:bookmarkStart w:id="55" w:name="拓普集团拟收购汽车零部件资产"/>
      <w:bookmarkEnd w:id="55"/>
      <w:r>
        <w:t xml:space="preserve">拓普集团拟收购汽车零部件资产</w:t>
      </w:r>
    </w:p>
    <w:p>
      <w:pPr>
        <w:pStyle w:val="FirstParagraph"/>
      </w:pPr>
      <w:r>
        <w:t xml:space="preserve">拓普集团近日公告称，公司与浙江家力汽车部件有限公司（以下简称“浙江家力”）、四川福多纳汽车部件有限公司（以下简称“四川福多纳”）的股东邓东东、潘红梅签署股权转让协议，公司拟以现金64200万元收购邓东东、潘红梅持有的浙江家力和四川福多纳（以下合称“标的公司”）100%股权。本次股权收购完成后，标的公司将成为公司的全资子公司。</w:t>
      </w:r>
    </w:p>
    <w:p>
      <w:pPr>
        <w:pStyle w:val="TextBody"/>
      </w:pPr>
      <w:r>
        <w:t xml:space="preserve">公告显示，公司在轻量化铝合金底盘方面取得研发成果，与标的公司的高强度钢底盘结合后，可以扩大底盘产品线，提高在该领域的竞争力；同时，可以实现资源共享以降低成本，具备较大的协同价值。根据公告，浙江家力系由分立前的浙江福多纳汽车部件有限公司经剥离非汽车零部件业务和相关资产后，专为本次交易而派生分立的新设公司，其承继了原浙江福多纳的全部汽车零部件业务，而现浙江福多纳汽车部件有限公司系原浙江福多纳的存续公司。</w:t>
      </w:r>
    </w:p>
    <w:p>
      <w:pPr>
        <w:pStyle w:val="TextBody"/>
      </w:pPr>
      <w:hyperlink r:id="rId56">
        <w:r>
          <w:rPr>
            <w:rStyle w:val="Hyperlink"/>
          </w:rPr>
          <w:t xml:space="preserve">http://company.stcn.com/2017/1020/13702554.shtml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- 2017年10月27日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ba505f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4" Type="http://schemas.openxmlformats.org/officeDocument/2006/relationships/hyperlink" Target="http://company.stcn.com/2017/1019/13701409.shtml" TargetMode="External"/><Relationship Id="rId56" Type="http://schemas.openxmlformats.org/officeDocument/2006/relationships/hyperlink" Target="http://company.stcn.com/2017/1020/13702554.shtml" TargetMode="External"/><Relationship Id="rId50" Type="http://schemas.openxmlformats.org/officeDocument/2006/relationships/hyperlink" Target="http://company.stcn.com/2017/1020/13702570.shtml" TargetMode="External"/><Relationship Id="rId52" Type="http://schemas.openxmlformats.org/officeDocument/2006/relationships/hyperlink" Target="http://company.stcn.com/2017/1024/13708641.shtml" TargetMode="External"/><Relationship Id="rId30" Type="http://schemas.openxmlformats.org/officeDocument/2006/relationships/hyperlink" Target="http://kuaixun.stcn.com/2017/1026/13715427.shtml" TargetMode="External"/><Relationship Id="rId48" Type="http://schemas.openxmlformats.org/officeDocument/2006/relationships/hyperlink" Target="http://kuaixun.stcn.com/2017/1026/13715448.shtml" TargetMode="External"/><Relationship Id="rId43" Type="http://schemas.openxmlformats.org/officeDocument/2006/relationships/hyperlink" Target="http://news.jcrb.com/jxsw/201710/t20171026_1808908.html" TargetMode="External"/><Relationship Id="rId45" Type="http://schemas.openxmlformats.org/officeDocument/2006/relationships/hyperlink" Target="http://www.cfen.com.cn/cjxw/cz/201710/t20171025_2735226.html" TargetMode="External"/><Relationship Id="rId36" Type="http://schemas.openxmlformats.org/officeDocument/2006/relationships/hyperlink" Target="http://www.cfen.com.cn/cjxw/ss/201710/t20171023_2730007.html" TargetMode="External"/><Relationship Id="rId33" Type="http://schemas.openxmlformats.org/officeDocument/2006/relationships/hyperlink" Target="http://www.chinanews.com/fortune/2017/10-20/8357315.shtml" TargetMode="External"/><Relationship Id="rId41" Type="http://schemas.openxmlformats.org/officeDocument/2006/relationships/hyperlink" Target="http://www.mofcom.gov.cn/article/ae/ai/201710/20171002657648.shtml" TargetMode="External"/><Relationship Id="rId39" Type="http://schemas.openxmlformats.org/officeDocument/2006/relationships/hyperlink" Target="http://www.sohu.com/a/199839085_115433" TargetMode="External"/><Relationship Id="rId26" Type="http://schemas.openxmlformats.org/officeDocument/2006/relationships/hyperlink" Target="http://www.sse.com.cn/aboutus/mediacenter/hotandd/c/c_20171018_4402307.shtml" TargetMode="External"/><Relationship Id="rId28" Type="http://schemas.openxmlformats.org/officeDocument/2006/relationships/hyperlink" Target="http://www.sse.com.cn/aboutus/mediacenter/hotandd/c/c_20171019_4402934.shtml" TargetMode="External"/><Relationship Id="rId24" Type="http://schemas.openxmlformats.org/officeDocument/2006/relationships/hyperlink" Target="http://www.szse.cn/main/aboutus/bsyw/39775249.shtml" TargetMode="External"/><Relationship Id="rId8" Type="http://schemas.openxmlformats.org/officeDocument/2006/relationships/hyperlink" Target="http://www.charltonslaw.com.cn/shen-zhen-zheng-quan-jiao-yi-suo-wan-shan-xin-pi-jian-guan-gui-ze-ti-xi-bu-duan-ti-sheng-shi-chang-yun-xing-zhi-liang"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4" Type="http://schemas.openxmlformats.org/officeDocument/2006/relationships/hyperlink" Target="http://company.stcn.com/2017/1019/13701409.shtml" TargetMode="External"/><Relationship Id="rId56" Type="http://schemas.openxmlformats.org/officeDocument/2006/relationships/hyperlink" Target="http://company.stcn.com/2017/1020/13702554.shtml" TargetMode="External"/><Relationship Id="rId50" Type="http://schemas.openxmlformats.org/officeDocument/2006/relationships/hyperlink" Target="http://company.stcn.com/2017/1020/13702570.shtml" TargetMode="External"/><Relationship Id="rId52" Type="http://schemas.openxmlformats.org/officeDocument/2006/relationships/hyperlink" Target="http://company.stcn.com/2017/1024/13708641.shtml" TargetMode="External"/><Relationship Id="rId30" Type="http://schemas.openxmlformats.org/officeDocument/2006/relationships/hyperlink" Target="http://kuaixun.stcn.com/2017/1026/13715427.shtml" TargetMode="External"/><Relationship Id="rId48" Type="http://schemas.openxmlformats.org/officeDocument/2006/relationships/hyperlink" Target="http://kuaixun.stcn.com/2017/1026/13715448.shtml" TargetMode="External"/><Relationship Id="rId43" Type="http://schemas.openxmlformats.org/officeDocument/2006/relationships/hyperlink" Target="http://news.jcrb.com/jxsw/201710/t20171026_1808908.html" TargetMode="External"/><Relationship Id="rId45" Type="http://schemas.openxmlformats.org/officeDocument/2006/relationships/hyperlink" Target="http://www.cfen.com.cn/cjxw/cz/201710/t20171025_2735226.html" TargetMode="External"/><Relationship Id="rId36" Type="http://schemas.openxmlformats.org/officeDocument/2006/relationships/hyperlink" Target="http://www.cfen.com.cn/cjxw/ss/201710/t20171023_2730007.html" TargetMode="External"/><Relationship Id="rId33" Type="http://schemas.openxmlformats.org/officeDocument/2006/relationships/hyperlink" Target="http://www.chinanews.com/fortune/2017/10-20/8357315.shtml" TargetMode="External"/><Relationship Id="rId41" Type="http://schemas.openxmlformats.org/officeDocument/2006/relationships/hyperlink" Target="http://www.mofcom.gov.cn/article/ae/ai/201710/20171002657648.shtml" TargetMode="External"/><Relationship Id="rId39" Type="http://schemas.openxmlformats.org/officeDocument/2006/relationships/hyperlink" Target="http://www.sohu.com/a/199839085_115433" TargetMode="External"/><Relationship Id="rId26" Type="http://schemas.openxmlformats.org/officeDocument/2006/relationships/hyperlink" Target="http://www.sse.com.cn/aboutus/mediacenter/hotandd/c/c_20171018_4402307.shtml" TargetMode="External"/><Relationship Id="rId28" Type="http://schemas.openxmlformats.org/officeDocument/2006/relationships/hyperlink" Target="http://www.sse.com.cn/aboutus/mediacenter/hotandd/c/c_20171019_4402934.shtml" TargetMode="External"/><Relationship Id="rId24" Type="http://schemas.openxmlformats.org/officeDocument/2006/relationships/hyperlink" Target="http://www.szse.cn/main/aboutus/bsyw/39775249.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2017-10-27T09:26:52Z</dcterms:created>
  <dcterms:modified xsi:type="dcterms:W3CDTF">2017-10-27T09:26:52Z</dcterms:modified>
</cp:coreProperties>
</file>