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- 2017年11月3日</w:t>
      </w:r>
    </w:p>
    <w:p>
      <w:pPr>
        <w:pStyle w:val="ReadOnline"/>
      </w:pPr>
      <w:hyperlink r:id="rId8">
        <w:r>
          <w:rPr/>
          <w:t>online version</w:t>
        </w:r>
      </w:hyperlink>
    </w:p>
    <w:p>
      <w:pPr>
        <w:pStyle w:val="Title"/>
      </w:pPr>
      <w:r>
        <w:t>《上海证券交易所服务“一带一路”建设愿景和行动计划（2018-2020年）》正式发布</w:t>
      </w:r>
    </w:p>
    <w:p>
      <w:pPr>
        <w:pStyle w:val="Heading2"/>
      </w:pPr>
      <w:bookmarkStart w:id="21" w:name="资本市场"/>
      <w:bookmarkEnd w:id="21"/>
      <w:r>
        <w:t xml:space="preserve">资本市场</w:t>
      </w:r>
    </w:p>
    <w:p>
      <w:pPr>
        <w:pStyle w:val="Heading3"/>
      </w:pPr>
      <w:bookmarkStart w:id="22" w:name="上海证券交易所服务一带一路建设愿景和行动计划2018-2020年正式发布"/>
      <w:bookmarkEnd w:id="22"/>
      <w:r>
        <w:t xml:space="preserve">《上海证券交易所服务“一带一路”建设愿景和行动计划（2018-2020年）》正式发布</w:t>
      </w:r>
    </w:p>
    <w:p>
      <w:pPr>
        <w:pStyle w:val="FirstParagraph"/>
      </w:pPr>
      <w:r>
        <w:t xml:space="preserve">为进一步深化资本市场服务“一带一路”建设的支持，在中国证监会的指导下，上海证券交易所（以下简称“上交所”）经过认真研究，制定《上海证券交易所服务“一带一路”建设愿景和行动计划（2018-2020）》（以下简称《愿景和行动计划》）。《愿景和行动计划》是上交所未来服务“一带一路”建设的纲领性文件，以合理配置资源为前提，统筹部署各方面、各阶段的工作，有效支持“一带一路”建设。</w:t>
      </w:r>
    </w:p>
    <w:p>
      <w:pPr>
        <w:pStyle w:val="TextBody"/>
      </w:pPr>
      <w:r>
        <w:t xml:space="preserve">《愿景和行动计划》的总体目标是推动和组织“一带一路”沿线资本市场合作，拓宽“一带一路”建设直接融资渠道，动员境内、国际、沿线国家当地资金和境内外企业共同参与“一带一路”建设，构建“一带一路”资本市场的利益和命运共同体。同时，进一步推动境内资本市场双向开放，推进上海国际金融中心建设。《愿景和行动计划》坚持统筹规划、有序推进、合作共赢、可持续发展等原则，深化交易所合作机制，推进资本市场交流合作，提升投融资服务水平，强化信息与技术合作。</w:t>
      </w:r>
    </w:p>
    <w:p>
      <w:pPr>
        <w:pStyle w:val="TextBody"/>
      </w:pPr>
      <w:hyperlink r:id="rId23">
        <w:r>
          <w:rPr>
            <w:rStyle w:val="Hyperlink"/>
          </w:rPr>
          <w:t xml:space="preserve">http://www.sse.com.cn/aboutus/mediacenter/hotandd/c/c_20171027_4408390.shtml</w:t>
        </w:r>
      </w:hyperlink>
    </w:p>
    <w:p>
      <w:pPr>
        <w:pStyle w:val="Heading3"/>
      </w:pPr>
      <w:bookmarkStart w:id="24" w:name="上海证券交易所积极响应国家政策助力住房租赁市场发展"/>
      <w:bookmarkEnd w:id="24"/>
      <w:r>
        <w:t xml:space="preserve">上海证券交易所：积极响应国家政策，助力住房租赁市场发展</w:t>
      </w:r>
    </w:p>
    <w:p>
      <w:pPr>
        <w:pStyle w:val="FirstParagraph"/>
      </w:pPr>
      <w:r>
        <w:t xml:space="preserve">近日，国内首单央企租赁住房REITs——保利租赁住房REITs经上海证券交易所（以下简称“上交所”）审议通过。这是住房租赁市场的一个标志性事件，对楼市生态将产生深远影响，从而推动“房子是用来住的，不是用来炒的”发展趋势。</w:t>
      </w:r>
    </w:p>
    <w:p>
      <w:pPr>
        <w:pStyle w:val="TextBody"/>
      </w:pPr>
      <w:r>
        <w:t xml:space="preserve">该单REITs的推出，有利于租赁住房企业加快资金回笼，加大市场投入；有利于投资人分享租金收入和物业升值收益；更有利于市场发展，化解一线城市的居住难题，惠及更多普通租户。上交所总经理黄红元指出，保利租赁住房REITs项目的推出，为资本市场服务租赁住房行业发展探索和积累了有益经验，是上交所积极响应国家政策，助力住房租赁市场发展的重要举措。</w:t>
      </w:r>
    </w:p>
    <w:p>
      <w:pPr>
        <w:pStyle w:val="TextBody"/>
      </w:pPr>
      <w:hyperlink r:id="rId25">
        <w:r>
          <w:rPr>
            <w:rStyle w:val="Hyperlink"/>
          </w:rPr>
          <w:t xml:space="preserve">http://www.sse.com.cn/aboutus/mediacenter/hotandd/c/c_20171027_4408389.shtml</w:t>
        </w:r>
      </w:hyperlink>
    </w:p>
    <w:p>
      <w:pPr>
        <w:pStyle w:val="Heading3"/>
      </w:pPr>
      <w:bookmarkStart w:id="26" w:name="国开债在深圳证券交易所成功尝试数量招标发行"/>
      <w:bookmarkEnd w:id="26"/>
      <w:r>
        <w:t xml:space="preserve">国开债在深圳证券交易所成功尝试数量招标发行</w:t>
      </w:r>
    </w:p>
    <w:p>
      <w:pPr>
        <w:pStyle w:val="FirstParagraph"/>
      </w:pPr>
      <w:r>
        <w:t xml:space="preserve">近日，国开行在深圳证券交易所（以下简称“深交所”）首次尝试采用数量招标的方式增发1年期和3年期金融债券，发行价格分别为101.85元和101.14元，参考收益率分别为3.41%和4.30%5，最终实际中标量分别为78.7亿元和9.5亿元，合计88.2亿元，其中券商类承销团中标70.2亿，占比约80%。 此次发行将成为国开行在境内债券市场开展提取发行的试点。</w:t>
      </w:r>
    </w:p>
    <w:p>
      <w:pPr>
        <w:pStyle w:val="TextBody"/>
      </w:pPr>
      <w:r>
        <w:t xml:space="preserve">此次数量招标，是国开行在交易所债券市场的首次探索。深交所积极配合国开行在交易所市场试水多元化发行方式，以进一步平衡银行间与交易所市场金融债券投资者对收益率、需求量等方面的要求，努力为交易所市场金融债券投资者提供更加合理的定价参考。深交所在中国证监会的领导下，继续致力于建设功能齐备、安全可靠的债券招标发行系统，广泛支持政策性金融债券等高信用等级债券在深交所多元化方式发行，积极优化交易所债券市场产品结构，着力提升交易所债券市场流动性，进一步推动债券市场健康稳定发展。</w:t>
      </w:r>
    </w:p>
    <w:p>
      <w:pPr>
        <w:pStyle w:val="TextBody"/>
      </w:pPr>
      <w:hyperlink r:id="rId27">
        <w:r>
          <w:rPr>
            <w:rStyle w:val="Hyperlink"/>
          </w:rPr>
          <w:t xml:space="preserve">http://www.szse.cn/main/aboutus/bsyw/39775296.shtml</w:t>
        </w:r>
      </w:hyperlink>
    </w:p>
    <w:p>
      <w:pPr>
        <w:pStyle w:val="Heading3"/>
      </w:pPr>
      <w:bookmarkStart w:id="28" w:name="国际货币基金组织2017年秋季世界与中国经济展望报告发布"/>
      <w:bookmarkEnd w:id="28"/>
      <w:r>
        <w:t xml:space="preserve">国际货币基金组织2017年秋季《世界与中国经济展望报告》发布</w:t>
      </w:r>
    </w:p>
    <w:p>
      <w:pPr>
        <w:pStyle w:val="FirstParagraph"/>
      </w:pPr>
      <w:r>
        <w:t xml:space="preserve">日前，由中国人民大学国际货币研究所（IMI）、国际货币基金组织（IMF）驻华代表处、民生证券研究院联合主办的“国际货币基金组织2017年《世界与中国经济展望报告》（以下简称《报告》）发布会”在京举办。</w:t>
      </w:r>
    </w:p>
    <w:p>
      <w:pPr>
        <w:pStyle w:val="TextBody"/>
      </w:pPr>
      <w:r>
        <w:t xml:space="preserve">《报告》指出，全球复苏也许并不能持续，表现为通胀普遍低于目标、工资增长较为疲软，且世界许多地区的中期前景都不尽人意。 在重大风险面前，复苏十分脆弱。《报告》强调，金融市场如果忽视了这些风险，不仅将更易受到破坏性价格调整的影响，还会向政策制定者发出误导性的信号。《报告》建议政策制定者以更长远的眼光抓住当前时机推进结构性改革和财政改革，从而增强风险抵御能力、提高生产率并促进投资。 IMF驻华首席代表Alfred Schipke表示，无论是从硬指标PMI还是从软指标消费者信心指数来看，全球经济增长日趋强劲，经济增长率预计在2017年和2018年分别达到3.6%和3.7%，而中国经济增长率分别预期为6.8%和6.5%。</w:t>
      </w:r>
    </w:p>
    <w:p>
      <w:pPr>
        <w:pStyle w:val="TextBody"/>
      </w:pPr>
      <w:hyperlink r:id="rId29">
        <w:r>
          <w:rPr>
            <w:rStyle w:val="Hyperlink"/>
          </w:rPr>
          <w:t xml:space="preserve">http://www.cfen.com.cn/cjxw/jr/201711/t20171101_2742364.html</w:t>
        </w:r>
      </w:hyperlink>
    </w:p>
    <w:p>
      <w:pPr>
        <w:pStyle w:val="Heading2"/>
      </w:pPr>
      <w:bookmarkStart w:id="30" w:name="保险"/>
      <w:bookmarkEnd w:id="30"/>
      <w:r>
        <w:t xml:space="preserve">保险</w:t>
      </w:r>
    </w:p>
    <w:p>
      <w:pPr>
        <w:pStyle w:val="Heading3"/>
      </w:pPr>
      <w:bookmarkStart w:id="31" w:name="中国保监会进一步细化保险销售过程可回溯要求切实维护保险消费者合法权益"/>
      <w:bookmarkEnd w:id="31"/>
      <w:r>
        <w:t xml:space="preserve">中国保监会进一步细化保险销售过程可回溯要求切实维护保险消费者合法权益</w:t>
      </w:r>
    </w:p>
    <w:p>
      <w:pPr>
        <w:pStyle w:val="FirstParagraph"/>
      </w:pPr>
      <w:r>
        <w:t xml:space="preserve">为建立完善有利于保护保险消费者权益的机制、织密扎牢保险监管制度笼子，中国保监会出台了《保险销售行为可回溯管理暂行办法》（以下简称《办法》）和《关于落实〈保险销售行为可回溯管理暂行办法〉有关事项的通知》（以下简称《通知》），于2017年11月1日起正式实施。</w:t>
      </w:r>
    </w:p>
    <w:p>
      <w:pPr>
        <w:pStyle w:val="TextBody"/>
      </w:pPr>
      <w:r>
        <w:t xml:space="preserve">《办法》通过对保险公司、保险中介机构保险销售行为可回溯管理，记录和保存保险销售过程关键环节，实现销售行为可回放、重要信息可查询、问题责任可确认、消费权益可保障。《通知》进一步明确了保险销售过程现场录音录像的有关要求，着重强调了保险公司、保险中介机构对消费者的提示义务。《办法》和《通知》主要突出以下3个方面：一是保护消费者权益，强调销售主体责任，促使保险公司、保险中介机构依法合规经营。二是坚持问题导向，聚焦重点领域，将销售欺骗误导高发的渠道、产品和人群纳入本次可回溯管理的实施范围。三是注重可行性，兼顾现实性，根据可回溯管理的实施效果逐步扩大可回溯管理的渠道、险种和人群等。</w:t>
      </w:r>
    </w:p>
    <w:p>
      <w:pPr>
        <w:pStyle w:val="TextBody"/>
      </w:pPr>
      <w:hyperlink r:id="rId32">
        <w:r>
          <w:rPr>
            <w:rStyle w:val="Hyperlink"/>
          </w:rPr>
          <w:t xml:space="preserve">http://www.circ.gov.cn/web/site0/tab5174/info4086580.htm</w:t>
        </w:r>
      </w:hyperlink>
    </w:p>
    <w:p>
      <w:pPr>
        <w:pStyle w:val="Heading3"/>
      </w:pPr>
      <w:bookmarkStart w:id="33" w:name="中国保监会下发多份监管函剑指公司治理乱象"/>
      <w:bookmarkEnd w:id="33"/>
      <w:r>
        <w:t xml:space="preserve">中国保监会下发多份监管函剑指公司治理乱象</w:t>
      </w:r>
    </w:p>
    <w:p>
      <w:pPr>
        <w:pStyle w:val="FirstParagraph"/>
      </w:pPr>
      <w:r>
        <w:t xml:space="preserve">监管层治理保险业乱象持续加码，针对保险公司的公司治理监管也逐渐从柔性引导向刚性约束转变，继2017年10月中旬保监会对五家保险机构下发监管函之后，保监会官网再次挂出多达11份对保险机构的监管函。保监会称，被下发监管函的公司均为在今年上半年保险法人机构公司治理现场评估中监管评分较低的公司，主要问题集中在公司章程与“三会一层”运作、内控与合规管理、关联交易管理以及股东股权等方面。</w:t>
      </w:r>
    </w:p>
    <w:p>
      <w:pPr>
        <w:pStyle w:val="TextBody"/>
      </w:pPr>
      <w:r>
        <w:t xml:space="preserve">保监会称，监管函中明确要求相关公司接到监管函后立即实施整改，制定切实可行的整改方案，并限期向保监会报送整改报告。同时要求公司以此次评估和整改为契机，全面查找公司治理问题，完善制度，规范运作，有效防范风险。特别是针对关联交易问题，监管函中提及的“禁止部分公司与其重点关联方的关联交易六个月”，目的是督促其进一步规范关联交易管理，严防股东将保险公司当成“提款机”，这是保监会第一次对涉及关联交易的市场行为直接采取监管措施，体现出关联交易监管从以制度建设为主，转变到制度建设与市场行为监管并重的阶段。</w:t>
      </w:r>
    </w:p>
    <w:p>
      <w:pPr>
        <w:pStyle w:val="TextBody"/>
      </w:pPr>
      <w:hyperlink r:id="rId34">
        <w:r>
          <w:rPr>
            <w:rStyle w:val="Hyperlink"/>
          </w:rPr>
          <w:t xml:space="preserve">http://www.cfen.com.cn/cjxw/jr/201710/t20171027_2736110.html</w:t>
        </w:r>
      </w:hyperlink>
    </w:p>
    <w:p>
      <w:pPr>
        <w:pStyle w:val="Heading2"/>
      </w:pPr>
      <w:bookmarkStart w:id="35" w:name="税收"/>
      <w:bookmarkEnd w:id="35"/>
      <w:r>
        <w:t xml:space="preserve">税收</w:t>
      </w:r>
    </w:p>
    <w:p>
      <w:pPr>
        <w:pStyle w:val="Heading3"/>
      </w:pPr>
      <w:bookmarkStart w:id="36" w:name="国家税务总局关于进一步优化增值税消费税有关涉税事项办理程序的公告"/>
      <w:bookmarkEnd w:id="36"/>
      <w:r>
        <w:t xml:space="preserve">国家税务总局关于进一步优化增值税、消费税有关涉税事项办理程序的公告</w:t>
      </w:r>
    </w:p>
    <w:p>
      <w:pPr>
        <w:pStyle w:val="FirstParagraph"/>
      </w:pPr>
      <w:r>
        <w:t xml:space="preserve">为贯彻落实国务院关于简政放权、放管结合、优化服务的要求，国家税务总局发布关于进一步优化增值税、消费税有关涉税事项办理程序的公告。</w:t>
      </w:r>
    </w:p>
    <w:p>
      <w:pPr>
        <w:pStyle w:val="TextBody"/>
      </w:pPr>
      <w:r>
        <w:t xml:space="preserve">公告中指出，自2018年1月1日起，逾期增值税扣税凭证继续抵扣事项由省国税局核准。允许继续抵扣的客观原因类型及报送资料等要求，按照修改后的《国家税务总局关于逾期增值税扣税凭证抵扣问题的公告》执行。各省国税局应在修改后的国家税务总局公告2011年第50号附件《逾期增值税扣税凭证抵扣管理办法》相关规定基础上，进一步细化流程、明确时限、简化资料、改进服务。自2017年11月1日起，纳税人同时申请汇总缴纳增值税和消费税的，在汇总纳税申请资料中予以说明即可，不需要就增值税、消费税分别报送申请资料。</w:t>
      </w:r>
    </w:p>
    <w:p>
      <w:pPr>
        <w:pStyle w:val="TextBody"/>
      </w:pPr>
      <w:hyperlink r:id="rId37">
        <w:r>
          <w:rPr>
            <w:rStyle w:val="Hyperlink"/>
          </w:rPr>
          <w:t xml:space="preserve">http://www.gov.cn/xinwen/2017-10/31/content_5235676.htm</w:t>
        </w:r>
      </w:hyperlink>
    </w:p>
    <w:p>
      <w:pPr>
        <w:pStyle w:val="Heading2"/>
      </w:pPr>
      <w:bookmarkStart w:id="38" w:name="行业"/>
      <w:bookmarkEnd w:id="38"/>
      <w:r>
        <w:t xml:space="preserve">行业</w:t>
      </w:r>
    </w:p>
    <w:p>
      <w:pPr>
        <w:pStyle w:val="Heading3"/>
      </w:pPr>
      <w:bookmarkStart w:id="39" w:name="财政部商务部国家工商总局等五部门出台实施细则推动落实公平竞争审查制度"/>
      <w:bookmarkEnd w:id="39"/>
      <w:r>
        <w:t xml:space="preserve">财政部、商务部、国家工商总局等五部门出台实施细则推动落实公平竞争审查制度</w:t>
      </w:r>
    </w:p>
    <w:p>
      <w:pPr>
        <w:pStyle w:val="FirstParagraph"/>
      </w:pPr>
      <w:r>
        <w:t xml:space="preserve">近日，财政部、商务部、工商总局、国家发改委、国务院法制办联合印发《公平竞争审查制度实施细则（暂行）》，从审查机制和程序、审查标准、例外规定、社会监督、责任追究等方面对公平竞争审查制度相关规定进行了解释和细化。</w:t>
      </w:r>
    </w:p>
    <w:p>
      <w:pPr>
        <w:pStyle w:val="TextBody"/>
      </w:pPr>
      <w:r>
        <w:t xml:space="preserve">实施细则明确，政策制定机关未进行公平竞争审查或者违反审查标准出台政策措施的，由上级机关责令改正；拒不改正或者不及时改正的，对直接负责的主管人员和其他直接责任人员依据相关法律法规给予处分。实施细则的出台，为政策制定机关开展公平竞争审查提供了重要指引，有利于增进对公平竞争审查制度的理解和认识，督促和规范审查工作，提高审查水平。下一步，国家发改委将会同有关部门，督促和指导各地区、各部门进一步健全审查机制、落实审查责任，把公平竞争审查落实到每一项政策的起草和决策过程中，防止再出台新的排除、限制竞争的政策措施。</w:t>
      </w:r>
    </w:p>
    <w:p>
      <w:pPr>
        <w:pStyle w:val="TextBody"/>
      </w:pPr>
      <w:hyperlink r:id="rId40">
        <w:r>
          <w:rPr>
            <w:rStyle w:val="Hyperlink"/>
          </w:rPr>
          <w:t xml:space="preserve">http://www.chinacourt.org/article/detail/2017/10/id/3029570.shtml</w:t>
        </w:r>
      </w:hyperlink>
    </w:p>
    <w:p>
      <w:pPr>
        <w:pStyle w:val="Heading3"/>
      </w:pPr>
      <w:bookmarkStart w:id="41" w:name="中国国务院决定废止营业税暂行条例修改增值税暂行条例"/>
      <w:bookmarkEnd w:id="41"/>
      <w:r>
        <w:t xml:space="preserve">中国国务院决定废止营业税暂行条例，修改增值税暂行条例</w:t>
      </w:r>
    </w:p>
    <w:p>
      <w:pPr>
        <w:pStyle w:val="FirstParagraph"/>
      </w:pPr>
      <w:r>
        <w:t xml:space="preserve">2017年10月30日，国务院常务会议通过《国务院关于废止〈中华人民共和国营业税暂行条例〉和修改〈中华人民共和国增值税暂行条例〉的决定（草案）》，推动营改增改革成果法治化。</w:t>
      </w:r>
    </w:p>
    <w:p>
      <w:pPr>
        <w:pStyle w:val="TextBody"/>
      </w:pPr>
      <w:r>
        <w:t xml:space="preserve">根据国务院部署，自今年7月1日起，我国增值税税率将由四档减至17%、11%和6%三档，取消13%这一档税率；将原适用13%增值税税率的农产品、自来水、石油液化气、天然气、图书、音像制品等调整为11%。营改增是本届政府最重头的财税改革举措和减税政策，发挥了多重积极效应，试点实施以来已累计减税1.7万亿元。特别是自2016年5月1日全面推开营改增试点以来，截至今年6月直接减税8500多亿元，实现所有行业税负只减不增。</w:t>
      </w:r>
    </w:p>
    <w:p>
      <w:pPr>
        <w:pStyle w:val="TextBody"/>
      </w:pPr>
      <w:hyperlink r:id="rId42">
        <w:r>
          <w:rPr>
            <w:rStyle w:val="Hyperlink"/>
          </w:rPr>
          <w:t xml:space="preserve">http://www.gov.cn/xinwen/2017-11/01/content_5235931.htm</w:t>
        </w:r>
      </w:hyperlink>
    </w:p>
    <w:p>
      <w:pPr>
        <w:pStyle w:val="Heading3"/>
      </w:pPr>
      <w:bookmarkStart w:id="43" w:name="国家发展改革委等三部门联合印发特色农产品优势区建设规划纲要"/>
      <w:bookmarkEnd w:id="43"/>
      <w:r>
        <w:t xml:space="preserve">国家发展改革委等三部门联合印发《特色农产品优势区建设规划纲要》</w:t>
      </w:r>
    </w:p>
    <w:p>
      <w:pPr>
        <w:pStyle w:val="FirstParagraph"/>
      </w:pPr>
      <w:r>
        <w:t xml:space="preserve">近日，国家发展改革委、农业部、国家林业局联合印发了《特色农产品优势区建设规划纲要》（以下简称《纲要》），鼓励地方做大做强优势特色产业，争创特色农产品优势区（以下简称“特优区”），把地方土特产和小品种做成带动农民增收的大产业。</w:t>
      </w:r>
    </w:p>
    <w:p>
      <w:pPr>
        <w:pStyle w:val="TextBody"/>
      </w:pPr>
      <w:r>
        <w:t xml:space="preserve">《纲要》强调，建设特优区要坚持市场导向和绿色发展，以区域资源禀赋和产业比较优势为基础，以经济效益为中心，以农民增收为目的，完善标准体系，强化技术支撑，改进基础设施，加强品牌建设和主体培育，打造一批特色鲜明、优势聚集、产业融合、历史文化厚重、市场竞争力强的特优区，促进优势特色农业产业做大做强，建立农民能够合理分享二三产业收益的长效机制，提高特色农产品的供给质量和市场竞争力，推动农业供给侧结构性改革，辐射带动农民持续增收。</w:t>
      </w:r>
    </w:p>
    <w:p>
      <w:pPr>
        <w:pStyle w:val="TextBody"/>
      </w:pPr>
      <w:hyperlink r:id="rId44">
        <w:r>
          <w:rPr>
            <w:rStyle w:val="Hyperlink"/>
          </w:rPr>
          <w:t xml:space="preserve">http://www.gov.cn/xinwen/2017-10/31/content_5235803.htm</w:t>
        </w:r>
      </w:hyperlink>
    </w:p>
    <w:p>
      <w:pPr>
        <w:pStyle w:val="Heading2"/>
      </w:pPr>
      <w:bookmarkStart w:id="45" w:name="并购"/>
      <w:bookmarkEnd w:id="45"/>
      <w:r>
        <w:t xml:space="preserve">并购</w:t>
      </w:r>
    </w:p>
    <w:p>
      <w:pPr>
        <w:pStyle w:val="Heading3"/>
      </w:pPr>
      <w:bookmarkStart w:id="46" w:name="会稽山拟7.35亿元收购新三板公司咸亨股份"/>
      <w:bookmarkEnd w:id="46"/>
      <w:r>
        <w:t xml:space="preserve">会稽山拟7.35亿元收购新三板公司咸亨股份</w:t>
      </w:r>
    </w:p>
    <w:p>
      <w:pPr>
        <w:pStyle w:val="FirstParagraph"/>
      </w:pPr>
      <w:r>
        <w:t xml:space="preserve">会稽山2017年10月31日晚公告，公司拟以支付现金方式收购咸亨股份100%股份，预估值为7.35亿元。由于数额较大，会稽山拟以公开发行可转换公司债券或其他方式募集所需资金用于本次收购的支付。</w:t>
      </w:r>
    </w:p>
    <w:p>
      <w:pPr>
        <w:pStyle w:val="TextBody"/>
      </w:pPr>
      <w:r>
        <w:t xml:space="preserve">据了解，收购方会稽山位于浙江省绍兴市，是专注酿造黄酒的企业，主营黄酒的生产、销售和研发。公司前三季度营业收入为7.59亿元，同比增加27%，归属上市公司股东的净利润9842万元，同比增加33%。被收购方咸亨股份主营腐乳、黄酒及其他调味品，同样是绍兴市公司。2016年、2017年上半年咸亨股份营业收入分别为1.3亿元、7260万元，净利润分别为2891万元、2388万元。双方主营业务有交叉，又同为绍兴地区公司，有利于降低双方沟通成本。会稽山表示，如收购成功，将有利于公司开拓新的盈利增长点。</w:t>
      </w:r>
    </w:p>
    <w:p>
      <w:pPr>
        <w:pStyle w:val="TextBody"/>
      </w:pPr>
      <w:hyperlink r:id="rId47">
        <w:r>
          <w:rPr>
            <w:rStyle w:val="Hyperlink"/>
          </w:rPr>
          <w:t xml:space="preserve">http://sanban.stcn.com/2017/1101/13732123.shtml</w:t>
        </w:r>
      </w:hyperlink>
    </w:p>
    <w:p>
      <w:pPr>
        <w:pStyle w:val="Heading3"/>
      </w:pPr>
      <w:bookmarkStart w:id="48" w:name="浙民投天弘斥资27亿元要约收购st生化"/>
      <w:bookmarkEnd w:id="48"/>
      <w:r>
        <w:t xml:space="preserve">浙民投天弘斥资27亿元要约收购ST生化</w:t>
      </w:r>
    </w:p>
    <w:p>
      <w:pPr>
        <w:pStyle w:val="FirstParagraph"/>
      </w:pPr>
      <w:r>
        <w:t xml:space="preserve">2017年11月1日晚间，ST生化披露要约收购报告书，根据报告书，浙民投天弘将以36.00元/股的价格，合计斥资约27亿元，收购ST生化约7492万股（占股份总数的27.49%）。此前浙民投天弘及其一致行动人持有ST生化股份占比2.51%。</w:t>
      </w:r>
    </w:p>
    <w:p>
      <w:pPr>
        <w:pStyle w:val="TextBody"/>
      </w:pPr>
      <w:r>
        <w:t xml:space="preserve">公告显示，浙民投天弘及其一致行动人看好血制品行业的发展前景，以及上市公司的发展潜力，拟通过本次收购取得上市公司控制权。同时，其暂无在要约收购完成后12个月内继续增持ST生化股份的计划，但不排除根据市场情况进一步巩固控制权目的或自身战略安排等原因继续增持公司股份的可能，上述增持将不以终止ST生化的上市地位为目的。</w:t>
      </w:r>
    </w:p>
    <w:p>
      <w:pPr>
        <w:pStyle w:val="TextBody"/>
      </w:pPr>
      <w:hyperlink r:id="rId49">
        <w:r>
          <w:rPr>
            <w:rStyle w:val="Hyperlink"/>
          </w:rPr>
          <w:t xml:space="preserve">http://company.stcn.com/2017/1102/13734021.shtml</w:t>
        </w:r>
      </w:hyperlink>
    </w:p>
    <w:p>
      <w:pPr>
        <w:pStyle w:val="Heading3"/>
      </w:pPr>
      <w:bookmarkStart w:id="50" w:name="美都能源拟不超过35.96亿收购瑞福锂业"/>
      <w:bookmarkEnd w:id="50"/>
      <w:r>
        <w:t xml:space="preserve">美都能源拟不超过35.96亿收购瑞福锂业</w:t>
      </w:r>
    </w:p>
    <w:p>
      <w:pPr>
        <w:pStyle w:val="FirstParagraph"/>
      </w:pPr>
      <w:r>
        <w:t xml:space="preserve">美都能源2017年10月28日披露公告称，已与山东瑞福锂业有限公司股东签订《关于收购山东瑞福锂业有限公司股权之框架协议书》，拟收购瑞福锂业98.51%的股权，交易对价不超过35.96亿元，公告当日公司即收到上交所问询函，公司披露问询函回复公告，同时申请股票复牌交易。</w:t>
      </w:r>
    </w:p>
    <w:p>
      <w:pPr>
        <w:pStyle w:val="TextBody"/>
      </w:pPr>
      <w:r>
        <w:t xml:space="preserve">公告显示，瑞福锂业是一家专业从事碳酸锂、氢氧化锂及金属锂等锂电新材料系列产品研发、生产、销售的新能源高科技企业，拥有2.5万吨/年的电池级碳酸锂生产线和3000吨/年的高纯碳酸锂生产线。因瑞福锂业大部分原材料依靠进口，锂矿石价格上涨可能对公司影响较大。对此，上交所在问询函中要求公司补充披露具体进口量、进口金额等情况。从回复函中可以看出，标的资产70%以上的锂矿石依赖进口，其自有的锂矿石资源仅为2016年收购的新疆东力矿业，目前仍有48%的股权未收购完成。由此可见，标的资产并未掌握原材料的资源，其盈利能力存在一定不确定性。</w:t>
      </w:r>
    </w:p>
    <w:p>
      <w:pPr>
        <w:pStyle w:val="TextBody"/>
      </w:pPr>
      <w:hyperlink r:id="rId51">
        <w:r>
          <w:rPr>
            <w:rStyle w:val="Hyperlink"/>
          </w:rPr>
          <w:t xml:space="preserve">http://company.stcn.com/2017/1031/13730353.shtml</w:t>
        </w:r>
      </w:hyperlink>
    </w:p>
    <w:p>
      <w:pPr>
        <w:pStyle w:val="Heading3"/>
      </w:pPr>
      <w:bookmarkStart w:id="52" w:name="宝鹰股份拟2.17亿元转让中建南方51股权"/>
      <w:bookmarkEnd w:id="52"/>
      <w:r>
        <w:t xml:space="preserve">宝鹰股份拟2.17亿元转让中建南方51%股权</w:t>
      </w:r>
    </w:p>
    <w:p>
      <w:pPr>
        <w:pStyle w:val="FirstParagraph"/>
      </w:pPr>
      <w:r>
        <w:t xml:space="preserve">宝鹰股份近日公告，全资子公司深圳市宝鹰建设集团股份有限公司（以下简称“宝鹰建设”）与深圳市中建南方建设集团有限公司（以下简称“中建南方”）、刘慧永、程纪平、张珏等16位自然人签订了框架协议书，拟以2.17亿元价格，将所持有的中建南方51%股权转让给刘慧永等人。</w:t>
      </w:r>
    </w:p>
    <w:p>
      <w:pPr>
        <w:pStyle w:val="TextBody"/>
      </w:pPr>
      <w:r>
        <w:t xml:space="preserve">宝鹰股份表示，实施本次交易，将避免可能的团队管理风险，减少管理链条，进一步优化组织结构，有效降低运营成本和提高管理效益，同时增加了公司的运营资金，也有利于更好地实施公司既定的其他战略业务布局。资料显示，中建南方注册资金6000万元，经营范围为建筑装饰工程、建筑幕墙工程、建筑智能化工程、钢结构工程等。</w:t>
      </w:r>
    </w:p>
    <w:p>
      <w:pPr>
        <w:pStyle w:val="TextBody"/>
      </w:pPr>
      <w:hyperlink r:id="rId53">
        <w:r>
          <w:rPr>
            <w:rStyle w:val="Hyperlink"/>
          </w:rPr>
          <w:t xml:space="preserve">http://company.stcn.com/2017/1102/13734030.shtml</w:t>
        </w:r>
      </w:hyperlink>
    </w:p>
    <w:p>
      <w:pPr>
        <w:pStyle w:val="Heading3"/>
      </w:pPr>
      <w:bookmarkStart w:id="54" w:name="神州数码拟完成云角全面收购领跑中国cloud-msp"/>
      <w:bookmarkEnd w:id="54"/>
      <w:r>
        <w:t xml:space="preserve">神州数码拟完成云角全面收购，领跑中国Cloud MSP</w:t>
      </w:r>
    </w:p>
    <w:p>
      <w:pPr>
        <w:pStyle w:val="FirstParagraph"/>
      </w:pPr>
      <w:r>
        <w:t xml:space="preserve">近日，神州数码发布公告，宣布收购参股公司上海云角信息技术有限公司（以下简称“云角”）70%的股权。交易完成后，云角将成为神州数码集团旗下全资子公司。此次云角全面收购的完成，将有效补充神州数码在云资源聚合和云增值服务上的业务布局，快速提高神州数码在云计算领域的技术和服务能力，强力拉动神州数码在Cloud MSP领域的领跑优势。</w:t>
      </w:r>
    </w:p>
    <w:p>
      <w:pPr>
        <w:pStyle w:val="TextBody"/>
      </w:pPr>
      <w:r>
        <w:t xml:space="preserve">致力于成为中国领先的整合云服务提供商，神州数码集团已全面发力Cloud MSP领域，围绕混合IT架构，为企业提供云计算资源、云管理服务及场景化解决方案，帮助企业持续优化云上架构，保障云上系统的安全及高可用，为企业核心业务保驾护航。 自此前神州数码收购云角30%股权以来，双方已在混合云运维平台开发、标准化增值服务流程等技术领域展开对接，并在云计算领域的营销网络建设、广度资源对接、行业应用场景深化等方面产生协同效应，实现了云资源聚合和云增值服务上的紧密协同，帮助更多企业向云端转型。接下来，神州数码还将与云角一起，通过成立云角实验室等方式，深度整合双方云计算相关资源、技术及服务能力，为中国的企业级客户提供领先的整合云服务。</w:t>
      </w:r>
    </w:p>
    <w:p>
      <w:pPr>
        <w:pStyle w:val="TextBody"/>
      </w:pPr>
      <w:hyperlink r:id="rId55">
        <w:r>
          <w:rPr>
            <w:rStyle w:val="Hyperlink"/>
          </w:rPr>
          <w:t xml:space="preserve">http://company.stcn.com/2017/1026/13717836.shtml</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如果您不希望收到该法讯，请电邮  </w:t>
      </w:r>
      <w:hyperlink r:id="rId9">
        <w:r>
          <w:rPr/>
          <w:t>unsubscribe@charltonslaw.com</w:t>
        </w:r>
      </w:hyperlink>
    </w:p>
    <w:p>
      <w:pPr>
        <w:pStyle w:val="BlackStrips"/>
      </w:pPr>
      <w:r>
        <w:t>Charltons - 法讯 - 中国 - 2017年11月3日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2e932e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55" Type="http://schemas.openxmlformats.org/officeDocument/2006/relationships/hyperlink" Target="http://company.stcn.com/2017/1026/13717836.shtml" TargetMode="External"/><Relationship Id="rId51" Type="http://schemas.openxmlformats.org/officeDocument/2006/relationships/hyperlink" Target="http://company.stcn.com/2017/1031/13730353.shtml" TargetMode="External"/><Relationship Id="rId49" Type="http://schemas.openxmlformats.org/officeDocument/2006/relationships/hyperlink" Target="http://company.stcn.com/2017/1102/13734021.shtml" TargetMode="External"/><Relationship Id="rId53" Type="http://schemas.openxmlformats.org/officeDocument/2006/relationships/hyperlink" Target="http://company.stcn.com/2017/1102/13734030.shtml" TargetMode="External"/><Relationship Id="rId47" Type="http://schemas.openxmlformats.org/officeDocument/2006/relationships/hyperlink" Target="http://sanban.stcn.com/2017/1101/13732123.shtml" TargetMode="External"/><Relationship Id="rId34" Type="http://schemas.openxmlformats.org/officeDocument/2006/relationships/hyperlink" Target="http://www.cfen.com.cn/cjxw/jr/201710/t20171027_2736110.html" TargetMode="External"/><Relationship Id="rId29" Type="http://schemas.openxmlformats.org/officeDocument/2006/relationships/hyperlink" Target="http://www.cfen.com.cn/cjxw/jr/201711/t20171101_2742364.html" TargetMode="External"/><Relationship Id="rId40" Type="http://schemas.openxmlformats.org/officeDocument/2006/relationships/hyperlink" Target="http://www.chinacourt.org/article/detail/2017/10/id/3029570.shtml" TargetMode="External"/><Relationship Id="rId32" Type="http://schemas.openxmlformats.org/officeDocument/2006/relationships/hyperlink" Target="http://www.circ.gov.cn/web/site0/tab5174/info4086580.htm" TargetMode="External"/><Relationship Id="rId37" Type="http://schemas.openxmlformats.org/officeDocument/2006/relationships/hyperlink" Target="http://www.gov.cn/xinwen/2017-10/31/content_5235676.htm" TargetMode="External"/><Relationship Id="rId44" Type="http://schemas.openxmlformats.org/officeDocument/2006/relationships/hyperlink" Target="http://www.gov.cn/xinwen/2017-10/31/content_5235803.htm" TargetMode="External"/><Relationship Id="rId42" Type="http://schemas.openxmlformats.org/officeDocument/2006/relationships/hyperlink" Target="http://www.gov.cn/xinwen/2017-11/01/content_5235931.htm" TargetMode="External"/><Relationship Id="rId25" Type="http://schemas.openxmlformats.org/officeDocument/2006/relationships/hyperlink" Target="http://www.sse.com.cn/aboutus/mediacenter/hotandd/c/c_20171027_4408389.shtml" TargetMode="External"/><Relationship Id="rId23" Type="http://schemas.openxmlformats.org/officeDocument/2006/relationships/hyperlink" Target="http://www.sse.com.cn/aboutus/mediacenter/hotandd/c/c_20171027_4408390.shtml" TargetMode="External"/><Relationship Id="rId27" Type="http://schemas.openxmlformats.org/officeDocument/2006/relationships/hyperlink" Target="http://www.szse.cn/main/aboutus/bsyw/39775296.shtml" TargetMode="External"/><Relationship Id="rId8" Type="http://schemas.openxmlformats.org/officeDocument/2006/relationships/hyperlink" Target="http://www.charltonslaw.com.cn/shang-hai-zheng-quan-jiao-yi-suo-fu-wu-yi-dai-yi-lu-jian-she-yuan-jing-he-xing-dong-ji-hua-2018-2020-nian-zheng-shi-fa-bu" TargetMode="External"/><Relationship Id="rId9"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55" Type="http://schemas.openxmlformats.org/officeDocument/2006/relationships/hyperlink" Target="http://company.stcn.com/2017/1026/13717836.shtml" TargetMode="External"/><Relationship Id="rId51" Type="http://schemas.openxmlformats.org/officeDocument/2006/relationships/hyperlink" Target="http://company.stcn.com/2017/1031/13730353.shtml" TargetMode="External"/><Relationship Id="rId49" Type="http://schemas.openxmlformats.org/officeDocument/2006/relationships/hyperlink" Target="http://company.stcn.com/2017/1102/13734021.shtml" TargetMode="External"/><Relationship Id="rId53" Type="http://schemas.openxmlformats.org/officeDocument/2006/relationships/hyperlink" Target="http://company.stcn.com/2017/1102/13734030.shtml" TargetMode="External"/><Relationship Id="rId47" Type="http://schemas.openxmlformats.org/officeDocument/2006/relationships/hyperlink" Target="http://sanban.stcn.com/2017/1101/13732123.shtml" TargetMode="External"/><Relationship Id="rId34" Type="http://schemas.openxmlformats.org/officeDocument/2006/relationships/hyperlink" Target="http://www.cfen.com.cn/cjxw/jr/201710/t20171027_2736110.html" TargetMode="External"/><Relationship Id="rId29" Type="http://schemas.openxmlformats.org/officeDocument/2006/relationships/hyperlink" Target="http://www.cfen.com.cn/cjxw/jr/201711/t20171101_2742364.html" TargetMode="External"/><Relationship Id="rId40" Type="http://schemas.openxmlformats.org/officeDocument/2006/relationships/hyperlink" Target="http://www.chinacourt.org/article/detail/2017/10/id/3029570.shtml" TargetMode="External"/><Relationship Id="rId32" Type="http://schemas.openxmlformats.org/officeDocument/2006/relationships/hyperlink" Target="http://www.circ.gov.cn/web/site0/tab5174/info4086580.htm" TargetMode="External"/><Relationship Id="rId37" Type="http://schemas.openxmlformats.org/officeDocument/2006/relationships/hyperlink" Target="http://www.gov.cn/xinwen/2017-10/31/content_5235676.htm" TargetMode="External"/><Relationship Id="rId44" Type="http://schemas.openxmlformats.org/officeDocument/2006/relationships/hyperlink" Target="http://www.gov.cn/xinwen/2017-10/31/content_5235803.htm" TargetMode="External"/><Relationship Id="rId42" Type="http://schemas.openxmlformats.org/officeDocument/2006/relationships/hyperlink" Target="http://www.gov.cn/xinwen/2017-11/01/content_5235931.htm" TargetMode="External"/><Relationship Id="rId25" Type="http://schemas.openxmlformats.org/officeDocument/2006/relationships/hyperlink" Target="http://www.sse.com.cn/aboutus/mediacenter/hotandd/c/c_20171027_4408389.shtml" TargetMode="External"/><Relationship Id="rId23" Type="http://schemas.openxmlformats.org/officeDocument/2006/relationships/hyperlink" Target="http://www.sse.com.cn/aboutus/mediacenter/hotandd/c/c_20171027_4408390.shtml" TargetMode="External"/><Relationship Id="rId27" Type="http://schemas.openxmlformats.org/officeDocument/2006/relationships/hyperlink" Target="http://www.szse.cn/main/aboutus/bsyw/39775296.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2017-11-03T04:08:18Z</dcterms:created>
  <dcterms:modified xsi:type="dcterms:W3CDTF">2017-11-03T04:08:18Z</dcterms:modified>
</cp:coreProperties>
</file>