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- 2017年12月8日</w:t>
      </w:r>
    </w:p>
    <w:p>
      <w:pPr>
        <w:pStyle w:val="ReadOnline"/>
      </w:pPr>
      <w:hyperlink r:id="rId8">
        <w:r>
          <w:rPr/>
          <w:t>online version</w:t>
        </w:r>
      </w:hyperlink>
    </w:p>
    <w:p>
      <w:pPr>
        <w:pStyle w:val="Title"/>
      </w:pPr>
      <w:r>
        <w:t>上海证券交易所、深圳证券交易所、中国证券登记结算有限责任公司发布证券交易资金前端风险控制相关规则</w:t>
      </w:r>
    </w:p>
    <w:p>
      <w:pPr>
        <w:pStyle w:val="Heading2"/>
      </w:pPr>
      <w:bookmarkStart w:id="21" w:name="资本市场"/>
      <w:bookmarkEnd w:id="21"/>
      <w:r>
        <w:t xml:space="preserve">资本市场</w:t>
      </w:r>
    </w:p>
    <w:p>
      <w:pPr>
        <w:pStyle w:val="Heading3"/>
      </w:pPr>
      <w:bookmarkStart w:id="22" w:name="上海证券交易所深圳证券交易所中国证券登记结算有限责任公司发布证券交易资金前端风险控制相关规则"/>
      <w:bookmarkEnd w:id="22"/>
      <w:r>
        <w:t xml:space="preserve">上海证券交易所、深圳证券交易所、中国证券登记结算有限责任公司发布证券交易资金前端风险控制相关规则</w:t>
      </w:r>
    </w:p>
    <w:p>
      <w:pPr>
        <w:pStyle w:val="FirstParagraph"/>
      </w:pPr>
      <w:r>
        <w:t xml:space="preserve">为强化风险控制，维护市场公平，上海证券交易所、深圳证券交易所（以下简称“沪深交易所”）和中国证券登记结算有限责任公司（以下简称“中国结算”）联合制定了《上海证券交易所、深圳证券交易所、中国证券登记结算有限责任公司证券交易资金前端风险控制业务规则》及配套细则，经中国证监会批准于2017年12月1日发布，并自2018年6月1日起实施。</w:t>
      </w:r>
    </w:p>
    <w:p>
      <w:pPr>
        <w:pStyle w:val="TextBody"/>
      </w:pPr>
      <w:r>
        <w:t xml:space="preserve">有关负责人介绍，证券交易资金前端风险控制制度，是根据中国证监会部署，沪深交易所、中国结算对证券公司、基金公司、保险公司等市场参与机构的自营和资管等业务的交易单元当日净买入申报金额总量实施前端控制的制度，旨在不影响上述机构正常交易的情况下强化其日常交易管理，更好地维护交易结算秩序、维护市场公平，保护投资者特别是中小投资者的合法权益，保障证券市场安全稳定运行。该制度对普通投资者的正常交易不产生影响。</w:t>
      </w:r>
    </w:p>
    <w:p>
      <w:pPr>
        <w:pStyle w:val="TextBody"/>
      </w:pPr>
      <w:hyperlink r:id="rId23">
        <w:r>
          <w:rPr>
            <w:rStyle w:val="Hyperlink"/>
          </w:rPr>
          <w:t xml:space="preserve">http://www.szse.cn/main/aboutus/bsyw/39775996.shtml</w:t>
        </w:r>
      </w:hyperlink>
    </w:p>
    <w:p>
      <w:pPr>
        <w:pStyle w:val="Heading3"/>
      </w:pPr>
      <w:bookmarkStart w:id="24" w:name="深圳证券交易所加入联合国可持续证券交易所倡议"/>
      <w:bookmarkEnd w:id="24"/>
      <w:r>
        <w:t xml:space="preserve">深圳证券交易所加入联合国可持续证券交易所倡议</w:t>
      </w:r>
    </w:p>
    <w:p>
      <w:pPr>
        <w:pStyle w:val="FirstParagraph"/>
      </w:pPr>
      <w:r>
        <w:t xml:space="preserve">2017年12月3日，深圳证券交易所（以下简称“深交所”）总经理王建军在“全球公益金融论坛暨2017社会影响力投资峰会”上宣布，深交所正式成为联合国可持续证券交易所倡议（UN Sustainable Stock Exchange Initiative，以下简称“可持续交易所倡议”）第67家伙伴交易所。这标志着深交所将在支持可持续发展、推进绿色金融建设方面发挥更大作用。</w:t>
      </w:r>
    </w:p>
    <w:p>
      <w:pPr>
        <w:pStyle w:val="TextBody"/>
      </w:pPr>
      <w:r>
        <w:t xml:space="preserve">王建军总经理在演讲中表示，深交所一直以来高度重视可持续发展，在市场透明度建设、绿色金融体系建设及履行社会责任方面做了大量工作。深交所加入可持续交易所倡议将使交易所在更高层次、更宽领域发挥引领作用，促进全市场、全行业更好履行社会责任。可持续交易所倡议第一次全球对话于2009年在美国纽约由联合国秘书长潘基文主持召开，由联合国贸易和发展会议、联合国全球契约、联合国环境署金融倡议组织及联合国责任投资原则共同发起，旨在为参与交易所提供互相学习的平台，与投资者、监管机构及上市公司多方合作，共同改善上市公司透明度、促进可持续投资。</w:t>
      </w:r>
    </w:p>
    <w:p>
      <w:pPr>
        <w:pStyle w:val="TextBody"/>
      </w:pPr>
      <w:hyperlink r:id="rId25">
        <w:r>
          <w:rPr>
            <w:rStyle w:val="Hyperlink"/>
          </w:rPr>
          <w:t xml:space="preserve">http://www.szse.cn/main/aboutus/bsyw/39776002.shtml</w:t>
        </w:r>
      </w:hyperlink>
    </w:p>
    <w:p>
      <w:pPr>
        <w:pStyle w:val="Heading3"/>
      </w:pPr>
      <w:bookmarkStart w:id="26" w:name="证监会就修订证券期货市场诚信监督管理办法公开征求意见"/>
      <w:bookmarkEnd w:id="26"/>
      <w:r>
        <w:t xml:space="preserve">证监会就修订《证券期货市场诚信监督管理办法》公开征求意见</w:t>
      </w:r>
    </w:p>
    <w:p>
      <w:pPr>
        <w:pStyle w:val="FirstParagraph"/>
      </w:pPr>
      <w:r>
        <w:t xml:space="preserve">日前，证监会就《证券期货市场诚信监督管理办法》（以下简称《办法》）公开征求意见。这是证监会适应新时代资本市场发展和监管执法需要，强化资本市场诚信建设的基础性制度举措，对于增强资本市场参与各方诚信意识，提高诚信水平，维护资本市场持续稳定健康发展具有重要的意义。</w:t>
      </w:r>
    </w:p>
    <w:p>
      <w:pPr>
        <w:pStyle w:val="TextBody"/>
      </w:pPr>
      <w:r>
        <w:t xml:space="preserve">证监会将国家相关要求与资本市场实际相结合，修订《暂行办法》，形成了此次征求意见的《办法》。本次修订重点体现在七个方面：一是扩充了诚信信息覆盖的主体范围和信息内容范围，实行资本市场诚信监管“全覆盖”。二是建立重大违法失信信息公示的“黑名单”制度。三是建立市场准入环节的诚信承诺制度。行政许可事项申请涉及的相关当事人应当提交书面承诺，承诺申请材料真实、准确、完整。四是建立主要市场主体诚信积分管理制度，对主要市场主体实施诚信分类监管。 五是建立行政许可“绿色通道”制度，激励守信，对诚信状况良好的行政许可事项申请人实行优先审查制度。六是建立市场主体之间的诚信状况互查制度，强化市场交易活动中的自我诚信约束。七是强化事后监管的诚信约束。</w:t>
      </w:r>
    </w:p>
    <w:p>
      <w:pPr>
        <w:pStyle w:val="TextBody"/>
      </w:pPr>
      <w:hyperlink r:id="rId27">
        <w:r>
          <w:rPr>
            <w:rStyle w:val="Hyperlink"/>
          </w:rPr>
          <w:t xml:space="preserve">http://www.gov.cn/xinwen/2017-12/02/content_5243988.htm</w:t>
        </w:r>
      </w:hyperlink>
    </w:p>
    <w:p>
      <w:pPr>
        <w:pStyle w:val="Heading3"/>
      </w:pPr>
      <w:bookmarkStart w:id="28" w:name="深圳证券交易所l2行情香港节点启动"/>
      <w:bookmarkEnd w:id="28"/>
      <w:r>
        <w:t xml:space="preserve">深圳证券交易所L2行情香港节点启动</w:t>
      </w:r>
    </w:p>
    <w:p>
      <w:pPr>
        <w:pStyle w:val="FirstParagraph"/>
      </w:pPr>
      <w:r>
        <w:t xml:space="preserve">2017年12月6日，在深港通一周年之际，深圳证券交易所（以下简称“深交所”）联合中国创盈市场服务有限公司、深圳证券信息有限公司、深圳证券通信有限公司在香港举办了深交所L2行情香港节点启动会议。会议围绕证券行情数据的跨境接入与授权、证券市场信息服务的发展与完善进行了讨论和探讨，来自境外证券公司、机构投资者、信息服务商、网络服务商的代表约100人参加了会议。</w:t>
      </w:r>
    </w:p>
    <w:p>
      <w:pPr>
        <w:pStyle w:val="TextBody"/>
      </w:pPr>
      <w:r>
        <w:t xml:space="preserve">会上深圳证券信息有限公司与汤森路透正式签署《深圳证券交易所增强行情经营许可合同》。作为授权经营和发布深交所L2行情数据的第一家境外信息商，汤森路透表示，L2行情对香港市场提供了丰富的行情以及订单信息，有助于市场参与主体更好地了解市场流动性以及把握市场风险。美银美林表示，互联互通机制带来了两地市场的大融合和共同发展，目前内地和香港市场总值的增速已经领先于亚太其他区域，提升了A股市场对境外投资者的吸引力，促成了A股纳入MSCI基准指数。L2行情香港节点启动后，香港市场参与主体所能获得的深交所行情信息将更为丰富，相信会大大增加境外参与主体参与深市的意愿。</w:t>
      </w:r>
    </w:p>
    <w:p>
      <w:pPr>
        <w:pStyle w:val="TextBody"/>
      </w:pPr>
      <w:hyperlink r:id="rId29">
        <w:r>
          <w:rPr>
            <w:rStyle w:val="Hyperlink"/>
          </w:rPr>
          <w:t xml:space="preserve">http://www.szse.cn/main/aboutus/bsyw/39776076.shtml</w:t>
        </w:r>
      </w:hyperlink>
    </w:p>
    <w:p>
      <w:pPr>
        <w:pStyle w:val="Heading2"/>
      </w:pPr>
      <w:bookmarkStart w:id="30" w:name="保险"/>
      <w:bookmarkEnd w:id="30"/>
      <w:r>
        <w:t xml:space="preserve">保险</w:t>
      </w:r>
    </w:p>
    <w:p>
      <w:pPr>
        <w:pStyle w:val="Heading3"/>
      </w:pPr>
      <w:bookmarkStart w:id="31" w:name="中国保监会鼓励外资进入保险领域"/>
      <w:bookmarkEnd w:id="31"/>
      <w:r>
        <w:t xml:space="preserve">中国保监会鼓励外资进入保险领域</w:t>
      </w:r>
    </w:p>
    <w:p>
      <w:pPr>
        <w:pStyle w:val="FirstParagraph"/>
      </w:pPr>
      <w:r>
        <w:t xml:space="preserve">近日，中国保监会副主席黄洪在匈牙利首都布达佩斯出席亚金协•中东欧金融前沿问题论坛时表示，今年11月，中国政府宣布，放开外资投资证券、银行、人身保险等金融机构的持股比例限制，并明确放开比例和时间表，今后在牌照、业务准入等领域还将加大开放力度。中国保监会鼓励外资进入责任、健康、养老等保险领域，推动中国保险业提升专业化水平。支持中国金融业走出去，也欢迎中东欧在内的全球金融机构进入中国市场，搭乘中国发展的“快车”“便车”，分享发展红利。</w:t>
      </w:r>
    </w:p>
    <w:p>
      <w:pPr>
        <w:pStyle w:val="TextBody"/>
      </w:pPr>
      <w:r>
        <w:t xml:space="preserve">在黄洪看来，亚欧金融合作既面临新机遇，也面临新挑战。为此，黄洪认为，应以改革开放为动力，携手推动亚欧金融合作取得新成果。除扩大开放外，还将深化改革，发挥市场在资源配置中的决定性作用，更好发挥政府作用，提高金融资源配置效率，比如，保险业可以在共保体、再保险等方面探索改革创新，为“一带一路”建设提供风险保障。同时继续加强合作，将坚持市场化运作和政府推动，促进融资多样化，为“16+1合作”项目提供金融支持，探索建立中国与中东欧国家的金融监管合作机制，加强沟通交流，共同筑牢全球和区域金融风险防线。</w:t>
      </w:r>
    </w:p>
    <w:p>
      <w:pPr>
        <w:pStyle w:val="TextBody"/>
      </w:pPr>
      <w:hyperlink r:id="rId32">
        <w:r>
          <w:rPr>
            <w:rStyle w:val="Hyperlink"/>
          </w:rPr>
          <w:t xml:space="preserve">http://xw.sinoins.com/2017-12/06/content_249325.htm</w:t>
        </w:r>
      </w:hyperlink>
    </w:p>
    <w:p>
      <w:pPr>
        <w:pStyle w:val="Heading2"/>
      </w:pPr>
      <w:bookmarkStart w:id="33" w:name="税收"/>
      <w:bookmarkEnd w:id="33"/>
      <w:r>
        <w:t xml:space="preserve">税收</w:t>
      </w:r>
    </w:p>
    <w:p>
      <w:pPr>
        <w:pStyle w:val="Heading3"/>
      </w:pPr>
      <w:bookmarkStart w:id="34" w:name="税务总局出台关于进一步深化国税地税联合办税的指导意见"/>
      <w:bookmarkEnd w:id="34"/>
      <w:r>
        <w:t xml:space="preserve">税务总局出台《关于进一步深化国税地税联合办税的指导意见》</w:t>
      </w:r>
    </w:p>
    <w:p>
      <w:pPr>
        <w:pStyle w:val="FirstParagraph"/>
      </w:pPr>
      <w:r>
        <w:t xml:space="preserve">为落实中办、国办印发的《深化国税、地税征管体制改革方案》和《国务院办公厅关于推广支持创新相关改革举措的通知》等文件，税务总局近日印发《关于进一步深化国税地税联合办税的指导意见》（以下简称《指导意见》），全面指导各级国税和地税部门持续优化税收服务环境，促进国地税联合办税深度融合，更好地满足纳税人高效便捷服务的新需求。</w:t>
      </w:r>
    </w:p>
    <w:p>
      <w:pPr>
        <w:pStyle w:val="TextBody"/>
      </w:pPr>
      <w:r>
        <w:t xml:space="preserve">为进一步创新联合办税形式，《指导意见》提出，持续优化实体办税厅服务方式，在办税服务厅设置24小时国税、地税自助办税区域的同时，有条件的地方可探索在纳税人比较密集的银行、商场、社区等地方设置自助式国税、地税联合办税终端；持续融合网上办税资源，着力构筑“网上办税为主、自助办税为辅、实体办税服务厅兜底”的联合办税的新体系，方便纳税人登录一个平台、办理两家业务。《指导意见》要求，各地国税局、地税局要结合实际，采用互设窗口、共建办税服务厅和共同进驻政务服务中心等方式，进一步整合资源、融合升级，统一管理制度、统一绩效考评、统一服务标准、统一岗责培训，促进国税、地税办税服务的有效融合。</w:t>
      </w:r>
    </w:p>
    <w:p>
      <w:pPr>
        <w:pStyle w:val="TextBody"/>
      </w:pPr>
      <w:hyperlink r:id="rId35">
        <w:r>
          <w:rPr>
            <w:rStyle w:val="Hyperlink"/>
          </w:rPr>
          <w:t xml:space="preserve">http://www.gov.cn/xinwen/2017-12/05/content_5244580.htm</w:t>
        </w:r>
      </w:hyperlink>
    </w:p>
    <w:p>
      <w:pPr>
        <w:pStyle w:val="Heading3"/>
      </w:pPr>
      <w:bookmarkStart w:id="36" w:name="国务院修改增值税暂行条例单位个人纳税人更明确"/>
      <w:bookmarkEnd w:id="36"/>
      <w:r>
        <w:t xml:space="preserve">国务院修改增值税暂行条例：单位个人纳税人更明确</w:t>
      </w:r>
    </w:p>
    <w:p>
      <w:pPr>
        <w:pStyle w:val="FirstParagraph"/>
      </w:pPr>
      <w:r>
        <w:t xml:space="preserve">国务院总理李克强日前签署国务院令，公布《国务院关于废止〈中华人民共和国营业税暂行条例〉和修改〈中华人民共和国增值税暂行条例〉的决定》（以下简称《决定》），自公布之日起施行。</w:t>
      </w:r>
    </w:p>
    <w:p>
      <w:pPr>
        <w:pStyle w:val="TextBody"/>
      </w:pPr>
      <w:r>
        <w:t xml:space="preserve">此次对增值税暂行条例所作的修改主要有四个方面:一是将实行营改增的纳税人，即销售服务、无形资产、不动产的单位和个人明确规定为增值税的纳税人。二是在增值税暂行条例规定的税率中相应增加销售服务、无形资产、不动产的税率，并根据已实施的简并增值税税率改革将销售或者进口粮食、食用植物油、自来水、图书、饲料等货物的税率由13%调整为11%。三是对准予从销项税额中抵扣的进项税额以及不得抵扣的进项税额作了相应调整。四是为保证增值税暂行条例与营改增有关规定以及今后出台的改革措施相衔接，规定纳税人缴纳增值税的有关事项，国务院或者国务院财政、税务主管部门经国务院同意另有规定的，依照其规定。</w:t>
      </w:r>
    </w:p>
    <w:p>
      <w:pPr>
        <w:pStyle w:val="TextBody"/>
      </w:pPr>
      <w:hyperlink r:id="rId37">
        <w:r>
          <w:rPr>
            <w:rStyle w:val="Hyperlink"/>
          </w:rPr>
          <w:t xml:space="preserve">http://www.legaldaily.com.cn/index_article/content/2017-12/01/content_7409941.htm?node=5955</w:t>
        </w:r>
      </w:hyperlink>
    </w:p>
    <w:p>
      <w:pPr>
        <w:pStyle w:val="Heading2"/>
      </w:pPr>
      <w:bookmarkStart w:id="38" w:name="行业"/>
      <w:bookmarkEnd w:id="38"/>
      <w:r>
        <w:t xml:space="preserve">行业</w:t>
      </w:r>
    </w:p>
    <w:p>
      <w:pPr>
        <w:pStyle w:val="Heading3"/>
      </w:pPr>
      <w:bookmarkStart w:id="39" w:name="司法部印发文件要求司法鉴定实施严格准入严格监管"/>
      <w:bookmarkEnd w:id="39"/>
      <w:r>
        <w:t xml:space="preserve">司法部印发文件要求：司法鉴定实施严格准入严格监管</w:t>
      </w:r>
    </w:p>
    <w:p>
      <w:pPr>
        <w:pStyle w:val="FirstParagraph"/>
      </w:pPr>
      <w:r>
        <w:t xml:space="preserve">日前，司法部印发《关于严格准入，严格监管，提高司法鉴定质量和公信力的意见》（以下简称《意见》），要求各地司法行政机关深入贯彻落实中央关于健全统一司法鉴定管理体制的实施意见，切实加强司法鉴定管理和监督，提高司法鉴定质量和公信力，努力让人民群众在每一个司法案件中感受到公平正义。</w:t>
      </w:r>
    </w:p>
    <w:p>
      <w:pPr>
        <w:pStyle w:val="TextBody"/>
      </w:pPr>
      <w:r>
        <w:t xml:space="preserve">《意见》强调，司法鉴定实施严格准入，从准入范围角度，对没有法律、法规依据的，一律不予准入登记。从准入条件角度，申请人必须自有必备的、符合使用要求的仪器设备，自有开展司法鉴定业务必需的依法通过计量认证或者实验室认可的检测实验室；要确保鉴定人身体健康，能够胜任鉴定活动和出庭作证工作任务；辞职的公务员或者公务员退休的，原系领导班子成员的公务员以及其他担任县处级以上职务的公务员辞去公职未满3年，其他公务员未满2年的，不得接受原任职务管辖地区和业务范围内的鉴定机构的聘任。</w:t>
      </w:r>
    </w:p>
    <w:p>
      <w:pPr>
        <w:pStyle w:val="TextBody"/>
      </w:pPr>
      <w:hyperlink r:id="rId40">
        <w:r>
          <w:rPr>
            <w:rStyle w:val="Hyperlink"/>
          </w:rPr>
          <w:t xml:space="preserve">http://www.legaldaily.com.cn/index_article/content/2017-12/03/content_7410531.htm?node=5955</w:t>
        </w:r>
      </w:hyperlink>
    </w:p>
    <w:p>
      <w:pPr>
        <w:pStyle w:val="Heading3"/>
      </w:pPr>
      <w:bookmarkStart w:id="41" w:name="国家发展改革委印发招标公告和公示信息发布管理办法"/>
      <w:bookmarkEnd w:id="41"/>
      <w:r>
        <w:t xml:space="preserve">国家发展改革委印发《招标公告和公示信息发布管理办法》</w:t>
      </w:r>
    </w:p>
    <w:p>
      <w:pPr>
        <w:pStyle w:val="FirstParagraph"/>
      </w:pPr>
      <w:r>
        <w:t xml:space="preserve">为深化招标投标领域“放管服”改革，进一步规范招标公告和公示信息发布活动，增强招标投标活动透明度，保障公平竞争市场秩序，近日，国家发展改革委印发《招标公告和公示信息发布管理办法》（以下简称《办法》）。</w:t>
      </w:r>
    </w:p>
    <w:p>
      <w:pPr>
        <w:pStyle w:val="TextBody"/>
      </w:pPr>
      <w:r>
        <w:t xml:space="preserve">《办法》对原有招标公告发布制度进行修订，规定依法必须招标项目的招标公告、资格预审公告、中标候选人公示、中标结果公示等信息，应当在“中国招标投标公共服务平台”或者项目所在地省级电子招标投标公共服务平台等媒介发布，“中国招标投标公共服务平台”负责汇总公开全国招标公告和公示信息。发布媒介应当免费提供招标公告和公示信息发布服务，允许社会公众和市场主体免费查阅及在线反映情况、提出意见，并确保发布信息的数据电文不被篡改、不遗漏和至少10年内可追溯。对于发布活动中的违法违规行为，任何单位和个人都有权向有关行政监督部门投诉、举报。</w:t>
      </w:r>
    </w:p>
    <w:p>
      <w:pPr>
        <w:pStyle w:val="TextBody"/>
      </w:pPr>
      <w:hyperlink r:id="rId42">
        <w:r>
          <w:rPr>
            <w:rStyle w:val="Hyperlink"/>
          </w:rPr>
          <w:t xml:space="preserve">http://www.gov.cn/xinwen/2017-12/01/content_5243703.htm</w:t>
        </w:r>
      </w:hyperlink>
    </w:p>
    <w:p>
      <w:pPr>
        <w:pStyle w:val="Heading3"/>
      </w:pPr>
      <w:bookmarkStart w:id="43" w:name="最高人民法院出台司法解释三类再审申请人民法院不予立案"/>
      <w:bookmarkEnd w:id="43"/>
      <w:r>
        <w:t xml:space="preserve">最高人民法院出台司法解释：三类再审申请人民法院不予立案</w:t>
      </w:r>
    </w:p>
    <w:p>
      <w:pPr>
        <w:pStyle w:val="FirstParagraph"/>
      </w:pPr>
      <w:r>
        <w:t xml:space="preserve">为依法保障当事人申请再审权利，规范人民法院行政申请再审案件立案工作，最高人民法院今天发布《关于行政申请再审案件立案程序的规定》。该司法解释共15条，自2018年1月1日起施行。</w:t>
      </w:r>
    </w:p>
    <w:p>
      <w:pPr>
        <w:pStyle w:val="TextBody"/>
      </w:pPr>
      <w:r>
        <w:t xml:space="preserve">司法解释规定，申请再审，有下列情形之一的，人民法院不予立案：再审申请被驳回后再次提出申请的；对再审判决、裁定提出申请的；在人民检察院对当事人的申请作出不予提出检察建议或者抗诉决定后又提出申请的。前两种情形，人民法院应当告知当事人可以向人民检察院申请检察建议或者抗诉。司法解释明确，当事人申请再审，应当在判决、裁定、调解书发生法律效力后6个月内提出。申请再审期间为人民法院向当事人送达裁判文书之日起至再审申请人向上一级人民法院申请再审之日止。申请再审期间为不变期间，不适用中止、中断、延长的规定。</w:t>
      </w:r>
    </w:p>
    <w:p>
      <w:pPr>
        <w:pStyle w:val="TextBody"/>
      </w:pPr>
      <w:hyperlink r:id="rId44">
        <w:r>
          <w:rPr>
            <w:rStyle w:val="Hyperlink"/>
          </w:rPr>
          <w:t xml:space="preserve">http://www.legaldaily.com.cn/index_article/content/2017-12/01/content_7410017.htm?node=5955</w:t>
        </w:r>
      </w:hyperlink>
    </w:p>
    <w:p>
      <w:pPr>
        <w:pStyle w:val="Heading2"/>
      </w:pPr>
      <w:bookmarkStart w:id="45" w:name="并购"/>
      <w:bookmarkEnd w:id="45"/>
      <w:r>
        <w:t xml:space="preserve">并购</w:t>
      </w:r>
    </w:p>
    <w:p>
      <w:pPr>
        <w:pStyle w:val="Heading3"/>
      </w:pPr>
      <w:bookmarkStart w:id="46" w:name="金正食品拟收购黄河方舟交易价格为1.6亿元"/>
      <w:bookmarkEnd w:id="46"/>
      <w:r>
        <w:t xml:space="preserve">金正食品拟收购黄河方舟，交易价格为1.6亿元</w:t>
      </w:r>
    </w:p>
    <w:p>
      <w:pPr>
        <w:pStyle w:val="FirstParagraph"/>
      </w:pPr>
      <w:r>
        <w:t xml:space="preserve">金正食品2017年12月6日公告，拟以发行股票和现金支付结合的方式，购买黄河方舟国际贸易有限公司拥有的在建工程、设备类固定资产及土地使用权无形资产等资产组合。</w:t>
      </w:r>
    </w:p>
    <w:p>
      <w:pPr>
        <w:pStyle w:val="TextBody"/>
      </w:pPr>
      <w:r>
        <w:t xml:space="preserve">上述资产组合于评估基准日的市场价值的最终评估结论为16018.75万元，经双方协商确定交易价格为1.6亿元。公司拟发行5000万股，股票价格为3.1元/股，发行金额为1.55亿元；同时公司拟采用支付现金500万元两者结合的方式购买黄河方舟上述资产组合。公司称，通过本次发行股份购买资产可以进一步做大做强公司实力，支持公司主营业务的发展，促进公司良性发展，扩大公司业务规模。</w:t>
      </w:r>
    </w:p>
    <w:p>
      <w:pPr>
        <w:pStyle w:val="TextBody"/>
      </w:pPr>
      <w:hyperlink r:id="rId47">
        <w:r>
          <w:rPr>
            <w:rStyle w:val="Hyperlink"/>
          </w:rPr>
          <w:t xml:space="preserve">http://kuaixun.stcn.com/2017/1206/13815829.shtml</w:t>
        </w:r>
      </w:hyperlink>
    </w:p>
    <w:p>
      <w:pPr>
        <w:pStyle w:val="Heading3"/>
      </w:pPr>
      <w:bookmarkStart w:id="48" w:name="克来机电控股子公司拟收购上海众源"/>
      <w:bookmarkEnd w:id="48"/>
      <w:r>
        <w:t xml:space="preserve">克来机电控股子公司拟收购上海众源</w:t>
      </w:r>
    </w:p>
    <w:p>
      <w:pPr>
        <w:pStyle w:val="FirstParagraph"/>
      </w:pPr>
      <w:r>
        <w:t xml:space="preserve">克来机电12月6日晚公告称，控股子公司南通克来凯盈智能装备有限公司拟支付现金2.1亿元收购美国合联国际贸易中国有限公司持有的上海众源燃油分配器制造有限公司（以下简称“上海众源”）100%股权。经交易各方友好协商，上海众源100%股权交易作价21000万元。</w:t>
      </w:r>
    </w:p>
    <w:p>
      <w:pPr>
        <w:pStyle w:val="TextBody"/>
      </w:pPr>
      <w:r>
        <w:t xml:space="preserve">根据公告，交易对方合联国际承诺，上海众源在2017年、2018年及2019年实现的扣除非经常性损益后的净利润分别不低于1800万元、2200万元和2500万元。公司表示，本次交易完成后，上市公司资产总额、营业收入、利润总额、归属于母公司股东的净利润及每股收益均有一定的提升，有助于增强公司的盈利能力。</w:t>
      </w:r>
    </w:p>
    <w:p>
      <w:pPr>
        <w:pStyle w:val="TextBody"/>
      </w:pPr>
      <w:hyperlink r:id="rId49">
        <w:r>
          <w:rPr>
            <w:rStyle w:val="Hyperlink"/>
          </w:rPr>
          <w:t xml:space="preserve">http://company.stcn.com/2017/1207/13816385.shtml</w:t>
        </w:r>
      </w:hyperlink>
    </w:p>
    <w:p>
      <w:pPr>
        <w:pStyle w:val="Heading3"/>
      </w:pPr>
      <w:bookmarkStart w:id="50" w:name="大唐集团拟收购控股股东旗下资产"/>
      <w:bookmarkEnd w:id="50"/>
      <w:r>
        <w:t xml:space="preserve">大唐集团拟收购控股股东旗下资产</w:t>
      </w:r>
    </w:p>
    <w:p>
      <w:pPr>
        <w:pStyle w:val="FirstParagraph"/>
      </w:pPr>
      <w:r>
        <w:t xml:space="preserve">大唐集团2017年12月6日晚公告称，拟以现金支付方式收购控股股东大唐集团持有的黑龙江公司100%股权、安徽公司100%股权以及河北公司100%股权，转让价格分别为588081.75万元、780432.40万元、444237.00万元，合计将以1812751.15万元。</w:t>
      </w:r>
    </w:p>
    <w:p>
      <w:pPr>
        <w:pStyle w:val="TextBody"/>
      </w:pPr>
      <w:r>
        <w:t xml:space="preserve">公告显示，本次交易是大唐集团避免同业竞争承诺的具体落实，有利于进一步扩大公司规模，增加市场份额，提高竞争能力。本次交易完成后，大唐集团下属3家发电公司将成为公司的全资子公司，公司将实现对大唐集团在河北、黑龙江、安徽省份火电资产的整合。公司发电量及持续经营能力将大幅提升。同时，公司在整个华东、华北、东北地区的电力供应能力和电力供应覆盖范围将得到提升。</w:t>
      </w:r>
    </w:p>
    <w:p>
      <w:pPr>
        <w:pStyle w:val="TextBody"/>
      </w:pPr>
      <w:hyperlink r:id="rId51">
        <w:r>
          <w:rPr>
            <w:rStyle w:val="Hyperlink"/>
          </w:rPr>
          <w:t xml:space="preserve">http://company.stcn.com/2017/1207/13816384.shtml</w:t>
        </w:r>
      </w:hyperlink>
    </w:p>
    <w:p>
      <w:pPr>
        <w:pStyle w:val="Heading3"/>
      </w:pPr>
      <w:bookmarkStart w:id="52" w:name="中科创达拟3100万欧元收购图像视觉公司"/>
      <w:bookmarkEnd w:id="52"/>
      <w:r>
        <w:t xml:space="preserve">中科创达拟3100万欧元收购图像视觉公司</w:t>
      </w:r>
    </w:p>
    <w:p>
      <w:pPr>
        <w:pStyle w:val="FirstParagraph"/>
      </w:pPr>
      <w:r>
        <w:t xml:space="preserve">中科创达2017年12月4日公告，公司拟以3100万欧元现金收购MM Solutions AD公司。标的公司是一家行业领先的移动和工业图形图像技术企业，具有先进的图像处理算法开发、优化和集成能力，将提升中科创达在嵌入式视觉及人工智能领域的市场竞争地位。</w:t>
      </w:r>
    </w:p>
    <w:p>
      <w:pPr>
        <w:pStyle w:val="TextBody"/>
      </w:pPr>
      <w:r>
        <w:t xml:space="preserve">中科创达表示，通过本次收购，可以获取标的公司在图像影像领域的雄厚技术积累和研发实力，以及标的公司优质的客户资源，提高上市公司图像视觉技术研发能力、整体解决方案和产品研发能力，进而更好地为客户提供高价值服务，提升公司在全球嵌入式视觉及人工智能领域的市场竞争地位。据披露，标的公司成立于2002年7月12日，是一家行业领先的移动和工业图形图像技术企业，致力于为高端图形影像产品提供一站式解决方案。标的公司目前业务方向主要集中在消费电子和工业电子方面，涉及手机、物联网和汽车的嵌入式图像和计算机视觉领域。</w:t>
      </w:r>
    </w:p>
    <w:p>
      <w:pPr>
        <w:pStyle w:val="TextBody"/>
      </w:pPr>
      <w:hyperlink r:id="rId53">
        <w:r>
          <w:rPr>
            <w:rStyle w:val="Hyperlink"/>
          </w:rPr>
          <w:t xml:space="preserve">http://company.stcn.com/2017/1204/13807752.shtml</w:t>
        </w:r>
      </w:hyperlink>
    </w:p>
    <w:p>
      <w:pPr>
        <w:pStyle w:val="Heading3"/>
      </w:pPr>
      <w:bookmarkStart w:id="54" w:name="长方集团拟花6.15亿元增购新三板公司康铭盛"/>
      <w:bookmarkEnd w:id="54"/>
      <w:r>
        <w:t xml:space="preserve">长方集团拟花6.15亿元增购新三板公司康铭盛</w:t>
      </w:r>
    </w:p>
    <w:p>
      <w:pPr>
        <w:pStyle w:val="FirstParagraph"/>
      </w:pPr>
      <w:r>
        <w:t xml:space="preserve">2017年12月4日晚间，新三板公司康铭盛公告称，接到控股股东长方集团的通知，长方集团正在积极与公司股东洽谈增持股份事宜，拟以不低于6.15亿元购买康铭盛不低于36.65%的股份，康铭盛100%股权整体估值为16.8亿元。</w:t>
      </w:r>
    </w:p>
    <w:p>
      <w:pPr>
        <w:pStyle w:val="TextBody"/>
      </w:pPr>
      <w:r>
        <w:t xml:space="preserve">公开资料显示，长方集团自成立以来致力于推进LED在照明领域的发展，业务专注于照明用白光LED的封装，并在此基础上向下游照明应用领域延伸，主要从事LED照明光源器件和LED照明产品的研发、设计、生产和销售，属于电子元器件行业的半导体光电器件制造业。康铭盛董事长李迪初及核心管理团队拟承诺自前述增持事项完成之日起6个月内，通过二级市场以不高于8元/股的价格，使用不低于3.3亿元适时增持长方集团股份；如交易达成，李迪初及核心管理团队将以所获现金为限，向长方集团承担业绩补偿义务。</w:t>
      </w:r>
    </w:p>
    <w:p>
      <w:pPr>
        <w:pStyle w:val="TextBody"/>
      </w:pPr>
      <w:hyperlink r:id="rId55">
        <w:r>
          <w:rPr>
            <w:rStyle w:val="Hyperlink"/>
          </w:rPr>
          <w:t xml:space="preserve">http://sanban.stcn.com/2017/1206/13813868.shtml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- 2017年12月8日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ae09d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3" Type="http://schemas.openxmlformats.org/officeDocument/2006/relationships/hyperlink" Target="http://company.stcn.com/2017/1204/13807752.shtml" TargetMode="External"/><Relationship Id="rId51" Type="http://schemas.openxmlformats.org/officeDocument/2006/relationships/hyperlink" Target="http://company.stcn.com/2017/1207/13816384.shtml" TargetMode="External"/><Relationship Id="rId49" Type="http://schemas.openxmlformats.org/officeDocument/2006/relationships/hyperlink" Target="http://company.stcn.com/2017/1207/13816385.shtml" TargetMode="External"/><Relationship Id="rId47" Type="http://schemas.openxmlformats.org/officeDocument/2006/relationships/hyperlink" Target="http://kuaixun.stcn.com/2017/1206/13815829.shtml" TargetMode="External"/><Relationship Id="rId55" Type="http://schemas.openxmlformats.org/officeDocument/2006/relationships/hyperlink" Target="http://sanban.stcn.com/2017/1206/13813868.shtml" TargetMode="External"/><Relationship Id="rId42" Type="http://schemas.openxmlformats.org/officeDocument/2006/relationships/hyperlink" Target="http://www.gov.cn/xinwen/2017-12/01/content_5243703.htm" TargetMode="External"/><Relationship Id="rId27" Type="http://schemas.openxmlformats.org/officeDocument/2006/relationships/hyperlink" Target="http://www.gov.cn/xinwen/2017-12/02/content_5243988.htm" TargetMode="External"/><Relationship Id="rId35" Type="http://schemas.openxmlformats.org/officeDocument/2006/relationships/hyperlink" Target="http://www.gov.cn/xinwen/2017-12/05/content_5244580.htm" TargetMode="External"/><Relationship Id="rId37" Type="http://schemas.openxmlformats.org/officeDocument/2006/relationships/hyperlink" Target="http://www.legaldaily.com.cn/index_article/content/2017-12/01/content_7409941.htm?node=5955" TargetMode="External"/><Relationship Id="rId44" Type="http://schemas.openxmlformats.org/officeDocument/2006/relationships/hyperlink" Target="http://www.legaldaily.com.cn/index_article/content/2017-12/01/content_7410017.htm?node=5955" TargetMode="External"/><Relationship Id="rId40" Type="http://schemas.openxmlformats.org/officeDocument/2006/relationships/hyperlink" Target="http://www.legaldaily.com.cn/index_article/content/2017-12/03/content_7410531.htm?node=5955" TargetMode="External"/><Relationship Id="rId23" Type="http://schemas.openxmlformats.org/officeDocument/2006/relationships/hyperlink" Target="http://www.szse.cn/main/aboutus/bsyw/39775996.shtml" TargetMode="External"/><Relationship Id="rId25" Type="http://schemas.openxmlformats.org/officeDocument/2006/relationships/hyperlink" Target="http://www.szse.cn/main/aboutus/bsyw/39776002.shtml" TargetMode="External"/><Relationship Id="rId29" Type="http://schemas.openxmlformats.org/officeDocument/2006/relationships/hyperlink" Target="http://www.szse.cn/main/aboutus/bsyw/39776076.shtml" TargetMode="External"/><Relationship Id="rId32" Type="http://schemas.openxmlformats.org/officeDocument/2006/relationships/hyperlink" Target="http://xw.sinoins.com/2017-12/06/content_249325.htm" TargetMode="External"/><Relationship Id="rId8" Type="http://schemas.openxmlformats.org/officeDocument/2006/relationships/hyperlink" Target="http://www.charltonslaw.com.cn/shang-hai-zheng-quan-jiao-yi-suo-shen-zhen-zheng-quan-jiao-yi-suo-zhong-guo-zheng-quan-deng-ji-jie-suan-you-xian-ze-ren-gong-si-fa-bu-zheng-quan-jiao-yi-zi-jin-qian-duan-feng-xian-kong-zhi-xiang-guan-gui-ze"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3" Type="http://schemas.openxmlformats.org/officeDocument/2006/relationships/hyperlink" Target="http://company.stcn.com/2017/1204/13807752.shtml" TargetMode="External"/><Relationship Id="rId51" Type="http://schemas.openxmlformats.org/officeDocument/2006/relationships/hyperlink" Target="http://company.stcn.com/2017/1207/13816384.shtml" TargetMode="External"/><Relationship Id="rId49" Type="http://schemas.openxmlformats.org/officeDocument/2006/relationships/hyperlink" Target="http://company.stcn.com/2017/1207/13816385.shtml" TargetMode="External"/><Relationship Id="rId47" Type="http://schemas.openxmlformats.org/officeDocument/2006/relationships/hyperlink" Target="http://kuaixun.stcn.com/2017/1206/13815829.shtml" TargetMode="External"/><Relationship Id="rId55" Type="http://schemas.openxmlformats.org/officeDocument/2006/relationships/hyperlink" Target="http://sanban.stcn.com/2017/1206/13813868.shtml" TargetMode="External"/><Relationship Id="rId42" Type="http://schemas.openxmlformats.org/officeDocument/2006/relationships/hyperlink" Target="http://www.gov.cn/xinwen/2017-12/01/content_5243703.htm" TargetMode="External"/><Relationship Id="rId27" Type="http://schemas.openxmlformats.org/officeDocument/2006/relationships/hyperlink" Target="http://www.gov.cn/xinwen/2017-12/02/content_5243988.htm" TargetMode="External"/><Relationship Id="rId35" Type="http://schemas.openxmlformats.org/officeDocument/2006/relationships/hyperlink" Target="http://www.gov.cn/xinwen/2017-12/05/content_5244580.htm" TargetMode="External"/><Relationship Id="rId37" Type="http://schemas.openxmlformats.org/officeDocument/2006/relationships/hyperlink" Target="http://www.legaldaily.com.cn/index_article/content/2017-12/01/content_7409941.htm?node=5955" TargetMode="External"/><Relationship Id="rId44" Type="http://schemas.openxmlformats.org/officeDocument/2006/relationships/hyperlink" Target="http://www.legaldaily.com.cn/index_article/content/2017-12/01/content_7410017.htm?node=5955" TargetMode="External"/><Relationship Id="rId40" Type="http://schemas.openxmlformats.org/officeDocument/2006/relationships/hyperlink" Target="http://www.legaldaily.com.cn/index_article/content/2017-12/03/content_7410531.htm?node=5955" TargetMode="External"/><Relationship Id="rId23" Type="http://schemas.openxmlformats.org/officeDocument/2006/relationships/hyperlink" Target="http://www.szse.cn/main/aboutus/bsyw/39775996.shtml" TargetMode="External"/><Relationship Id="rId25" Type="http://schemas.openxmlformats.org/officeDocument/2006/relationships/hyperlink" Target="http://www.szse.cn/main/aboutus/bsyw/39776002.shtml" TargetMode="External"/><Relationship Id="rId29" Type="http://schemas.openxmlformats.org/officeDocument/2006/relationships/hyperlink" Target="http://www.szse.cn/main/aboutus/bsyw/39776076.shtml" TargetMode="External"/><Relationship Id="rId32" Type="http://schemas.openxmlformats.org/officeDocument/2006/relationships/hyperlink" Target="http://xw.sinoins.com/2017-12/06/content_2493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2017-12-08T03:51:19Z</dcterms:created>
  <dcterms:modified xsi:type="dcterms:W3CDTF">2017-12-08T03:51:19Z</dcterms:modified>
</cp:coreProperties>
</file>