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- 2017年12月30日</w:t>
      </w:r>
    </w:p>
    <w:p>
      <w:pPr>
        <w:pStyle w:val="ReadOnline"/>
      </w:pPr>
      <w:hyperlink r:id="rId9">
        <w:r>
          <w:rPr/>
          <w:t>online version</w:t>
        </w:r>
      </w:hyperlink>
    </w:p>
    <w:p>
      <w:pPr>
        <w:pStyle w:val="Title"/>
      </w:pPr>
      <w:r>
        <w:t>中国人民银行：完善绿色债券认证制度，推动绿色债券市场持续健康发展</w:t>
      </w:r>
    </w:p>
    <w:p>
      <w:pPr>
        <w:pStyle w:val="Heading2"/>
      </w:pPr>
      <w:bookmarkStart w:id="21" w:name="简介"/>
      <w:r>
        <w:t xml:space="preserve">简介</w:t>
      </w:r>
      <w:bookmarkEnd w:id="21"/>
    </w:p>
    <w:p>
      <w:pPr>
        <w:pStyle w:val="FirstParagraph"/>
      </w:pPr>
      <w:r>
        <w:t xml:space="preserve">中国人民银行：完善绿色债券认证制度，推动绿色债券市场持续健康发展；中国银监会发布《关于规范银信类业务的通知》；中国天楹作价86亿收购欧洲环保服务龙头企业</w:t>
      </w:r>
    </w:p>
    <w:p>
      <w:pPr>
        <w:pStyle w:val="Heading2"/>
      </w:pPr>
      <w:bookmarkStart w:id="22" w:name="资本市场"/>
      <w:r>
        <w:t xml:space="preserve">资本市场</w:t>
      </w:r>
      <w:bookmarkEnd w:id="22"/>
    </w:p>
    <w:p>
      <w:pPr>
        <w:pStyle w:val="Heading3"/>
      </w:pPr>
      <w:bookmarkStart w:id="23" w:name="中国人民银行完善绿色债券认证制度推动绿色债券市场持续健康发展"/>
      <w:r>
        <w:t xml:space="preserve">中国人民银行：完善绿色债券认证制度，推动绿色债券市场持续健康发展</w:t>
      </w:r>
      <w:bookmarkEnd w:id="23"/>
    </w:p>
    <w:p>
      <w:pPr>
        <w:pStyle w:val="FirstParagraph"/>
      </w:pPr>
      <w:r>
        <w:t xml:space="preserve">日前，中国人民银行与证监会联合发布《绿色债券评估认证行为指引（暂行）》（以下简称《指引》）。《指引》的发布是落实推进生态文明建设、发展绿色金融的重要制度安排，对于规范发展绿色债券市场、推进美丽中国建设具有积极意义。《指引》对评估认证机构资质、业务承接、评估认证内容、评估认证意见等方面进行了规范。</w:t>
      </w:r>
    </w:p>
    <w:p>
      <w:pPr>
        <w:pStyle w:val="TextBody"/>
      </w:pPr>
      <w:r>
        <w:t xml:space="preserve">《指引》强调，评估认证机构应具备一定资质条件，按照“诚实守信、客观公正和勤勉尽责原则”开展业务。明确对绿色债券评估认证机构实施自律管理，通过建立评估认证业务质量的监督抽查、交叉检查制度，对评估认证机构的处分处罚机制，防范评估认证机构提交虚假资料等违反职业道德行为以及评估认证报告存在严重疏漏等情况。《指引》明确，绿色债券评估认证包含发行前和存续期评估认证两部分。发行前评估认证重点判断发行人绿色债券框架“是否合规完备”，内容包括绿色项目以及绿色项目筛选和决策程序是否合规、募集资金管理、信息披露报告制度是否完备、环境效益目标是否合理。</w:t>
      </w:r>
    </w:p>
    <w:p>
      <w:pPr>
        <w:pStyle w:val="TextBody"/>
      </w:pPr>
      <w:hyperlink r:id="rId24">
        <w:r>
          <w:rPr>
            <w:rStyle w:val="Hyperlink"/>
          </w:rPr>
          <w:t xml:space="preserve">http://www.chinaforex.com.cn/index.php/cms/item-view-id-46019.shtml</w:t>
        </w:r>
      </w:hyperlink>
    </w:p>
    <w:p>
      <w:pPr>
        <w:pStyle w:val="Heading3"/>
      </w:pPr>
      <w:bookmarkStart w:id="25" w:name="中国银监会发布关于规范银信类业务的通知"/>
      <w:r>
        <w:t xml:space="preserve">中国银监会发布《关于规范银信类业务的通知》</w:t>
      </w:r>
      <w:bookmarkEnd w:id="25"/>
    </w:p>
    <w:p>
      <w:pPr>
        <w:pStyle w:val="FirstParagraph"/>
      </w:pPr>
      <w:r>
        <w:t xml:space="preserve">为促进银信类业务健康发展，防范金融风险，近日，中国银监会发布《关于规范银信类业务的通知》（以下简称《通知》），对银信类业务进行规范。《通知》共10条，分别从商业银行和信托公司双方规范银信类业务，并提出了加强银信类业务监管的要求。</w:t>
      </w:r>
    </w:p>
    <w:p>
      <w:pPr>
        <w:pStyle w:val="TextBody"/>
      </w:pPr>
      <w:r>
        <w:t xml:space="preserve">《通知》首次明确将银行表内外资金和收益权同时纳入银信类业务的定义，并在此基础上，将银信通道业务明确为信托资金或信托资产的管理、运用和处分均由委托人决定，风险管理责任和因管理不当导致的风险损失全部由委托人承担的行为。《通知》要求在银信类业务中，银行应按照实质重于形式原则，将穿透原则落实在监管要求中；要求在银信通道业务中，银行应还原业务实质，不得利用信托通道规避监管要求或实现资产虚假出表。同时，《通知》要求商业银行对信托公司实施名单制管理，应根据客户及自身的风险偏好和承受能力，选择与之相适应的信托公司及信托产品。</w:t>
      </w:r>
    </w:p>
    <w:p>
      <w:pPr>
        <w:pStyle w:val="TextBody"/>
      </w:pPr>
      <w:hyperlink r:id="rId26">
        <w:r>
          <w:rPr>
            <w:rStyle w:val="Hyperlink"/>
          </w:rPr>
          <w:t xml:space="preserve">http://www.gov.cn/xinwen/2017-12/23/content_5249731.htm</w:t>
        </w:r>
      </w:hyperlink>
    </w:p>
    <w:p>
      <w:pPr>
        <w:pStyle w:val="Heading3"/>
      </w:pPr>
      <w:bookmarkStart w:id="27" w:name="中国人民银行发布条码支付规范对支付额度分级管理"/>
      <w:r>
        <w:t xml:space="preserve">中国人民银行发布条码支付规范，对支付额度分级管理</w:t>
      </w:r>
      <w:bookmarkEnd w:id="27"/>
    </w:p>
    <w:p>
      <w:pPr>
        <w:pStyle w:val="FirstParagraph"/>
      </w:pPr>
      <w:r>
        <w:t xml:space="preserve">日前，中国人民银行发布《中国人民银行关于印发的通知》，配套印发了《条码支付安全技术规范（试行）》和《条码支付受理终端技术规范（试行）》，自2018年4月1日起实施。</w:t>
      </w:r>
    </w:p>
    <w:p>
      <w:pPr>
        <w:pStyle w:val="TextBody"/>
      </w:pPr>
      <w:r>
        <w:t xml:space="preserve">近年来条码支付业务快速发展，在小额、便民支付领域显现出门槛低、使用便捷的优势，市场份额持续增长，成为移动支付发展的重要体现形式。同时，条码支付的技术实现方式和业务风险相对传统银行卡支付具有其特殊性，部分市场机构在业务开展中也存在扰乱公平竞争秩序、支付风险防范不到位等问题。在技术规范方面，银行业金融机构、非银行支付机构和清算机构要加强条码支付技术风险防控，合理运用支付标记化、可信执行环境、条码防伪识别等手段，提升条码支付客户端软件安全防护能力，规范条码支付交易报文管理，保障交易信息的真实性、完整性、一致性、可追溯性，构建以受理终端注册、大数据分析为基础的条码支付创新风险管理机制。</w:t>
      </w:r>
    </w:p>
    <w:p>
      <w:pPr>
        <w:pStyle w:val="TextBody"/>
      </w:pPr>
      <w:hyperlink r:id="rId28">
        <w:r>
          <w:rPr>
            <w:rStyle w:val="Hyperlink"/>
          </w:rPr>
          <w:t xml:space="preserve">http://news.jcrb.com/jxsw/201712/t20171227_1829420.html</w:t>
        </w:r>
      </w:hyperlink>
    </w:p>
    <w:p>
      <w:pPr>
        <w:pStyle w:val="Heading3"/>
      </w:pPr>
      <w:bookmarkStart w:id="29" w:name="世界银行发布报告称中国经济增长继续保持强势"/>
      <w:r>
        <w:t xml:space="preserve">世界银行发布报告称：中国经济增长继续保持强势</w:t>
      </w:r>
      <w:bookmarkEnd w:id="29"/>
    </w:p>
    <w:p>
      <w:pPr>
        <w:pStyle w:val="FirstParagraph"/>
      </w:pPr>
      <w:r>
        <w:t xml:space="preserve">世界银行最新发布的《中国经济简报》称，在居民收入增长和外需回暖的支撑下，2017年中国经济增长继续保持强势，预计2017年全年增速为6.8%，超过最初预期。世界银行中国首席经济学家李伟乔表示，中国保持增长韧性，改革势头增强。中国政府采取了一系列政策和监管措施，目的是在不明显影响增长的情况下减少宏观经济失衡和控制金融风险。因此，2017年中国经济在多个方面都取得了成功，今年居民收入和消费增长速度与投资相比出现加快，促进了经济再平衡。</w:t>
      </w:r>
    </w:p>
    <w:p>
      <w:pPr>
        <w:pStyle w:val="TextBody"/>
      </w:pPr>
      <w:r>
        <w:t xml:space="preserve">报告指出，全球贸易复苏是支撑2017年中国经济的一个重要因素，相比2015年至2016年的负增长，净出口对经济增长的贡献连续三个季度为正值。企业信心上升，就业机会持续增加，资本外流企稳，人民币对美元升值。中国GDP增速预计2018年放慢至6.4%，2019年为6.3%，主要因为国内政策收紧。审慎的货币政策、更严格的金融监管以及政府继续推进经济结构调整和去杠杆化，预计都会使增速暂时放缓。但是，世界银行高级经济学家、《中国经济简报》作者之一米丽莎认为，有利的经济条件为进一步减少宏观经济脆弱性和深化改革提供了一个大好时机。</w:t>
      </w:r>
    </w:p>
    <w:p>
      <w:pPr>
        <w:pStyle w:val="TextBody"/>
      </w:pPr>
      <w:hyperlink r:id="rId30">
        <w:r>
          <w:rPr>
            <w:rStyle w:val="Hyperlink"/>
          </w:rPr>
          <w:t xml:space="preserve">http://www.chinaforex.com.cn/index.php/cms/item-view-id-45900.shtml</w:t>
        </w:r>
      </w:hyperlink>
    </w:p>
    <w:p>
      <w:pPr>
        <w:pStyle w:val="Heading2"/>
      </w:pPr>
      <w:bookmarkStart w:id="31" w:name="保险"/>
      <w:r>
        <w:t xml:space="preserve">保险</w:t>
      </w:r>
      <w:bookmarkEnd w:id="31"/>
    </w:p>
    <w:p>
      <w:pPr>
        <w:pStyle w:val="Heading3"/>
      </w:pPr>
      <w:bookmarkStart w:id="32" w:name="保监会就保险机构独立董事管理办法征求意见稿征求意见"/>
      <w:r>
        <w:t xml:space="preserve">保监会就《保险机构独立董事管理办法（征求意见稿）》征求意见</w:t>
      </w:r>
      <w:bookmarkEnd w:id="32"/>
    </w:p>
    <w:p>
      <w:pPr>
        <w:pStyle w:val="FirstParagraph"/>
      </w:pPr>
      <w:r>
        <w:t xml:space="preserve">2017年12月26日，保监会就《保险机构独立董事管理办法（征求意见稿）》向社会公开征求意见。《征求意见稿》规定，保险机构董事会独立董事人数应当至少为二名，并且不低于董事会成员总数的三分之一。</w:t>
      </w:r>
    </w:p>
    <w:p>
      <w:pPr>
        <w:pStyle w:val="TextBody"/>
      </w:pPr>
      <w:r>
        <w:t xml:space="preserve">出于强化公司治理的考量，对于存在控股股东的保险机构，《征求意见稿》提出了更高的要求，明确其独立董事占董事会成员的比例必须达到二分之一以上。不过，《征求意见稿》也对控股股东的不同情况作了区别规定：控股股东为保险集团（控股）公司或保险公司的保险机构，可不受此规定限制；存在控股股东的保险机构公司治理评级连续三年为优秀的，经保险机构申请，保监会批准，其下一届独立董事（三年）可以不受此规定限制。三年豁免期内公司治理评级持续保持优秀的，可以自动继续豁免；不符合评级要求的，则应当主动调整独立董事人数至占董事会成员比例二分之一以上。</w:t>
      </w:r>
    </w:p>
    <w:p>
      <w:pPr>
        <w:pStyle w:val="TextBody"/>
      </w:pPr>
      <w:hyperlink r:id="rId33">
        <w:r>
          <w:rPr>
            <w:rStyle w:val="Hyperlink"/>
          </w:rPr>
          <w:t xml:space="preserve">http://xw.sinoins.com/2017-12/26/content_251001.htm</w:t>
        </w:r>
      </w:hyperlink>
    </w:p>
    <w:p>
      <w:pPr>
        <w:pStyle w:val="Heading2"/>
      </w:pPr>
      <w:bookmarkStart w:id="34" w:name="税收"/>
      <w:r>
        <w:t xml:space="preserve">税收</w:t>
      </w:r>
      <w:bookmarkEnd w:id="34"/>
    </w:p>
    <w:p>
      <w:pPr>
        <w:pStyle w:val="Heading3"/>
      </w:pPr>
      <w:bookmarkStart w:id="35" w:name="利于小微企业担保机构发展的免税政策调整出台"/>
      <w:r>
        <w:t xml:space="preserve">利于小微企业担保机构发展的免税政策调整出台</w:t>
      </w:r>
      <w:bookmarkEnd w:id="35"/>
    </w:p>
    <w:p>
      <w:pPr>
        <w:pStyle w:val="FirstParagraph"/>
      </w:pPr>
      <w:r>
        <w:t xml:space="preserve">2017年12月25日，财政部和税务总局联合印发《关于租入固定资产进项税额抵扣等增值税政策的通知》，其中第六条对担保机构免征增值税政策做出了重大调整，即自2018年1月1日至2019年12月31日，纳税人为农户、小型企业、微型企业及个体工商户借款、发行债券提供融资担保取得的担保费收入，以及为上述融资担保提供再担保取得的再担保费收入，免征增值税。再担保合同对应多个原担保合同的，原担保合同应全部适用免征增值税政策。否则，再担保合同应按规定缴纳增值税。</w:t>
      </w:r>
    </w:p>
    <w:p>
      <w:pPr>
        <w:pStyle w:val="TextBody"/>
      </w:pPr>
      <w:r>
        <w:t xml:space="preserve">此次政策调整主要有三大亮点：一是免税不再设置前置条件，避免了担保机构因政策或市场变化等因素导致无法享受政策的问题；二是依据担保机构服务小微企业的业务免税，扩大了政策覆盖面，体现了政策引导作用；三是不再由相关部门审核或备案，简化了免税手续，降低了门槛。根据“中小企业信用担保业务报送系统”对今年上半年近3000家担保机构业务测算，超过70%的担保业务可以免税。这对于引导担保机构专注服务小微企业具有重要意义，有助于进一步发挥担保在缓解融资难融资贵中的重要作用。</w:t>
      </w:r>
    </w:p>
    <w:p>
      <w:pPr>
        <w:pStyle w:val="TextBody"/>
      </w:pPr>
      <w:hyperlink r:id="rId36">
        <w:r>
          <w:rPr>
            <w:rStyle w:val="Hyperlink"/>
          </w:rPr>
          <w:t xml:space="preserve">http://www.gov.cn/xinwen/2017-12/28/content_5251075.htm</w:t>
        </w:r>
      </w:hyperlink>
    </w:p>
    <w:p>
      <w:pPr>
        <w:pStyle w:val="Heading2"/>
      </w:pPr>
      <w:bookmarkStart w:id="37" w:name="行业"/>
      <w:r>
        <w:t xml:space="preserve">行业</w:t>
      </w:r>
      <w:bookmarkEnd w:id="37"/>
    </w:p>
    <w:p>
      <w:pPr>
        <w:pStyle w:val="Heading3"/>
      </w:pPr>
      <w:bookmarkStart w:id="38" w:name="企业境外投资管理办法将于2018年3月1日起施行"/>
      <w:r>
        <w:t xml:space="preserve">《企业境外投资管理办法》将于2018年3月1日起施行</w:t>
      </w:r>
      <w:bookmarkEnd w:id="38"/>
    </w:p>
    <w:p>
      <w:pPr>
        <w:pStyle w:val="FirstParagraph"/>
      </w:pPr>
      <w:r>
        <w:t xml:space="preserve">国家发展改革委近日发布《企业境外投资管理办法》。新办法将于2018年3月1日起施行，《境外投资项目核准和备案管理办法》同步废止。国家发改委有关负责人介绍说，新办法作为境外投资管理的基础性制度，在“放管服”三个方面统筹推出了八项改革举措，旨在加强境外投资宏观指导，优化境外投资综合服务，完善境外投资全程监管，促进境外投资持续健康发展，维护我国国家利益和国家安全。</w:t>
      </w:r>
    </w:p>
    <w:p>
      <w:pPr>
        <w:pStyle w:val="TextBody"/>
      </w:pPr>
      <w:r>
        <w:t xml:space="preserve">据介绍，在便利企业境外投资方面，新办法推出了取消项目信息报告制度，取消地方初审、转报环节，放宽投资主体履行核准、备案手续的最晚时间要求等三项改革。在规范企业境外投资方面，新办法提出将境内企业和自然人通过其控制的境外企业开展的境外投资纳入管理框架，针对境外投资监管薄弱环节建立协同监管机制，完善惩戒措施建立境外投资违法违规行为记录三项改革。在服务企业境外投资方面，新办法提出投资主体可以咨询政策和信息、反映情况和问题、提出意见和建议，并提出建立境外投资管理和服务网络系统。</w:t>
      </w:r>
    </w:p>
    <w:p>
      <w:pPr>
        <w:pStyle w:val="TextBody"/>
      </w:pPr>
      <w:hyperlink r:id="rId39">
        <w:r>
          <w:rPr>
            <w:rStyle w:val="Hyperlink"/>
          </w:rPr>
          <w:t xml:space="preserve">http://www.gov.cn/xinwen/2017-12/26/content_5250602.htm</w:t>
        </w:r>
      </w:hyperlink>
    </w:p>
    <w:p>
      <w:pPr>
        <w:pStyle w:val="Heading3"/>
      </w:pPr>
      <w:bookmarkStart w:id="40" w:name="国土资源部印发关于进一步规范矿产资源勘查审批登记管理的通知"/>
      <w:r>
        <w:t xml:space="preserve">国土资源部印发《关于进一步规范矿产资源勘查审批登记管理的通知》</w:t>
      </w:r>
      <w:bookmarkEnd w:id="40"/>
    </w:p>
    <w:p>
      <w:pPr>
        <w:pStyle w:val="FirstParagraph"/>
      </w:pPr>
      <w:r>
        <w:t xml:space="preserve">国土资源部日前印发《关于进一步规范矿产资源勘查审批登记管理的通知》（以下简称《通知》），对矿产资源勘查准入，探矿权新立、延续、保留和变更的审批管理，以及探矿权的监督管理作出进一步规定。</w:t>
      </w:r>
    </w:p>
    <w:p>
      <w:pPr>
        <w:pStyle w:val="TextBody"/>
      </w:pPr>
      <w:r>
        <w:t xml:space="preserve">关于矿产资源勘查准入，《通知》明确，设立探矿权必须符合生态环境保护、矿产资源规划及国家产业政策等政策要求；非油气探矿权人原则上应当为营利法人或者非营利法人中的事业单位法人，油气探矿权人原则上应当是营利法人；探矿权申请人的资金能力必须与申请的勘查矿种、勘查面积和勘查工作阶段相适应；申请探矿权新立、延续、变更勘查矿种，以及探矿权合并、分立变更勘查范围，需编制勘查实施方案。《通知》还明确，严格探矿权变更审批管理，对以不同方式取得的非油气探矿权申请变更主体，通知对探矿权的持有年限、需提交的要件、申请程序等，提出了明确要求。通知强调，铀矿探矿权人原则上不得申请变更勘查矿种。勘查过程中发现其他矿种的，应当进行综合勘查，并向登记管理机关提交相应的勘查报告，其探矿权按照国家有关规定处置。</w:t>
      </w:r>
    </w:p>
    <w:p>
      <w:pPr>
        <w:pStyle w:val="TextBody"/>
      </w:pPr>
      <w:hyperlink r:id="rId41">
        <w:r>
          <w:rPr>
            <w:rStyle w:val="Hyperlink"/>
          </w:rPr>
          <w:t xml:space="preserve">http://www.gov.cn/xinwen/2017-12/27/content_5250719.htm</w:t>
        </w:r>
      </w:hyperlink>
    </w:p>
    <w:p>
      <w:pPr>
        <w:pStyle w:val="Heading3"/>
      </w:pPr>
      <w:bookmarkStart w:id="42" w:name="两部委明确企业年金办法企业缴费每年不超职工工资8"/>
      <w:r>
        <w:t xml:space="preserve">两部委明确企业年金办法：企业缴费每年不超职工工资8%</w:t>
      </w:r>
      <w:bookmarkEnd w:id="42"/>
    </w:p>
    <w:p>
      <w:pPr>
        <w:pStyle w:val="FirstParagraph"/>
      </w:pPr>
      <w:r>
        <w:t xml:space="preserve">人社部、财政部近日联合印发《企业年金办法》（以下简称《办法》），《办法》规定，企业缴费每年不超过本企业职工工资总额的8%，企业和职工个人缴费合计不超过本企业职工工资总额的12%。企业当期缴费计入职工企业年金个人账户的最高额不得超过平均额的5倍。职工或者退休人员死亡后，其企业年金个人账户余额可以继承。</w:t>
      </w:r>
    </w:p>
    <w:p>
      <w:pPr>
        <w:pStyle w:val="TextBody"/>
      </w:pPr>
      <w:r>
        <w:t xml:space="preserve">《办法》规定，企业年金所需费用由企业和职工个人共同缴纳，基金实行完全积累，为每个参加企业年金的职工建立个人账户。企业缴费每年不超过本企业职工工资总额的8%，企业和职工个人缴费合计不超过本企业职工工资总额的12%，具体所需费用由企业和职工一方协商确定。《办法》要求，企业缴费应当按照企业年金方案确定的比例和办法计入职工企业年金个人账户，职工个人缴费计入本人企业年金个人账户。企业当期缴费计入职工企业年金个人账户的最高额不得超过平均额的5倍。</w:t>
      </w:r>
    </w:p>
    <w:p>
      <w:pPr>
        <w:pStyle w:val="TextBody"/>
      </w:pPr>
      <w:hyperlink r:id="rId43">
        <w:r>
          <w:rPr>
            <w:rStyle w:val="Hyperlink"/>
          </w:rPr>
          <w:t xml:space="preserve">http://www.chinanews.com/gn/2017/12-22/8406555.shtml</w:t>
        </w:r>
      </w:hyperlink>
    </w:p>
    <w:p>
      <w:pPr>
        <w:pStyle w:val="Heading3"/>
      </w:pPr>
      <w:bookmarkStart w:id="44" w:name="国家海洋局印发指导意见规范省级海岸带总体规划编制工作"/>
      <w:r>
        <w:t xml:space="preserve">国家海洋局印发《指导意见》，规范省级海岸带总体规划编制工作</w:t>
      </w:r>
      <w:bookmarkEnd w:id="44"/>
    </w:p>
    <w:p>
      <w:pPr>
        <w:pStyle w:val="FirstParagraph"/>
      </w:pPr>
      <w:r>
        <w:t xml:space="preserve">近日，国家海洋局印发《关于开展编制省级海岸带综合保护与利用总体规划试点工作的指导意见》，要求沿海各省、自治区、直辖市海洋与渔业厅（局）根据指导意见开展《省级海岸带综合保护与利用总体规划》的编制工作。</w:t>
      </w:r>
    </w:p>
    <w:p>
      <w:pPr>
        <w:pStyle w:val="TextBody"/>
      </w:pPr>
      <w:r>
        <w:t xml:space="preserve">在推动海岸带创新发展方面，指导意见指出，要集约高效配置海岸带资源，进一步提升海岸带空间资源配置效率，提高空间资源利用单位面积的经济产出和社会效益；调整优化海岸带产业结构，推动陆海经济一体化和持续发展；创新引领海岸带集聚发展，推动海洋产业集聚发展，创新引领东部地区优化发展。指导意见提出，以海岸线功能为导向，以海岸带生态系统为基础，重视以海定陆，构建海岸带综合保护与利用基础空间格局。</w:t>
      </w:r>
    </w:p>
    <w:p>
      <w:pPr>
        <w:pStyle w:val="TextBody"/>
      </w:pPr>
      <w:hyperlink r:id="rId45">
        <w:r>
          <w:rPr>
            <w:rStyle w:val="Hyperlink"/>
          </w:rPr>
          <w:t xml:space="preserve">http://www.gov.cn/xinwen/2017-12/23/content_5249726.htm</w:t>
        </w:r>
      </w:hyperlink>
    </w:p>
    <w:p>
      <w:pPr>
        <w:pStyle w:val="Heading2"/>
      </w:pPr>
      <w:bookmarkStart w:id="46" w:name="并购"/>
      <w:r>
        <w:t xml:space="preserve">并购</w:t>
      </w:r>
      <w:bookmarkEnd w:id="46"/>
    </w:p>
    <w:p>
      <w:pPr>
        <w:pStyle w:val="Heading3"/>
      </w:pPr>
      <w:bookmarkStart w:id="47" w:name="中国天楹作价86亿收购欧洲环保服务龙头企业"/>
      <w:r>
        <w:t xml:space="preserve">中国天楹作价86亿收购欧洲环保服务龙头企业</w:t>
      </w:r>
      <w:bookmarkEnd w:id="47"/>
    </w:p>
    <w:p>
      <w:pPr>
        <w:pStyle w:val="FirstParagraph"/>
      </w:pPr>
      <w:r>
        <w:t xml:space="preserve">中国天楹近日披露重组方案，公司拟以发行股份及支付现金的方式，作价85.74亿元购买华禹并购基金、中平投资等26名股东持有的江苏德展100%股权。其中，以股份方式支付对价84.68亿元，相关股份发行价格为5.89元/股，发行数量为14.38亿股。剩余1.06亿元以现金方式支付。</w:t>
      </w:r>
    </w:p>
    <w:p>
      <w:pPr>
        <w:pStyle w:val="TextBody"/>
      </w:pPr>
      <w:r>
        <w:t xml:space="preserve">公告显示，江苏德展为实施境外收购所设立的持股型公司，其主要资产为依次通过香港楹展、Firion间接持有的Urbaser的100%股权。中国天楹表示，重组完成后，Urbaser将成为上市公司下属子公司，上市公司的业务触角将延伸至全球20余个国家和地区，在全球市场上占据一定份额。同时，借助Urbaser业务遍布巴林、阿曼等多个“一带一路”沿线国家的先发优势，上市公司将积极投身“一带一路”建设，实现中国固废管理技术向“一带一路”沿线新兴市场的输出，利用“一带一路”和PPP发展的政策利好，提升行业领先优势。</w:t>
      </w:r>
    </w:p>
    <w:p>
      <w:pPr>
        <w:pStyle w:val="TextBody"/>
      </w:pPr>
      <w:hyperlink r:id="rId48">
        <w:r>
          <w:rPr>
            <w:rStyle w:val="Hyperlink"/>
          </w:rPr>
          <w:t xml:space="preserve">http://company.stcn.com/2017/1227/13862734.shtml</w:t>
        </w:r>
      </w:hyperlink>
    </w:p>
    <w:p>
      <w:pPr>
        <w:pStyle w:val="Heading3"/>
      </w:pPr>
      <w:bookmarkStart w:id="49" w:name="大湖股份拟10.4亿收购西藏深万投51股份"/>
      <w:r>
        <w:t xml:space="preserve">大湖股份拟10.4亿收购西藏深万投51%股份</w:t>
      </w:r>
      <w:bookmarkEnd w:id="49"/>
    </w:p>
    <w:p>
      <w:pPr>
        <w:pStyle w:val="FirstParagraph"/>
      </w:pPr>
      <w:r>
        <w:t xml:space="preserve">大湖股份近日晚间公告，公司拟以10.40亿元的交易总价收购西藏深万投51%股份。公告显示，西藏深万投主要资产为万生堂，后者是冈本安全套在中国区的独占经销企业，不涉及到生产和研发。标的公司承诺2018~2020年累计实现净利润总额不低于6亿元。</w:t>
      </w:r>
    </w:p>
    <w:p>
      <w:pPr>
        <w:pStyle w:val="TextBody"/>
      </w:pPr>
      <w:r>
        <w:t xml:space="preserve">根据协议，大湖股份拟向交易对方以6.33元/股发行不超过8464.55万股股份，并支付现金5.05亿元，收购西藏深万投股权。同时，大湖股份拟配套募资不超过5.36亿元，用于支付此次交易的现金对价以及交易费用。不考虑罗祖亮和罗订坤及其控制的公司通过认购募集配套资金获取的新增上市公司股份，交易完成后，罗祖亮仍控制大湖股份18.49%股权，仍为公司实控人。本次交易前，大湖股份主营业务为水产品、药品与医疗器械的零售批发，白酒的生产、加工和销售。 2017年以来公司水产品占总营业收入的64%；另外一部分是药品和白酒收入，占比分别为30%和6%。本次并购完成后，大湖股份在淡水鱼养殖外，将新增个人健康护理用品销售主业，形成双主业格局。</w:t>
      </w:r>
    </w:p>
    <w:p>
      <w:pPr>
        <w:pStyle w:val="TextBody"/>
      </w:pPr>
      <w:hyperlink r:id="rId50">
        <w:r>
          <w:rPr>
            <w:rStyle w:val="Hyperlink"/>
          </w:rPr>
          <w:t xml:space="preserve">http://www.stcn.com/2017/1223/13855110.shtml</w:t>
        </w:r>
      </w:hyperlink>
    </w:p>
    <w:p>
      <w:pPr>
        <w:pStyle w:val="Heading3"/>
      </w:pPr>
      <w:bookmarkStart w:id="51" w:name="美锦能源拟收购飞驰汽车15股权"/>
      <w:r>
        <w:t xml:space="preserve">美锦能源拟收购飞驰汽车15%股权</w:t>
      </w:r>
      <w:bookmarkEnd w:id="51"/>
    </w:p>
    <w:p>
      <w:pPr>
        <w:pStyle w:val="FirstParagraph"/>
      </w:pPr>
      <w:r>
        <w:t xml:space="preserve">美锦能源于2017年12月25日晚公告称，拟受让佛山市汽车运输集团有限公司持有的飞驰汽车15%股权。交易完成后，公司将合计持有飞驰汽车51.2%股权，成为飞驰汽车控股股东、实际控制人。</w:t>
      </w:r>
    </w:p>
    <w:p>
      <w:pPr>
        <w:pStyle w:val="TextBody"/>
      </w:pPr>
      <w:r>
        <w:t xml:space="preserve">公司日前收购了广东佛山（云浮）产业转移工业园投资开发有限公司在南方联合产权交易中心挂牌的飞驰汽车36.2%股权。公告显示，公司拟以自有资金9750万元受让飞驰汽车15%股权。此前飞驰汽车36.2%股权的价格为2.35亿元。公司表示，收购飞驰汽车控制权，有利于公司推进氢能源产业布局，发挥公司的氢能资源优势，推动产业升级。</w:t>
      </w:r>
    </w:p>
    <w:p>
      <w:pPr>
        <w:pStyle w:val="TextBody"/>
      </w:pPr>
      <w:hyperlink r:id="rId52">
        <w:r>
          <w:rPr>
            <w:rStyle w:val="Hyperlink"/>
          </w:rPr>
          <w:t xml:space="preserve">http://company.stcn.com/2017/1226/13859292.shtml</w:t>
        </w:r>
      </w:hyperlink>
    </w:p>
    <w:p>
      <w:pPr>
        <w:pStyle w:val="Heading3"/>
      </w:pPr>
      <w:bookmarkStart w:id="53" w:name="合锻智能成功参与收购德国lauffer公司布局粉末成型业务"/>
      <w:r>
        <w:t xml:space="preserve">合锻智能成功参与收购德国Lauffer公司，布局粉末成型业务</w:t>
      </w:r>
      <w:bookmarkEnd w:id="53"/>
    </w:p>
    <w:p>
      <w:pPr>
        <w:pStyle w:val="FirstParagraph"/>
      </w:pPr>
      <w:r>
        <w:t xml:space="preserve">合锻智能近日披露，公司参与设立的合肥水木信保智能制造产业基金与上市公司控股股东严建文等三家联合发起并购德国压力机制造商Lauffer公司100%股权。据介绍，Lauffer是欧洲最早从事压机设计、制造的企业之一。目前已经成为层压和复合技术、塑料和包装技术、成形技术和粉末技术领域的液压机和设备的领先制造商，拥有多项国际先进的核心技术。</w:t>
      </w:r>
    </w:p>
    <w:p>
      <w:pPr>
        <w:pStyle w:val="TextBody"/>
      </w:pPr>
      <w:r>
        <w:t xml:space="preserve">合锻智能董事长严建文表示，合锻智能自1985年引进德国Lauffer公司技术以来，双方一直保持着良好的战略合作关系，此次成功合并，将创造全球协同效应，在各大洲建立更密集的销售和服务网络，未来，双方将共同持续提高公司的产品，为现在及未来的市场提供更好的服务。收购完成后，Lauffer公司经营地点和组织架构保持不变，同时与合锻智能的合作有利于公司扩大海外市场，以进一步提高产品的市场占有率和营收水平。</w:t>
      </w:r>
    </w:p>
    <w:p>
      <w:pPr>
        <w:pStyle w:val="TextBody"/>
      </w:pPr>
      <w:hyperlink r:id="rId54">
        <w:r>
          <w:rPr>
            <w:rStyle w:val="Hyperlink"/>
          </w:rPr>
          <w:t xml:space="preserve">http://company.stcn.com/2017/1222/13852564.shtml</w:t>
        </w:r>
      </w:hyperlink>
    </w:p>
    <w:p>
      <w:pPr>
        <w:pStyle w:val="Heading3"/>
      </w:pPr>
      <w:bookmarkStart w:id="55" w:name="金冠电气收购辽源鸿图成功过会加码新能源领域"/>
      <w:r>
        <w:t xml:space="preserve">金冠电气收购辽源鸿图成功过会，加码新能源领域</w:t>
      </w:r>
      <w:bookmarkEnd w:id="55"/>
    </w:p>
    <w:p>
      <w:pPr>
        <w:pStyle w:val="FirstParagraph"/>
      </w:pPr>
      <w:r>
        <w:t xml:space="preserve">金冠电气2017年12月27日晚间公告，公司发行股份及支付现金购买资产并募集配套资金暨关联交易事项于当日经中国证监会并购重组委审核，获得有条件通过，公司股票将自12月28日开市起复牌。</w:t>
      </w:r>
    </w:p>
    <w:p>
      <w:pPr>
        <w:pStyle w:val="TextBody"/>
      </w:pPr>
      <w:r>
        <w:t xml:space="preserve">2017年8月，金冠电气拟发行股份及支付现金购买鸿图隔膜100%股权，现已成功过会。此次收购鸿图隔膜的成功过会，加快了金冠电气在新能源领域的布局，实现了公司“智能电气设备+新能源”的双轮驱动战略，有利于持续增强公司营收能力与股东回报能力。据悉，鸿图隔膜是一家集锂离子电池隔膜研发、生产、销售于一体的高新技术企业，也是国内最早专业做电池隔膜的企业。金冠电气、南京能瑞、鸿图隔膜同属大制造业，而南京能瑞与鸿图隔膜又同属新能源领域，因此在生产、研发、管理、销售等方面的经验相通，三者的合作可以实现优势互补，未来将在产业链协同、财务协同和管理协调等方面充分发挥协同效应。</w:t>
      </w:r>
    </w:p>
    <w:p>
      <w:pPr>
        <w:pStyle w:val="TextBody"/>
      </w:pPr>
      <w:hyperlink r:id="rId56">
        <w:r>
          <w:rPr>
            <w:rStyle w:val="Hyperlink"/>
          </w:rPr>
          <w:t xml:space="preserve">http://company.stcn.com/2017/1228/13866292.shtml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10">
        <w:r>
          <w:rPr/>
          <w:t>unsubscribe@charltonslaw.com</w:t>
        </w:r>
      </w:hyperlink>
    </w:p>
    <w:p>
      <w:pPr>
        <w:pStyle w:val="BlackStrips"/>
      </w:pPr>
      <w:r>
        <w:t>Charltons - 法讯 - 中国 - 2017年12月30日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0b3556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54" Type="http://schemas.openxmlformats.org/officeDocument/2006/relationships/hyperlink" Target="http://company.stcn.com/2017/1222/13852564.shtml" TargetMode="External"/><Relationship Id="rId52" Type="http://schemas.openxmlformats.org/officeDocument/2006/relationships/hyperlink" Target="http://company.stcn.com/2017/1226/13859292.shtml" TargetMode="External"/><Relationship Id="rId48" Type="http://schemas.openxmlformats.org/officeDocument/2006/relationships/hyperlink" Target="http://company.stcn.com/2017/1227/13862734.shtml" TargetMode="External"/><Relationship Id="rId56" Type="http://schemas.openxmlformats.org/officeDocument/2006/relationships/hyperlink" Target="http://company.stcn.com/2017/1228/13866292.shtml" TargetMode="External"/><Relationship Id="rId28" Type="http://schemas.openxmlformats.org/officeDocument/2006/relationships/hyperlink" Target="http://news.jcrb.com/jxsw/201712/t20171227_1829420.html" TargetMode="External"/><Relationship Id="rId30" Type="http://schemas.openxmlformats.org/officeDocument/2006/relationships/hyperlink" Target="http://www.chinaforex.com.cn/index.php/cms/item-view-id-45900.shtml" TargetMode="External"/><Relationship Id="rId24" Type="http://schemas.openxmlformats.org/officeDocument/2006/relationships/hyperlink" Target="http://www.chinaforex.com.cn/index.php/cms/item-view-id-46019.shtml" TargetMode="External"/><Relationship Id="rId43" Type="http://schemas.openxmlformats.org/officeDocument/2006/relationships/hyperlink" Target="http://www.chinanews.com/gn/2017/12-22/8406555.shtml" TargetMode="External"/><Relationship Id="rId45" Type="http://schemas.openxmlformats.org/officeDocument/2006/relationships/hyperlink" Target="http://www.gov.cn/xinwen/2017-12/23/content_5249726.htm" TargetMode="External"/><Relationship Id="rId26" Type="http://schemas.openxmlformats.org/officeDocument/2006/relationships/hyperlink" Target="http://www.gov.cn/xinwen/2017-12/23/content_5249731.htm" TargetMode="External"/><Relationship Id="rId39" Type="http://schemas.openxmlformats.org/officeDocument/2006/relationships/hyperlink" Target="http://www.gov.cn/xinwen/2017-12/26/content_5250602.htm" TargetMode="External"/><Relationship Id="rId41" Type="http://schemas.openxmlformats.org/officeDocument/2006/relationships/hyperlink" Target="http://www.gov.cn/xinwen/2017-12/27/content_5250719.htm" TargetMode="External"/><Relationship Id="rId36" Type="http://schemas.openxmlformats.org/officeDocument/2006/relationships/hyperlink" Target="http://www.gov.cn/xinwen/2017-12/28/content_5251075.htm" TargetMode="External"/><Relationship Id="rId50" Type="http://schemas.openxmlformats.org/officeDocument/2006/relationships/hyperlink" Target="http://www.stcn.com/2017/1223/13855110.shtml" TargetMode="External"/><Relationship Id="rId33" Type="http://schemas.openxmlformats.org/officeDocument/2006/relationships/hyperlink" Target="http://xw.sinoins.com/2017-12/26/content_251001.htm" TargetMode="External"/><Relationship Id="rId9" Type="http://schemas.openxmlformats.org/officeDocument/2006/relationships/hyperlink" Target="http://www.charltonslaw.com.cn/zhong-guo-ren-min-yin-hang-wan-shan-lv-se-zhai-quan-ren-zheng-zhi-du-tui-dong-lv-se-zhai-quan-shi-chang-chi-xu-jian-kang-fa-zhan"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4" Type="http://schemas.openxmlformats.org/officeDocument/2006/relationships/hyperlink" Target="http://company.stcn.com/2017/1222/13852564.shtml" TargetMode="External"/><Relationship Id="rId52" Type="http://schemas.openxmlformats.org/officeDocument/2006/relationships/hyperlink" Target="http://company.stcn.com/2017/1226/13859292.shtml" TargetMode="External"/><Relationship Id="rId48" Type="http://schemas.openxmlformats.org/officeDocument/2006/relationships/hyperlink" Target="http://company.stcn.com/2017/1227/13862734.shtml" TargetMode="External"/><Relationship Id="rId56" Type="http://schemas.openxmlformats.org/officeDocument/2006/relationships/hyperlink" Target="http://company.stcn.com/2017/1228/13866292.shtml" TargetMode="External"/><Relationship Id="rId28" Type="http://schemas.openxmlformats.org/officeDocument/2006/relationships/hyperlink" Target="http://news.jcrb.com/jxsw/201712/t20171227_1829420.html" TargetMode="External"/><Relationship Id="rId30" Type="http://schemas.openxmlformats.org/officeDocument/2006/relationships/hyperlink" Target="http://www.chinaforex.com.cn/index.php/cms/item-view-id-45900.shtml" TargetMode="External"/><Relationship Id="rId24" Type="http://schemas.openxmlformats.org/officeDocument/2006/relationships/hyperlink" Target="http://www.chinaforex.com.cn/index.php/cms/item-view-id-46019.shtml" TargetMode="External"/><Relationship Id="rId43" Type="http://schemas.openxmlformats.org/officeDocument/2006/relationships/hyperlink" Target="http://www.chinanews.com/gn/2017/12-22/8406555.shtml" TargetMode="External"/><Relationship Id="rId45" Type="http://schemas.openxmlformats.org/officeDocument/2006/relationships/hyperlink" Target="http://www.gov.cn/xinwen/2017-12/23/content_5249726.htm" TargetMode="External"/><Relationship Id="rId26" Type="http://schemas.openxmlformats.org/officeDocument/2006/relationships/hyperlink" Target="http://www.gov.cn/xinwen/2017-12/23/content_5249731.htm" TargetMode="External"/><Relationship Id="rId39" Type="http://schemas.openxmlformats.org/officeDocument/2006/relationships/hyperlink" Target="http://www.gov.cn/xinwen/2017-12/26/content_5250602.htm" TargetMode="External"/><Relationship Id="rId41" Type="http://schemas.openxmlformats.org/officeDocument/2006/relationships/hyperlink" Target="http://www.gov.cn/xinwen/2017-12/27/content_5250719.htm" TargetMode="External"/><Relationship Id="rId36" Type="http://schemas.openxmlformats.org/officeDocument/2006/relationships/hyperlink" Target="http://www.gov.cn/xinwen/2017-12/28/content_5251075.htm" TargetMode="External"/><Relationship Id="rId50" Type="http://schemas.openxmlformats.org/officeDocument/2006/relationships/hyperlink" Target="http://www.stcn.com/2017/1223/13855110.shtml" TargetMode="External"/><Relationship Id="rId33" Type="http://schemas.openxmlformats.org/officeDocument/2006/relationships/hyperlink" Target="http://xw.sinoins.com/2017-12/26/content_2510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2017-12-29T10:37:51Z</dcterms:created>
  <dcterms:modified xsi:type="dcterms:W3CDTF">2017-12-29T10:37:51Z</dcterms:modified>
</cp:coreProperties>
</file>