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- 2018年4月3日</w:t>
      </w:r>
    </w:p>
    <w:p>
      <w:pPr>
        <w:pStyle w:val="ReadOnline"/>
      </w:pPr>
      <w:hyperlink r:id="rId9">
        <w:r>
          <w:rPr/>
          <w:t>online version</w:t>
        </w:r>
      </w:hyperlink>
    </w:p>
    <w:p>
      <w:pPr>
        <w:pStyle w:val="Title"/>
      </w:pPr>
      <w:r>
        <w:t>中国人民银行：放开外商投资支付机构准入限制</w:t>
      </w:r>
    </w:p>
    <w:p>
      <w:pPr>
        <w:pStyle w:val="Heading2"/>
      </w:pPr>
      <w:bookmarkStart w:id="21" w:name="资本市场"/>
      <w:r>
        <w:t xml:space="preserve">资本市场</w:t>
      </w:r>
      <w:bookmarkEnd w:id="21"/>
    </w:p>
    <w:p>
      <w:pPr>
        <w:pStyle w:val="Heading3"/>
      </w:pPr>
      <w:bookmarkStart w:id="22" w:name="中国人民银行放开外商投资支付机构准入限制"/>
      <w:r>
        <w:t xml:space="preserve">中国人民银行：放开外商投资支付机构准入限制</w:t>
      </w:r>
      <w:bookmarkEnd w:id="22"/>
    </w:p>
    <w:p>
      <w:pPr>
        <w:pStyle w:val="FirstParagraph"/>
      </w:pPr>
      <w:r>
        <w:t xml:space="preserve">为进一步深化金融改革，扩大金融对外开放，近日，中国人民银行发布《中国人民银行公告〔2018〕第7号》（以下简称《公告》），明确外商投资支付机构的准入和监管政策，公告内容自发布之日起实施。</w:t>
      </w:r>
    </w:p>
    <w:p>
      <w:pPr>
        <w:pStyle w:val="TextBody"/>
      </w:pPr>
      <w:r>
        <w:t xml:space="preserve">《公告》规定，境外机构拟为中华人民共和国境内主体的境内交易和跨境交易提供电子支付服务的，应具备相应的资质及准入条件，享受“国民待遇”，根据《非金融机构支付服务管理办法》规定的条件取得支付业务许可证。据介绍，放开外商投资支付机构准入限制，通过对内资、外资同等对待的方式，实现统一的准入标准和监管要求，有利于加快中国支付服务市场的改革开放和创新转型，推动形成全面开放新格局。2013年至2017年，支付机构处理的业务量从371亿笔增长到3193亿笔，金额从18万亿元增长到169万亿元，年复合增长率分别达到71%和75%。随着我国对外开放程度的不断提高，越来越多的外资机构表示希望进入我国支付服务市场。</w:t>
      </w:r>
    </w:p>
    <w:p>
      <w:pPr>
        <w:pStyle w:val="TextBody"/>
      </w:pPr>
      <w:hyperlink r:id="rId23">
        <w:r>
          <w:rPr>
            <w:rStyle w:val="Hyperlink"/>
          </w:rPr>
          <w:t xml:space="preserve">http://www.chinaforex.com.cn/index.php/cms/item-view-id-46553.shtml</w:t>
        </w:r>
      </w:hyperlink>
    </w:p>
    <w:p>
      <w:pPr>
        <w:pStyle w:val="Heading3"/>
      </w:pPr>
      <w:bookmarkStart w:id="24" w:name="中国证监会扩大暂不受理和审核措施的适用主体范围"/>
      <w:r>
        <w:t xml:space="preserve">中国证监会：扩大暂不受理和审核措施的适用主体范围</w:t>
      </w:r>
      <w:bookmarkEnd w:id="24"/>
    </w:p>
    <w:p>
      <w:pPr>
        <w:pStyle w:val="FirstParagraph"/>
      </w:pPr>
      <w:r>
        <w:t xml:space="preserve">在证监会近日召开的新闻发布会上，新闻发言人高莉指出，从统一各中介机构监管政策角度出发，新修改后的《行政许可实施程序规定》将证券公司、证券服务机构及其从业人员均纳入暂不受理、中止审核措施政策的适用范围。</w:t>
      </w:r>
    </w:p>
    <w:p>
      <w:pPr>
        <w:pStyle w:val="TextBody"/>
      </w:pPr>
      <w:r>
        <w:t xml:space="preserve">按照证监会目前《证券发行上市保荐业务管理办法》、《律师事务所从事证券法律业务管理办法》的规定，保荐机构、律师事务所及其从业人员因涉嫌违反《证券法》等规则被立案调查，证监会将暂不受理、中止审核其出具的发行保荐书、法律意见书等行政许可申请文件。有证券中介服务机构、行业自律组织向证监会反映，从制度规定看，各证券中介服务机构的暂不受理、中止审核措施政策不统一，客观上造成了不公平。高莉表示，对此，证监会组织力量做了认真研究。研究认为，证券中介服务机构及其从业人员作为证券市场的重要参与主体，在发行融资、并购重组等方面发挥着重要的中介把关作用，其所制作、出具的申请材料，都构成了证监会形成监管意见的重要基础。从统一各中介机构监管政策角度出发，新修改后的《行政许可实施程序规定》将证券公司、证券服务机构及其从业人员均纳入暂不受理、中止审核措施政策的适用范围。</w:t>
      </w:r>
    </w:p>
    <w:p>
      <w:pPr>
        <w:pStyle w:val="TextBody"/>
      </w:pPr>
      <w:hyperlink r:id="rId25">
        <w:r>
          <w:rPr>
            <w:rStyle w:val="Hyperlink"/>
          </w:rPr>
          <w:t xml:space="preserve">https://www.chinacourt.org/article/detail/2018/03/id/3247248.shtml</w:t>
        </w:r>
      </w:hyperlink>
    </w:p>
    <w:p>
      <w:pPr>
        <w:pStyle w:val="Heading3"/>
      </w:pPr>
      <w:bookmarkStart w:id="26" w:name="中国银监会发布银行业金融机构从业人员行为管理指引"/>
      <w:r>
        <w:t xml:space="preserve">中国银监会发布《银行业金融机构从业人员行为管理指引》</w:t>
      </w:r>
      <w:bookmarkEnd w:id="26"/>
    </w:p>
    <w:p>
      <w:pPr>
        <w:pStyle w:val="FirstParagraph"/>
      </w:pPr>
      <w:r>
        <w:t xml:space="preserve">为进一步规范银行业金融机构从业人员行为，加强银行业金融机构从业人员行为管理，近日，银监会发布了《银行业金融机构从业人员行为管理指引》（以下简称《指引》）。前期征求意见期间共收到22份意见，大部分均已吸收采纳。</w:t>
      </w:r>
    </w:p>
    <w:p>
      <w:pPr>
        <w:pStyle w:val="TextBody"/>
      </w:pPr>
      <w:r>
        <w:t xml:space="preserve">《指引》要求，银行业金融机构的从业人员行为管理应坚持风险为本，制定全行遵守的行为守则和针对各业务条线的行为细则，要求从业人员遵守法律法规、恪守工作纪律，并针对全体员工开展教育培训。《指引》要求，银行业金融机构应开展从业人员行为的定期评估、建立长期监测和不定期排查机制，发现问题及时处理，在招聘中评估其与业务相关的行为，并将从业人员行为的评估结果作为薪酬发放和职位晋升的重要依据。同时，《指引》要求银行业金融机构建立不当行为的举报制度，加大约束和监督。 《指引》明确了从业人员行为管理的组织架构，董事会、监事会和高管层的职责，要求银行业金融机构明确从业人员行为管理的牵头部门，并指定专人负责从业人员行为管理工作。</w:t>
      </w:r>
    </w:p>
    <w:p>
      <w:pPr>
        <w:pStyle w:val="TextBody"/>
      </w:pPr>
      <w:hyperlink r:id="rId27">
        <w:r>
          <w:rPr>
            <w:rStyle w:val="Hyperlink"/>
          </w:rPr>
          <w:t xml:space="preserve">http://www.chinalawinfo.com/News/NewsFullText.aspx?NewsId=90248&amp;NewsType=1</w:t>
        </w:r>
      </w:hyperlink>
    </w:p>
    <w:p>
      <w:pPr>
        <w:pStyle w:val="Heading3"/>
      </w:pPr>
      <w:bookmarkStart w:id="28" w:name="上海证券交易所发布纪律处分和监管措施实施办法2018年修订和自律管理听证实施细则"/>
      <w:r>
        <w:t xml:space="preserve">上海证券交易所发布《纪律处分和监管措施实施办法（2018年修订）》和《自律管理听证实施细则》</w:t>
      </w:r>
      <w:bookmarkEnd w:id="28"/>
    </w:p>
    <w:p>
      <w:pPr>
        <w:pStyle w:val="FirstParagraph"/>
      </w:pPr>
      <w:r>
        <w:t xml:space="preserve">为了贯彻落实《证券交易所管理办法》的要求，完善自律管理程序和标准，保护自律管理对象的合法权益，上海证券交易所（以下简称“上交所”）对2013年《上海证券交易所纪律处分和监管措施实施办法》（以下简称《实施办法》）进行了修订，同时制定了《上海证券交易所自律管理听证实施细则》（以下简称《听证细则》）。</w:t>
      </w:r>
    </w:p>
    <w:p>
      <w:pPr>
        <w:pStyle w:val="TextBody"/>
      </w:pPr>
      <w:r>
        <w:t xml:space="preserve">本次《实施办法》的主要修改内容如下：一是根据《证券交易所管理办法》的规定和监管需要，调整和完善纪律处分与监管措施的种类，给交易所一线监管装上强有力的“牙齿”；二是优化限制交易纪律处分的实施程序，提高对严重异常交易行为的监管效率；三是进一步优化纪律处分和监管措施实施的机制、标准和程序。另外，《听证细则》一方面拓宽了听证范围，将对监管对象影响重大的终止上市事项、复核事项纳入听证范围，并增加了可申请听证的纪律处分类型，加大对监管对象的保护力度； 另一方面优化完善了听证程序，借鉴行政听证程序并结合自律管理特点，按照规范公正、兼顾效率的原则，对听证模式、流程、参与人权利义务、特殊情形处理等进行了较为细致的规定。</w:t>
      </w:r>
    </w:p>
    <w:p>
      <w:pPr>
        <w:pStyle w:val="TextBody"/>
      </w:pPr>
      <w:hyperlink r:id="rId29">
        <w:r>
          <w:rPr>
            <w:rStyle w:val="Hyperlink"/>
          </w:rPr>
          <w:t xml:space="preserve">http://www.sse.com.cn/aboutus/mediacenter/hotandd/c/c_20180323_4480528.shtml</w:t>
        </w:r>
      </w:hyperlink>
    </w:p>
    <w:p>
      <w:pPr>
        <w:pStyle w:val="Heading2"/>
      </w:pPr>
      <w:bookmarkStart w:id="30" w:name="保险"/>
      <w:r>
        <w:t xml:space="preserve">保险</w:t>
      </w:r>
      <w:bookmarkEnd w:id="30"/>
    </w:p>
    <w:p>
      <w:pPr>
        <w:pStyle w:val="Heading3"/>
      </w:pPr>
      <w:bookmarkStart w:id="31" w:name="中国保监会调整部分地区商业车险自主定价"/>
      <w:r>
        <w:t xml:space="preserve">中国保监会调整部分地区商业车险自主定价</w:t>
      </w:r>
      <w:bookmarkEnd w:id="31"/>
    </w:p>
    <w:p>
      <w:pPr>
        <w:pStyle w:val="FirstParagraph"/>
      </w:pPr>
      <w:r>
        <w:t xml:space="preserve">中国保监会近日下发《关于调整部分地区商业车险自主定价范围的通知》（以下简称《通知》）。《通知》显示，在四川、山西、福建、山东、河南、厦门和新疆七地调整商业车险自主定价范围。</w:t>
      </w:r>
    </w:p>
    <w:p>
      <w:pPr>
        <w:pStyle w:val="TextBody"/>
      </w:pPr>
      <w:r>
        <w:t xml:space="preserve">中国保监会表示，此举能更好地发挥市场在资源配置中的决定性作用，上述地区财险公司拟订商业车险自主核保系数、自主渠道系数费率调整方案，经过保监会批准后使用。据了解，目前影响车险保费的因子有基准保费和费率调整系数。通知显示，在四川保监局辖区，自主核保系数调整范围为0.65-1.15，自主渠道系数调整范围为0.65-1.15。在山西、福建、山东、河南、厦门保监局辖区，自主核保系数调整范围为0.70-1.15，自主渠道系数调整范围为 0.70-1.15。 在新疆保监局辖区，自主核保系数调整范围为0.75- 1.15，自主渠道系数调整范围为0.75-1.15。</w:t>
      </w:r>
    </w:p>
    <w:p>
      <w:pPr>
        <w:pStyle w:val="TextBody"/>
      </w:pPr>
      <w:hyperlink r:id="rId32">
        <w:r>
          <w:rPr>
            <w:rStyle w:val="Hyperlink"/>
          </w:rPr>
          <w:t xml:space="preserve">http://finance.sina.com.cn/roll/2018-03-14/doc-ifysfzhx9675671.shtml</w:t>
        </w:r>
      </w:hyperlink>
    </w:p>
    <w:p>
      <w:pPr>
        <w:pStyle w:val="Heading2"/>
      </w:pPr>
      <w:bookmarkStart w:id="33" w:name="税收"/>
      <w:r>
        <w:t xml:space="preserve">税收</w:t>
      </w:r>
      <w:bookmarkEnd w:id="33"/>
    </w:p>
    <w:p>
      <w:pPr>
        <w:pStyle w:val="Heading3"/>
      </w:pPr>
      <w:bookmarkStart w:id="34" w:name="财政部国家税务总局发布关于继续支持企业事业单位改制重组有关契税政策的通知"/>
      <w:r>
        <w:t xml:space="preserve">财政部、国家税务总局发布《关于继续支持企业事业单位改制重组有关契税政策的通知》</w:t>
      </w:r>
      <w:bookmarkEnd w:id="34"/>
    </w:p>
    <w:p>
      <w:pPr>
        <w:pStyle w:val="FirstParagraph"/>
      </w:pPr>
      <w:r>
        <w:t xml:space="preserve">为继续支持企业、事业单位改制重组，财政部、国家税务总局日前发布《关于继续支持企业事业单位改制重组有关契税政策的通知》，规定从2018年1月1日起至2020年12月31日，对企业改制、事业单位改制、公司合并、债权转股权等九种不同情况免征契税。</w:t>
      </w:r>
    </w:p>
    <w:p>
      <w:pPr>
        <w:pStyle w:val="TextBody"/>
      </w:pPr>
      <w:r>
        <w:t xml:space="preserve">财政部有关负责人表示，企业按照《公司法》有关规定整体改制，包括非公司制企业改制为有限责任公司或股份有限公司，有限责任公司变更为股份有限公司，股份有限公司变更为有限责任公司，原企业投资主体存续并在改制（变更）后的公司中所持股权（股份）比例超过75%，且改制（变更）后公司承继原企业权利、义务的，对改制（变更）后公司承受原企业土地、房屋权属，免征契税。如事业单位按照国家有关规定改制为企业，原投资主体存续并在改制后企业中出资（股权、股份）比例超过50%的，对改制后企业承受原事业单位土地、房屋权属，免征契税。</w:t>
      </w:r>
    </w:p>
    <w:p>
      <w:pPr>
        <w:pStyle w:val="TextBody"/>
      </w:pPr>
      <w:hyperlink r:id="rId35">
        <w:r>
          <w:rPr>
            <w:rStyle w:val="Hyperlink"/>
          </w:rPr>
          <w:t xml:space="preserve">http://finance.huanqiu.com/chanjing/2018-03/11691945.html</w:t>
        </w:r>
      </w:hyperlink>
    </w:p>
    <w:p>
      <w:pPr>
        <w:pStyle w:val="Heading2"/>
      </w:pPr>
      <w:bookmarkStart w:id="36" w:name="行业"/>
      <w:r>
        <w:t xml:space="preserve">行业</w:t>
      </w:r>
      <w:bookmarkEnd w:id="36"/>
    </w:p>
    <w:p>
      <w:pPr>
        <w:pStyle w:val="Heading3"/>
      </w:pPr>
      <w:bookmarkStart w:id="37" w:name="国务院办公厅印发关于保障城市轨道交通安全运行的意见"/>
      <w:r>
        <w:t xml:space="preserve">国务院办公厅印发《关于保障城市轨道交通安全运行的意见》</w:t>
      </w:r>
      <w:bookmarkEnd w:id="37"/>
    </w:p>
    <w:p>
      <w:pPr>
        <w:pStyle w:val="FirstParagraph"/>
      </w:pPr>
      <w:r>
        <w:t xml:space="preserve">日前，国务院办公厅印发《关于保障城市轨道交通安全运行的意见》（以下简称《意见》）。《意见》提出，我国城市轨道交通运行态势总体平稳，但近年来运营里程迅速增加、线网规模不断扩大，城市轨道交通安全运行压力日趋加大。国务院各有关部门、各省级人民政府要根据各自职责加强指导，强化督促检查。</w:t>
      </w:r>
    </w:p>
    <w:p>
      <w:pPr>
        <w:pStyle w:val="TextBody"/>
      </w:pPr>
      <w:r>
        <w:t xml:space="preserve">《意见》明确，要从六个方面保障城市轨道交通安全运行。一是构建综合治理体系。二是有序统筹规划建设运营。三是加强运营安全管理。建立健全运营安全风险分级管控和隐患排查治理双重预防体系，建立城市轨道交通运营安全第三方评估制度。四是强化公共安全防范。运营单位要制定安全防范和消防安全管理制度，保障相关经费投入。鼓励推广应用智能、快速的安检新技术、新产品，逐步建立与城市轨道交通客流特点相适应的安检新模式。五是提升应急处置能力。城市轨道交通所在地城市及以上地方人民政府要将城市轨道交通纳入政府应急管理体系，建立突发事件应急处置机制，加强应急救援力量建设和应急培训。六是完善保障措施。建立与运营安全和服务质量挂钩的财政补贴机制，科学确定财政补贴额度。</w:t>
      </w:r>
    </w:p>
    <w:p>
      <w:pPr>
        <w:pStyle w:val="TextBody"/>
      </w:pPr>
      <w:hyperlink r:id="rId38">
        <w:r>
          <w:rPr>
            <w:rStyle w:val="Hyperlink"/>
          </w:rPr>
          <w:t xml:space="preserve">https://www.chinacourt.org/article/detail/2018/03/id/3247229.shtml</w:t>
        </w:r>
      </w:hyperlink>
    </w:p>
    <w:p>
      <w:pPr>
        <w:pStyle w:val="Heading3"/>
      </w:pPr>
      <w:bookmarkStart w:id="39" w:name="国家新闻出版广电部门网站不得擅自重新剪辑经典文艺作品"/>
      <w:r>
        <w:t xml:space="preserve">国家新闻出版广电部门：网站不得擅自重新剪辑经典文艺作品</w:t>
      </w:r>
      <w:bookmarkEnd w:id="39"/>
    </w:p>
    <w:p>
      <w:pPr>
        <w:pStyle w:val="FirstParagraph"/>
      </w:pPr>
      <w:r>
        <w:t xml:space="preserve">国家新闻出版广电部门近日下发通知，进一步规范网络视听节目传播秩序。通知要求，所有节目网站不得制作、传播歪曲、恶搞、丑化经典文艺作品的节目，不得擅自对经典文艺作品、广播影视节目、网络原创视听节目作重新剪辑、重新配音、重配字幕，不得截取若干节目片段拼接成新节目播出，不得传播编辑后篡改原意产生歧义的作品节目片段。</w:t>
      </w:r>
    </w:p>
    <w:p>
      <w:pPr>
        <w:pStyle w:val="TextBody"/>
      </w:pPr>
      <w:r>
        <w:t xml:space="preserve">通知说，近期一些网络视听节目制作、播出不规范的问题十分突出，产生了极坏的社会影响，还有一些节目以非法网络视听平台及相关非法视听产品作为冠名，为非法视听内容在网上流传提供了渠道。通知要求，各省区市新闻出版广电部门严格管理包括网民上传的类似重编节目，不给存在导向问题、版权问题、内容问题的剪拼改编视听节目提供传播渠道。对节目版权方、广播电视播出机构、影视制作机构投诉的此类节目，要立即做下线处理。</w:t>
      </w:r>
    </w:p>
    <w:p>
      <w:pPr>
        <w:pStyle w:val="TextBody"/>
      </w:pPr>
      <w:hyperlink r:id="rId40">
        <w:r>
          <w:rPr>
            <w:rStyle w:val="Hyperlink"/>
          </w:rPr>
          <w:t xml:space="preserve">http://www.legaldaily.com.cn/index_article/content/2018-03/22/content_7503763.htm?node=5955</w:t>
        </w:r>
      </w:hyperlink>
    </w:p>
    <w:p>
      <w:pPr>
        <w:pStyle w:val="Heading3"/>
      </w:pPr>
      <w:bookmarkStart w:id="41" w:name="快递业首部行政法规2018年5月起施行"/>
      <w:r>
        <w:t xml:space="preserve">快递业首部行政法规2018年5月起施行</w:t>
      </w:r>
      <w:bookmarkEnd w:id="41"/>
    </w:p>
    <w:p>
      <w:pPr>
        <w:pStyle w:val="FirstParagraph"/>
      </w:pPr>
      <w:r>
        <w:t xml:space="preserve">《快递暂行条例》将于2018年5月1日起施行。这是中国第一部专门针对快递业的行政法规，从制度层面奠定了快递业高质量发展的基础。</w:t>
      </w:r>
    </w:p>
    <w:p>
      <w:pPr>
        <w:pStyle w:val="TextBody"/>
      </w:pPr>
      <w:r>
        <w:t xml:space="preserve">国家邮政局政策法规司相关负责人表示，我国快递业规模增速高位运行，新业态、新动能不断呈现。条例贯彻了包容审慎、创新务实的原则，将快递业作为与新经济、新业态关系紧密的新兴产业，充分融入了快递业的发展需求、改革需求和管理需求。 在促进发展方面，条例设专章规定了发展保障，制定了一系列促进快递业发展的制度措施，既解决业内存在的问题，也解决快递业与其他行业衔接协调方面的问题。同时，以经营快递业务的企业作为制度调节重点，制度红利以企业的实际感受为衡量标准，充分考虑企业感受向消费者传导的过程，在制度设计上坚持有效保护消费者合法权益。</w:t>
      </w:r>
    </w:p>
    <w:p>
      <w:pPr>
        <w:pStyle w:val="TextBody"/>
      </w:pPr>
      <w:hyperlink r:id="rId42">
        <w:r>
          <w:rPr>
            <w:rStyle w:val="Hyperlink"/>
          </w:rPr>
          <w:t xml:space="preserve">http://news.jcrb.com/jxsw/201803/t20180327_1853749.html</w:t>
        </w:r>
      </w:hyperlink>
    </w:p>
    <w:p>
      <w:pPr>
        <w:pStyle w:val="Heading3"/>
      </w:pPr>
      <w:bookmarkStart w:id="43" w:name="外交部发布领事保护与协助工作条例草案向社会征求意见"/>
      <w:r>
        <w:t xml:space="preserve">外交部发布领事保护与协助工作条例草案，向社会征求意见</w:t>
      </w:r>
      <w:bookmarkEnd w:id="43"/>
    </w:p>
    <w:p>
      <w:pPr>
        <w:pStyle w:val="FirstParagraph"/>
      </w:pPr>
      <w:r>
        <w:t xml:space="preserve">外交部近日发布《中华人民共和国领事保护与协助工作条例（草案）》（征求意见稿），向社会公开征求意见，以尽快出台专门立法，切实维护海外中国公民和机构的安全与正当权益。</w:t>
      </w:r>
    </w:p>
    <w:p>
      <w:pPr>
        <w:pStyle w:val="TextBody"/>
      </w:pPr>
      <w:r>
        <w:t xml:space="preserve">据外交部网站，征求意见稿共三十八条，主要内容包括中国公民、法人和非法人组织的基本权利义务，不同情形下的领事保护与协助职责，例如当中国公民被限制人身自由、下落不明、出现严重生活困难、遇航班延误或取消、或驻在国出现重大突发事件等。值得注意的是，按照预防与处置并重原则，征求意见稿规定了预防性领事保护有关措施和机制。例如：外交部和驻外外交机构发布海外安全提醒，国务院有关部门和省级人民政府根据相关安全提醒加强人员和机构动态监管、指导，中国公民、法人和非法人组织关注安全提醒、加强安全防范，旅行社及旅游经营者关注安全提醒、向旅游者作出说明和警示。</w:t>
      </w:r>
    </w:p>
    <w:p>
      <w:pPr>
        <w:pStyle w:val="TextBody"/>
      </w:pPr>
      <w:hyperlink r:id="rId44">
        <w:r>
          <w:rPr>
            <w:rStyle w:val="Hyperlink"/>
          </w:rPr>
          <w:t xml:space="preserve">http://www.legaldaily.com.cn/index_article/content/2018-03/26/content_7506162.htm?node=5955</w:t>
        </w:r>
      </w:hyperlink>
    </w:p>
    <w:p>
      <w:pPr>
        <w:pStyle w:val="Heading2"/>
      </w:pPr>
      <w:bookmarkStart w:id="45" w:name="并购"/>
      <w:r>
        <w:t xml:space="preserve">并购</w:t>
      </w:r>
      <w:bookmarkEnd w:id="45"/>
    </w:p>
    <w:p>
      <w:pPr>
        <w:pStyle w:val="Heading3"/>
      </w:pPr>
      <w:bookmarkStart w:id="46" w:name="天马精化拟投资2亿元收购银嘉金服10股权切入第三方支付领域"/>
      <w:r>
        <w:t xml:space="preserve">天马精化拟投资2亿元收购银嘉金服10%股权，切入第三方支付领域</w:t>
      </w:r>
      <w:bookmarkEnd w:id="46"/>
    </w:p>
    <w:p>
      <w:pPr>
        <w:pStyle w:val="FirstParagraph"/>
      </w:pPr>
      <w:r>
        <w:t xml:space="preserve">近日，天马精化发布公告，拟投资2亿元获得上海银嘉金融服务集团有限公司（以下简称“银嘉金服”）10%股权。根据《投资及股权转让协议》，天马精化将以股权转让及增资的方式获得银嘉金服10%的股份。其中，上市公司出资8,000万元受让原股东持有的银嘉金服4%的股份，同时出资12,000万元用以增资获取银嘉金服6%的股份。</w:t>
      </w:r>
    </w:p>
    <w:p>
      <w:pPr>
        <w:pStyle w:val="TextBody"/>
      </w:pPr>
      <w:r>
        <w:t xml:space="preserve">公开资料显示，银嘉金服主要开展以银行卡收单为主的第三方支付业务，其下属全资公司付临门支付有限公司拥有中国人民银行颁发的《支付业务许可证》，是拥有全国性收单业务牌照的40余家企业之一。银嘉金服作为支付持牌企业代表，积累了大量优质客户资源，沉淀了海量支付数据，具有较强的行业竞争力和盈利能力。 通过本次投资，天马精化将由此切入支付领域：一方面，有助于上市公司推进现有供应链数据及金融科技业务与第三方支付业务的深度合作；另一方面，支付业务可以为上市公司的金融和企业客户提供营销、技术支持、运营等新机遇。本次交易完成后，上市公司将发挥金融科技各业务的协同效应，增强业绩成长性，为长期发展创造良好空间。</w:t>
      </w:r>
    </w:p>
    <w:p>
      <w:pPr>
        <w:pStyle w:val="TextBody"/>
      </w:pPr>
      <w:hyperlink r:id="rId47">
        <w:r>
          <w:rPr>
            <w:rStyle w:val="Hyperlink"/>
          </w:rPr>
          <w:t xml:space="preserve">http://company.stcn.com/2018/0322/14049170.shtml</w:t>
        </w:r>
      </w:hyperlink>
    </w:p>
    <w:p>
      <w:pPr>
        <w:pStyle w:val="Heading3"/>
      </w:pPr>
      <w:bookmarkStart w:id="48" w:name="梅泰诺拟34.5亿元并购华坤道威"/>
      <w:r>
        <w:t xml:space="preserve">梅泰诺拟34.5亿元并购华坤道威</w:t>
      </w:r>
      <w:bookmarkEnd w:id="48"/>
    </w:p>
    <w:p>
      <w:pPr>
        <w:pStyle w:val="FirstParagraph"/>
      </w:pPr>
      <w:r>
        <w:t xml:space="preserve">停牌三个月后，梅泰诺于近日发布购买资产预案，公司拟以发行股份及支付现金的方式购买华坤道威100%股权，交易作价为34.5亿元。梅泰诺表示，本次收购是公司在“大数据+人工智能”产业链的进一步延伸。</w:t>
      </w:r>
    </w:p>
    <w:p>
      <w:pPr>
        <w:pStyle w:val="TextBody"/>
      </w:pPr>
      <w:r>
        <w:t xml:space="preserve">梅泰诺指出，目前上市公司全力深化战略转型，大力发展“大数据+人工智能”领域业务。标的公司在数据智能服务领域的竞争优势、行业经验、客户及媒体渠道资源等与公司现有业务具有良好协同效应，且与公司未来的战略规划相契合。根据购买资产预案，梅泰诺拟购买宁波亚圣、宁波总有梦想、杭州孟与梦及杭州南孟等四名股东合计持有的华坤道威100%股权，交易作价暂定34.5亿元。同时，公司拟向不超过5名特定对象非公开发行股票募集配套资金不超过14.15亿元，其中13.8亿元用于支付现金对价。</w:t>
      </w:r>
    </w:p>
    <w:p>
      <w:pPr>
        <w:pStyle w:val="TextBody"/>
      </w:pPr>
      <w:hyperlink r:id="rId49">
        <w:r>
          <w:rPr>
            <w:rStyle w:val="Hyperlink"/>
          </w:rPr>
          <w:t xml:space="preserve">http://company.stcn.com/2018/0327/14059255.shtml</w:t>
        </w:r>
      </w:hyperlink>
    </w:p>
    <w:p>
      <w:pPr>
        <w:pStyle w:val="Heading3"/>
      </w:pPr>
      <w:bookmarkStart w:id="50" w:name="永力科技拟2.6亿元被上市公司收购52股份"/>
      <w:r>
        <w:t xml:space="preserve">永力科技拟2.6亿元被上市公司收购52%股份</w:t>
      </w:r>
      <w:bookmarkEnd w:id="50"/>
    </w:p>
    <w:p>
      <w:pPr>
        <w:pStyle w:val="FirstParagraph"/>
      </w:pPr>
      <w:r>
        <w:t xml:space="preserve">2018年3月28日，永力科技发布公告称，上市公司新雷能拟通过现金支付方式购买中国宝安持有的公司52.00%股权，交易对价为2.6亿元。收购完成后，新雷能将成为公司控股股东。</w:t>
      </w:r>
    </w:p>
    <w:p>
      <w:pPr>
        <w:pStyle w:val="TextBody"/>
      </w:pPr>
      <w:r>
        <w:t xml:space="preserve">新雷能主营业务为定位于模块电源、定制电源、大功率电源及系统等技术和产品在通信、航空、航天、军工、铁路、电力、工控、广电等各行业的应用。永力科技表示，本次收购完成后，一方面，新雷能与永力科技在研发技术、市场推广、生产采购、质量管理等方面将发挥协同效应，加强新雷能在高可靠电源及电源系统方面的整体竞争优势，快速进入大功率供配电电源系统领域，进一步扩大客户资源和销售规模。另一方面，通过协同降低新雷能的研发、制造等成本，从而增强新雷能的盈利能力和持续发展能力。</w:t>
      </w:r>
    </w:p>
    <w:p>
      <w:pPr>
        <w:pStyle w:val="TextBody"/>
      </w:pPr>
      <w:hyperlink r:id="rId51">
        <w:r>
          <w:rPr>
            <w:rStyle w:val="Hyperlink"/>
          </w:rPr>
          <w:t xml:space="preserve">http://sanban.stcn.com/2018/0329/14068534.shtml</w:t>
        </w:r>
      </w:hyperlink>
    </w:p>
    <w:p>
      <w:pPr>
        <w:pStyle w:val="Heading3"/>
      </w:pPr>
      <w:bookmarkStart w:id="52" w:name="共进股份拟7亿元收购闻远通信100股权"/>
      <w:r>
        <w:t xml:space="preserve">共进股份拟7亿元收购闻远通信100%股权</w:t>
      </w:r>
      <w:bookmarkEnd w:id="52"/>
    </w:p>
    <w:p>
      <w:pPr>
        <w:pStyle w:val="FirstParagraph"/>
      </w:pPr>
      <w:r>
        <w:t xml:space="preserve">共进股份2018年3月27日晚公告称，公司拟以7亿元现金收购山东闻远通信技术有限公司100%股权。公司称，通过本次收购，将加快公司在4G/5G移动产品及网络系统领域的发展。在完成对标的公司的收购之后，将与公司已有的通信基站、通信专网市场领域布局形成优势互补。</w:t>
      </w:r>
    </w:p>
    <w:p>
      <w:pPr>
        <w:pStyle w:val="TextBody"/>
      </w:pPr>
      <w:r>
        <w:t xml:space="preserve">公告表示，标的公司的LTE无线宽带移动通信系列产品不仅拥有运营商级别4G产品的高质量、高性能、高稳定性因素，而且能够为客户定制、研发满足专属需求的解决方案。其TDD/FDD-LTE无线宽带移动通信系列产品被广泛应用于应急通信、视频监控、语音视频通话、语音视频调度、无线多媒体集群调度等领域，所服务的专网用户包括公安、军队、电力、智慧农业、交通、林业等领域。伴随着5G通信技术日趋成熟及规模商用化的到来，此次并购将有助于完善公司在移动通信网络板块的布局，有助于公司实现创新转型，形成新的利润增长点。</w:t>
      </w:r>
    </w:p>
    <w:p>
      <w:pPr>
        <w:pStyle w:val="TextBody"/>
      </w:pPr>
      <w:hyperlink r:id="rId53">
        <w:r>
          <w:rPr>
            <w:rStyle w:val="Hyperlink"/>
          </w:rPr>
          <w:t xml:space="preserve">http://company.stcn.com/2018/0328/14064084.shtml</w:t>
        </w:r>
      </w:hyperlink>
    </w:p>
    <w:p>
      <w:pPr>
        <w:pStyle w:val="Heading3"/>
      </w:pPr>
      <w:bookmarkStart w:id="54" w:name="姚记扑克拟收购成蹊科技53.45股权布局大娱乐战略"/>
      <w:r>
        <w:t xml:space="preserve">姚记扑克拟收购成蹊科技53.45%股权，布局大娱乐战略</w:t>
      </w:r>
      <w:bookmarkEnd w:id="54"/>
    </w:p>
    <w:p>
      <w:pPr>
        <w:pStyle w:val="FirstParagraph"/>
      </w:pPr>
      <w:r>
        <w:t xml:space="preserve">姚记扑克近日公告，公司拟以6.68亿元现金，收购成蹊科技53.45%股权。完成后，成蹊科技将成为公司的控股子公司。公司表示，本次收购，旨在谋求转型升级、创新发展，主动适应国内外消费者娱乐方式的变化，进一步实现公司的“大娱乐”发展战略。</w:t>
      </w:r>
    </w:p>
    <w:p>
      <w:pPr>
        <w:pStyle w:val="TextBody"/>
      </w:pPr>
      <w:r>
        <w:t xml:space="preserve">姚记扑克表示，公司拟与姚朔斌、愉游投资、创途投资、刘中杰、邹应方签订股权转让协议，公司拟以现金方式收购成蹊科技53.45%股权，购买价格为6.68亿元。对于收购原因，姚记扑克称，近年来，大众娱乐方式呈现多样化趋势，网络游戏、手机游戏发展迅速，给传统扑克牌行业带来较大的冲击，传统扑克牌业务呈现逐年下降的趋势。本次拟收购成蹊科技互联网游戏公司，公司意在发展“大娱乐”战略。姚记扑克表示，成蹊科技作为国内领先的在线休闲竞技游戏平台提供商，拥有优秀的研发及技术优势、精细化的运营及大数据分析能力、庞大的游戏产品用户资源。</w:t>
      </w:r>
    </w:p>
    <w:p>
      <w:pPr>
        <w:pStyle w:val="TextBody"/>
      </w:pPr>
      <w:hyperlink r:id="rId55">
        <w:r>
          <w:rPr>
            <w:rStyle w:val="Hyperlink"/>
          </w:rPr>
          <w:t xml:space="preserve">http://company.stcn.com/2018/0323/14053063.shtml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如果您不希望收到该法讯，请电邮  </w:t>
      </w:r>
      <w:hyperlink r:id="rId10">
        <w:r>
          <w:rPr/>
          <w:t>unsubscribe@charltonslaw.com</w:t>
        </w:r>
      </w:hyperlink>
    </w:p>
    <w:p>
      <w:pPr>
        <w:pStyle w:val="BlackStrips"/>
      </w:pPr>
      <w:r>
        <w:t>Charltons - 法讯 - 中国 - 2018年4月3日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e071b59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47" Type="http://schemas.openxmlformats.org/officeDocument/2006/relationships/hyperlink" Target="http://company.stcn.com/2018/0322/14049170.shtml" TargetMode="External"/><Relationship Id="rId55" Type="http://schemas.openxmlformats.org/officeDocument/2006/relationships/hyperlink" Target="http://company.stcn.com/2018/0323/14053063.shtml" TargetMode="External"/><Relationship Id="rId49" Type="http://schemas.openxmlformats.org/officeDocument/2006/relationships/hyperlink" Target="http://company.stcn.com/2018/0327/14059255.shtml" TargetMode="External"/><Relationship Id="rId53" Type="http://schemas.openxmlformats.org/officeDocument/2006/relationships/hyperlink" Target="http://company.stcn.com/2018/0328/14064084.shtml" TargetMode="External"/><Relationship Id="rId35" Type="http://schemas.openxmlformats.org/officeDocument/2006/relationships/hyperlink" Target="http://finance.huanqiu.com/chanjing/2018-03/11691945.html" TargetMode="External"/><Relationship Id="rId32" Type="http://schemas.openxmlformats.org/officeDocument/2006/relationships/hyperlink" Target="http://finance.sina.com.cn/roll/2018-03-14/doc-ifysfzhx9675671.shtml" TargetMode="External"/><Relationship Id="rId42" Type="http://schemas.openxmlformats.org/officeDocument/2006/relationships/hyperlink" Target="http://news.jcrb.com/jxsw/201803/t20180327_1853749.html" TargetMode="External"/><Relationship Id="rId51" Type="http://schemas.openxmlformats.org/officeDocument/2006/relationships/hyperlink" Target="http://sanban.stcn.com/2018/0329/14068534.shtml" TargetMode="External"/><Relationship Id="rId23" Type="http://schemas.openxmlformats.org/officeDocument/2006/relationships/hyperlink" Target="http://www.chinaforex.com.cn/index.php/cms/item-view-id-46553.shtml" TargetMode="External"/><Relationship Id="rId27" Type="http://schemas.openxmlformats.org/officeDocument/2006/relationships/hyperlink" Target="http://www.chinalawinfo.com/News/NewsFullText.aspx?NewsId=90248&amp;NewsType=1" TargetMode="External"/><Relationship Id="rId40" Type="http://schemas.openxmlformats.org/officeDocument/2006/relationships/hyperlink" Target="http://www.legaldaily.com.cn/index_article/content/2018-03/22/content_7503763.htm?node=5955" TargetMode="External"/><Relationship Id="rId44" Type="http://schemas.openxmlformats.org/officeDocument/2006/relationships/hyperlink" Target="http://www.legaldaily.com.cn/index_article/content/2018-03/26/content_7506162.htm?node=5955" TargetMode="External"/><Relationship Id="rId29" Type="http://schemas.openxmlformats.org/officeDocument/2006/relationships/hyperlink" Target="http://www.sse.com.cn/aboutus/mediacenter/hotandd/c/c_20180323_4480528.shtml" TargetMode="External"/><Relationship Id="rId38" Type="http://schemas.openxmlformats.org/officeDocument/2006/relationships/hyperlink" Target="https://www.chinacourt.org/article/detail/2018/03/id/3247229.shtml" TargetMode="External"/><Relationship Id="rId25" Type="http://schemas.openxmlformats.org/officeDocument/2006/relationships/hyperlink" Target="https://www.chinacourt.org/article/detail/2018/03/id/3247248.shtml" TargetMode="External"/><Relationship Id="rId9" Type="http://schemas.openxmlformats.org/officeDocument/2006/relationships/hyperlink" Target="http://www.charltonslaw.com.cn/zhong-guo-ren-min-yin-hang-fang-kai-wai-shang-tou-zi-zhi-fu-ji-gou-zhun-ru-xian-zh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47" Type="http://schemas.openxmlformats.org/officeDocument/2006/relationships/hyperlink" Target="http://company.stcn.com/2018/0322/14049170.shtml" TargetMode="External"/><Relationship Id="rId55" Type="http://schemas.openxmlformats.org/officeDocument/2006/relationships/hyperlink" Target="http://company.stcn.com/2018/0323/14053063.shtml" TargetMode="External"/><Relationship Id="rId49" Type="http://schemas.openxmlformats.org/officeDocument/2006/relationships/hyperlink" Target="http://company.stcn.com/2018/0327/14059255.shtml" TargetMode="External"/><Relationship Id="rId53" Type="http://schemas.openxmlformats.org/officeDocument/2006/relationships/hyperlink" Target="http://company.stcn.com/2018/0328/14064084.shtml" TargetMode="External"/><Relationship Id="rId35" Type="http://schemas.openxmlformats.org/officeDocument/2006/relationships/hyperlink" Target="http://finance.huanqiu.com/chanjing/2018-03/11691945.html" TargetMode="External"/><Relationship Id="rId32" Type="http://schemas.openxmlformats.org/officeDocument/2006/relationships/hyperlink" Target="http://finance.sina.com.cn/roll/2018-03-14/doc-ifysfzhx9675671.shtml" TargetMode="External"/><Relationship Id="rId42" Type="http://schemas.openxmlformats.org/officeDocument/2006/relationships/hyperlink" Target="http://news.jcrb.com/jxsw/201803/t20180327_1853749.html" TargetMode="External"/><Relationship Id="rId51" Type="http://schemas.openxmlformats.org/officeDocument/2006/relationships/hyperlink" Target="http://sanban.stcn.com/2018/0329/14068534.shtml" TargetMode="External"/><Relationship Id="rId23" Type="http://schemas.openxmlformats.org/officeDocument/2006/relationships/hyperlink" Target="http://www.chinaforex.com.cn/index.php/cms/item-view-id-46553.shtml" TargetMode="External"/><Relationship Id="rId27" Type="http://schemas.openxmlformats.org/officeDocument/2006/relationships/hyperlink" Target="http://www.chinalawinfo.com/News/NewsFullText.aspx?NewsId=90248&amp;NewsType=1" TargetMode="External"/><Relationship Id="rId40" Type="http://schemas.openxmlformats.org/officeDocument/2006/relationships/hyperlink" Target="http://www.legaldaily.com.cn/index_article/content/2018-03/22/content_7503763.htm?node=5955" TargetMode="External"/><Relationship Id="rId44" Type="http://schemas.openxmlformats.org/officeDocument/2006/relationships/hyperlink" Target="http://www.legaldaily.com.cn/index_article/content/2018-03/26/content_7506162.htm?node=5955" TargetMode="External"/><Relationship Id="rId29" Type="http://schemas.openxmlformats.org/officeDocument/2006/relationships/hyperlink" Target="http://www.sse.com.cn/aboutus/mediacenter/hotandd/c/c_20180323_4480528.shtml" TargetMode="External"/><Relationship Id="rId38" Type="http://schemas.openxmlformats.org/officeDocument/2006/relationships/hyperlink" Target="https://www.chinacourt.org/article/detail/2018/03/id/3247229.shtml" TargetMode="External"/><Relationship Id="rId25" Type="http://schemas.openxmlformats.org/officeDocument/2006/relationships/hyperlink" Target="https://www.chinacourt.org/article/detail/2018/03/id/3247248.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2018-04-03T02:25:14Z</dcterms:created>
  <dcterms:modified xsi:type="dcterms:W3CDTF">2018-04-03T02:25:14Z</dcterms:modified>
</cp:coreProperties>
</file>