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- 2018年4月13日</w:t>
      </w:r>
    </w:p>
    <w:p>
      <w:pPr>
        <w:pStyle w:val="ReadOnline"/>
      </w:pPr>
      <w:hyperlink r:id="rId9">
        <w:r>
          <w:rPr/>
          <w:t>online version</w:t>
        </w:r>
      </w:hyperlink>
    </w:p>
    <w:p>
      <w:pPr>
        <w:pStyle w:val="Title"/>
      </w:pPr>
      <w:r>
        <w:t>银保监会发布1号文，融资担保监管迎四项配套制度</w:t>
      </w:r>
    </w:p>
    <w:p>
      <w:pPr>
        <w:pStyle w:val="Heading2"/>
      </w:pPr>
      <w:bookmarkStart w:id="21" w:name="资本市场"/>
      <w:r>
        <w:t xml:space="preserve">资本市场</w:t>
      </w:r>
      <w:bookmarkEnd w:id="21"/>
    </w:p>
    <w:p>
      <w:pPr>
        <w:pStyle w:val="Heading3"/>
      </w:pPr>
      <w:bookmarkStart w:id="22" w:name="银保监会发布1号文融资担保监管迎四项配套制度"/>
      <w:r>
        <w:t xml:space="preserve">银保监会发布1号文，融资担保监管迎四项配套制度</w:t>
      </w:r>
      <w:bookmarkEnd w:id="22"/>
    </w:p>
    <w:p>
      <w:pPr>
        <w:pStyle w:val="FirstParagraph"/>
      </w:pPr>
      <w:r>
        <w:t xml:space="preserve">日前，银保监会发布了1号文——关于印发《融资担保公司监督管理条例》（以下简称《条例》）四项配套制度的通知，这是银监会和保监会会合并后的第一份文件。</w:t>
      </w:r>
    </w:p>
    <w:p>
      <w:pPr>
        <w:pStyle w:val="TextBody"/>
      </w:pPr>
      <w:r>
        <w:t xml:space="preserve">四项配套制度包括《融资担保业务经营许可证管理办法》、《融资担保责任余额计量办法》、《融资担保公司资产比例管理办法》、《银行业金融机构与融资担保公司业务合作指引》，对融资担保业务经营许可证管理以及责任余额计量与管理、融资担保公司资产分级、银行业金融机构与融资担保公司业务合作等事宜制定了详细的规定。文件指出，融资担保公司依法取得融资担保业务经营许可证后，方可向履行工商行政管理职责的部门申请办理注册登记。同时，监督管理部门应建立融资担保业务经营许可证颁发、换发、吊销、注销、收回、收缴、销毁登记制度。</w:t>
      </w:r>
    </w:p>
    <w:p>
      <w:pPr>
        <w:pStyle w:val="TextBody"/>
      </w:pPr>
      <w:hyperlink r:id="rId23">
        <w:r>
          <w:rPr>
            <w:rStyle w:val="Hyperlink"/>
          </w:rPr>
          <w:t xml:space="preserve">http://finance.ifeng.com/a/20180409/16063728_0.shtml</w:t>
        </w:r>
      </w:hyperlink>
    </w:p>
    <w:p>
      <w:pPr>
        <w:pStyle w:val="Heading3"/>
      </w:pPr>
      <w:bookmarkStart w:id="24" w:name="深圳证券交易所就高送转信息披露指引公开征求意见"/>
      <w:r>
        <w:t xml:space="preserve">深圳证券交易所就高送转信息披露指引公开征求意见</w:t>
      </w:r>
      <w:bookmarkEnd w:id="24"/>
    </w:p>
    <w:p>
      <w:pPr>
        <w:pStyle w:val="FirstParagraph"/>
      </w:pPr>
      <w:r>
        <w:t xml:space="preserve">为进一步规范上市公司高送转信息披露行为，日前深圳证券交易所就《上市公司高比例送转股份信息披露指引》（以下简称《高送转指引》）向市场公开征求意见。</w:t>
      </w:r>
    </w:p>
    <w:p>
      <w:pPr>
        <w:pStyle w:val="TextBody"/>
      </w:pPr>
      <w:r>
        <w:t xml:space="preserve">《高送转指引》共十四条，主要从送转股比例、时间限制以及分阶段减持计划的披露三个方面对上市公司提出进一步的要求，并明确深交所对高送转采取的监管措施。《高送转指引》明确建立送转股比例与业绩增长挂钩的机制，要求高送转公司每股送转股比例与净利润或净资产增长幅度等挂钩；设置披露高送转方案的时间限制，对于上市公司提议股东和控股股东及其一致行动人、董监高在前三个月存在减持情形或者后三个月存在减持计划以及所持限售股限售期届满前后三个月内，规定公司不得披露高送转方案；细化分阶段减持计划的披露要求，规定相关股东应当披露未来3个月不存在减持计划以及未来4至6个月的减持计划，并作为承诺事项予以遵守；明确对高送转采取的监管措施，向市场传递从严监管信号，提高监管威慑力。</w:t>
      </w:r>
    </w:p>
    <w:p>
      <w:pPr>
        <w:pStyle w:val="TextBody"/>
      </w:pPr>
      <w:hyperlink r:id="rId25">
        <w:r>
          <w:rPr>
            <w:rStyle w:val="Hyperlink"/>
          </w:rPr>
          <w:t xml:space="preserve">http://www.szse.cn/main/aboutus/bsyw/39778670.shtml</w:t>
        </w:r>
      </w:hyperlink>
    </w:p>
    <w:p>
      <w:pPr>
        <w:pStyle w:val="Heading3"/>
      </w:pPr>
      <w:bookmarkStart w:id="26" w:name="金融业深化开放路线图12项举措年内出台"/>
      <w:r>
        <w:t xml:space="preserve">金融业深化开放路线图：12项举措年内出台</w:t>
      </w:r>
      <w:bookmarkEnd w:id="26"/>
    </w:p>
    <w:p>
      <w:pPr>
        <w:pStyle w:val="FirstParagraph"/>
      </w:pPr>
      <w:r>
        <w:t xml:space="preserve">近日，中国人民银行行长易纲在博鳌亚洲论坛上宣布，将在今年内出台12项深化金融业对外开放举措。易纲强调，为促进金融业开放相关工作顺利实施，还将做好配套措施，在扩大金融业开放的同时加强金融监管。</w:t>
      </w:r>
    </w:p>
    <w:p>
      <w:pPr>
        <w:pStyle w:val="TextBody"/>
      </w:pPr>
      <w:r>
        <w:t xml:space="preserve">具体来说，未来几个月内我国将落实以下举措：一是取消银行和金融资产管理公司的外资持股比例限制，内外资一视同仁；允许外国银行在我国境内同时设立分行和子行；二是将证券公司、基金管理公司、期货公司、人身险公司的外资持股比例上限放宽至51%，三年后不再设限；三是不再要求合资证券公司境内股东至少有一家是证券公司；四是从5月1日起把互联互通每日额度扩大四倍，即沪股通及深股通每日额度从130亿调整为520亿元人民币，港股通每日额度从105亿调整为420亿元人民币；五是允许符合条件的外国投资者来华经营保险代理业务和保险公估业务；六是放开外资保险经纪公司经营范围，与中资机构一致。</w:t>
      </w:r>
    </w:p>
    <w:p>
      <w:pPr>
        <w:pStyle w:val="TextBody"/>
      </w:pPr>
      <w:hyperlink r:id="rId27">
        <w:r>
          <w:rPr>
            <w:rStyle w:val="Hyperlink"/>
          </w:rPr>
          <w:t xml:space="preserve">http://www.stcn.com/2018/0412/14106121.shtml</w:t>
        </w:r>
      </w:hyperlink>
    </w:p>
    <w:p>
      <w:pPr>
        <w:pStyle w:val="Heading3"/>
      </w:pPr>
      <w:bookmarkStart w:id="28" w:name="深圳证券交易所加快落实金融开放措施全力保障深港通业务安全平稳运行"/>
      <w:r>
        <w:t xml:space="preserve">深圳证券交易所加快落实金融开放措施，全力保障深港通业务安全平稳运行</w:t>
      </w:r>
      <w:bookmarkEnd w:id="28"/>
    </w:p>
    <w:p>
      <w:pPr>
        <w:pStyle w:val="FirstParagraph"/>
      </w:pPr>
      <w:r>
        <w:t xml:space="preserve">近日，中国证券监督管理委员会、香港证券及期货事务监察委员会发布《联合公告》，同意扩大互联互通每日额度。其中，深股通每日额度从130亿元人民币扩大至520亿元人民币，深港通下的港股通每日额度从105亿元人民币扩大至420亿元人民币，自2018年5月1日起生效。这是扩大金融领域对外开放的重要举措，充分展现了我国资本市场对外开放的信心和决心，有利于更好满足境外长期机构投资者参与A股市场的需求。</w:t>
      </w:r>
    </w:p>
    <w:p>
      <w:pPr>
        <w:pStyle w:val="TextBody"/>
      </w:pPr>
      <w:r>
        <w:t xml:space="preserve">深圳证券交易所根据《联合公告》的相关安排，同步发布了《关于调整深港通下的港股通每日额度的通知》，提示市场参与人做好相关准备，并对相关技术系统完成适应性改造，坚决落实金融领域扩大开放措施。下一步，深交所将密切关注深港通每日额度扩大后的市场运行情况，不断强化交易监控和监管协作，加快落实看穿式交易监管安排，提升跨境监管效率，推动完善互联互通机制，维护市场安全平稳运行，服务互利共赢的国际合作新格局。</w:t>
      </w:r>
    </w:p>
    <w:p>
      <w:pPr>
        <w:pStyle w:val="TextBody"/>
      </w:pPr>
      <w:hyperlink r:id="rId29">
        <w:r>
          <w:rPr>
            <w:rStyle w:val="Hyperlink"/>
          </w:rPr>
          <w:t xml:space="preserve">http://www.szse.cn/main/aboutus/bsyw/39778711.shtml</w:t>
        </w:r>
      </w:hyperlink>
    </w:p>
    <w:p>
      <w:pPr>
        <w:pStyle w:val="Heading2"/>
      </w:pPr>
      <w:bookmarkStart w:id="30" w:name="保险"/>
      <w:r>
        <w:t xml:space="preserve">保险</w:t>
      </w:r>
      <w:bookmarkEnd w:id="30"/>
    </w:p>
    <w:p>
      <w:pPr>
        <w:pStyle w:val="Heading3"/>
      </w:pPr>
      <w:bookmarkStart w:id="31" w:name="中国银行保险监督管理委员会正式挂牌银行保险业运行稳健"/>
      <w:r>
        <w:t xml:space="preserve">中国银行保险监督管理委员会正式挂牌，银行保险业运行稳健</w:t>
      </w:r>
      <w:bookmarkEnd w:id="31"/>
    </w:p>
    <w:p>
      <w:pPr>
        <w:pStyle w:val="FirstParagraph"/>
      </w:pPr>
      <w:r>
        <w:t xml:space="preserve">2018年4月8日，中国银行保险监督管理委员会在京揭牌，标志着新组建的中国银行保险监督管理委员会正式挂牌运行。中国银行保险监督管理委员会将切实找准监管定位，明确监管目标，坚决打好防范化解金融风险攻坚战。着力深化改革扩大开放，引导银行保险业进一步提升服务实体经济质效，在新的起点上开启新的征程。</w:t>
      </w:r>
    </w:p>
    <w:p>
      <w:pPr>
        <w:pStyle w:val="TextBody"/>
      </w:pPr>
      <w:r>
        <w:t xml:space="preserve">今年一季度，银行保险业监管部门采取有效监管措施，防风险、治乱象、补短板、促改革、强服务各项工作取得新进展，进一步巩固了资金脱虚向实的成果，推动银行保险业实现了稳健运行和良好开局。银行业资产规模稳步增长，流动性进一步增强，贷款质量保持稳定，资本和拨备稳中有升，风险抵御能力进一步提升。保险业发展主动转型，结构进一步优化，保障型业务平稳增长，服务大局能力进一步增强，资金运用平稳提升，行业偿付能力不断优化。</w:t>
      </w:r>
    </w:p>
    <w:p>
      <w:pPr>
        <w:pStyle w:val="TextBody"/>
      </w:pPr>
      <w:hyperlink r:id="rId32">
        <w:r>
          <w:rPr>
            <w:rStyle w:val="Hyperlink"/>
          </w:rPr>
          <w:t xml:space="preserve">http://www.gov.cn/xinwen/2018-04/09/content_5280910.htm</w:t>
        </w:r>
      </w:hyperlink>
    </w:p>
    <w:p>
      <w:pPr>
        <w:pStyle w:val="Heading2"/>
      </w:pPr>
      <w:bookmarkStart w:id="33" w:name="税收"/>
      <w:r>
        <w:t xml:space="preserve">税收</w:t>
      </w:r>
      <w:bookmarkEnd w:id="33"/>
    </w:p>
    <w:p>
      <w:pPr>
        <w:pStyle w:val="Heading3"/>
      </w:pPr>
      <w:bookmarkStart w:id="34" w:name="四部委联合部署打击骗税和虚开专项行动"/>
      <w:r>
        <w:t xml:space="preserve">四部委联合部署打击骗税和虚开专项行动</w:t>
      </w:r>
      <w:bookmarkEnd w:id="34"/>
    </w:p>
    <w:p>
      <w:pPr>
        <w:pStyle w:val="FirstParagraph"/>
      </w:pPr>
      <w:r>
        <w:t xml:space="preserve">2018年4月11日，国家税务总局、公安部、海关总署和中国人民银行在京就打击骗取出口退税和虚开增值税专用发票专项行动进行联合部署，安排2018年打击骗税和虚开专项行动任务。</w:t>
      </w:r>
    </w:p>
    <w:p>
      <w:pPr>
        <w:pStyle w:val="TextBody"/>
      </w:pPr>
      <w:r>
        <w:t xml:space="preserve">四部委打击骗税和虚开工作领导小组组长、国家税务总局党组成员、副局长孙瑞标在进行工作部署时指出，当前，一些不法分子实施骗税和虚开违法犯罪活动，严重影响了“放管服”改革和“便民办税春风行动”等优化营商环境措施的顺利实施，严重破坏了正常的经济税收秩序，必须出重拳、亮利剑，毫不手软地实施打击。四部委要在全国范围内持续开展跨部门、跨区域专项行动，联合查处重大骗税虚开案件，对骗税虚开高发地区和行业开展重点专项整治，严惩专业骗税虚开团伙，及时挽回国家税款损失，规范经济和税收秩序，营造稳定公平透明的营商环境，促进外贸和经济高质量发展。</w:t>
      </w:r>
    </w:p>
    <w:p>
      <w:pPr>
        <w:pStyle w:val="TextBody"/>
      </w:pPr>
      <w:hyperlink r:id="rId35">
        <w:r>
          <w:rPr>
            <w:rStyle w:val="Hyperlink"/>
          </w:rPr>
          <w:t xml:space="preserve">http://www.gov.cn/xinwen/2018-04/11/content_5281719.htm</w:t>
        </w:r>
      </w:hyperlink>
    </w:p>
    <w:p>
      <w:pPr>
        <w:pStyle w:val="Heading2"/>
      </w:pPr>
      <w:bookmarkStart w:id="36" w:name="知识产权"/>
      <w:r>
        <w:t xml:space="preserve">知识产权</w:t>
      </w:r>
      <w:bookmarkEnd w:id="36"/>
    </w:p>
    <w:p>
      <w:pPr>
        <w:pStyle w:val="Heading3"/>
      </w:pPr>
      <w:bookmarkStart w:id="37" w:name="中国与老挝签署首份知识产权领域合作谅解备忘录"/>
      <w:r>
        <w:t xml:space="preserve">中国与老挝签署首份知识产权领域合作谅解备忘录</w:t>
      </w:r>
      <w:bookmarkEnd w:id="37"/>
    </w:p>
    <w:p>
      <w:pPr>
        <w:pStyle w:val="FirstParagraph"/>
      </w:pPr>
      <w:r>
        <w:t xml:space="preserve">近日，中国国家知识产权局局长申长雨与老挝国家科技委员会主席、科技部副部长洪潘·因塔拉在老挝万象举行了高级别会议，就建立和开拓中老知识产权双边合作关系进行了深入交流，双方共同签署了《中华人民共和国国家知识产权局与老挝人民民主共和国科技部知识产权领域合作谅解备忘录》。根据该谅解备忘录，老挝对中国发明专利审查结果予以认可。</w:t>
      </w:r>
    </w:p>
    <w:p>
      <w:pPr>
        <w:pStyle w:val="TextBody"/>
      </w:pPr>
      <w:r>
        <w:t xml:space="preserve">中老知识产权领域合作谅解备忘录的签署是中老知识产权合作的一个重要里程碑，将为双方在知识产权政策交流、审查业务合作、人才培养、信息交换及自动化系统等领域合作的开展提供有力支撑。特别是老挝对中国发明专利审查结果予以认可，体现了老方对中国发明专利审查质量的高度认可和中老在知识产权领域的高度互信，将进一步促进中国创新型企业赴老投资。相信通过中老知识产权合作关系的正式建立，中老双方将进一步增进在知识产权领域的互信和交流，共同推动两国知识产权事业发展，为两国的科技创新和经贸往来作出更大贡献。</w:t>
      </w:r>
    </w:p>
    <w:p>
      <w:pPr>
        <w:pStyle w:val="TextBody"/>
      </w:pPr>
      <w:hyperlink r:id="rId38">
        <w:r>
          <w:rPr>
            <w:rStyle w:val="Hyperlink"/>
          </w:rPr>
          <w:t xml:space="preserve">http://www.gov.cn/xinwen/2018-04/05/content_5280070.htm</w:t>
        </w:r>
      </w:hyperlink>
    </w:p>
    <w:p>
      <w:pPr>
        <w:pStyle w:val="Heading2"/>
      </w:pPr>
      <w:bookmarkStart w:id="39" w:name="行业"/>
      <w:r>
        <w:t xml:space="preserve">行业</w:t>
      </w:r>
      <w:bookmarkEnd w:id="39"/>
    </w:p>
    <w:p>
      <w:pPr>
        <w:pStyle w:val="Heading3"/>
      </w:pPr>
      <w:bookmarkStart w:id="40" w:name="国务院办公厅印发关于全面推进金融业综合统计工作的意见"/>
      <w:r>
        <w:t xml:space="preserve">国务院办公厅印发《关于全面推进金融业综合统计工作的意见》</w:t>
      </w:r>
      <w:bookmarkEnd w:id="40"/>
    </w:p>
    <w:p>
      <w:pPr>
        <w:pStyle w:val="FirstParagraph"/>
      </w:pPr>
      <w:r>
        <w:t xml:space="preserve">日前，国务院办公厅印发《关于全面推进金融业综合统计工作的意见》（以下简称《意见》）。《意见》指出，金融业综合统计是国家金融基础设施现代化的重要组成部分。全面推进金融业综合统计是有效监测金融服务实体经济成效、提高服务效率的关键信息基础，是前瞻性防范化解系统性金融风险、维护金融稳定的迫切需要，是全面深化金融体制改革、建立现代金融体系的重要举措。</w:t>
      </w:r>
    </w:p>
    <w:p>
      <w:pPr>
        <w:pStyle w:val="TextBody"/>
      </w:pPr>
      <w:r>
        <w:t xml:space="preserve">《意见》强调，各部门、各地区要立足大局，深化认识，加强组织领导，强化统筹协调，落实工作责任，强化关键支撑，齐心协力做好金融业综合统计工作。一是制定完善金融业综合统计基础标准，明确定义、分类和编码等规则。二是建设安全、先进、完备的国家金融基础数据库，强化大国金融数据治理手段。三是充分调动组织、资金、人员等多方资源，保障金融业综合统计建设。四是贯彻依法统计理念，建立高效信息共享机制。</w:t>
      </w:r>
    </w:p>
    <w:p>
      <w:pPr>
        <w:pStyle w:val="TextBody"/>
      </w:pPr>
      <w:hyperlink r:id="rId41">
        <w:r>
          <w:rPr>
            <w:rStyle w:val="Hyperlink"/>
          </w:rPr>
          <w:t xml:space="preserve">http://news.jcrb.com/jxsw/201804/t20180409_1857159.html</w:t>
        </w:r>
      </w:hyperlink>
    </w:p>
    <w:p>
      <w:pPr>
        <w:pStyle w:val="Heading3"/>
      </w:pPr>
      <w:bookmarkStart w:id="42" w:name="民航局发布民用无人驾驶航空器经营性飞行活动管理办法暂行"/>
      <w:r>
        <w:t xml:space="preserve">民航局发布《民用无人驾驶航空器经营性飞行活动管理办法（暂行）》</w:t>
      </w:r>
      <w:bookmarkEnd w:id="42"/>
    </w:p>
    <w:p>
      <w:pPr>
        <w:pStyle w:val="FirstParagraph"/>
      </w:pPr>
      <w:r>
        <w:t xml:space="preserve">近日，民航局发布《民用无人驾驶航空器经营性飞行活动管理办法（暂行）》（以下简称《办法》）。《办法》对无人驾驶航空器经营许可证的申请条件及程序、无人驾驶航空器经营性飞行活动的监督管理方式等做了明确规定，具有适用范围边界清晰、准入条件大幅降低、在线操作简单便捷、管理条款符合情理、时间指标宽松充裕等特点。</w:t>
      </w:r>
    </w:p>
    <w:p>
      <w:pPr>
        <w:pStyle w:val="TextBody"/>
      </w:pPr>
      <w:r>
        <w:t xml:space="preserve">《办法》规定，取得无人驾驶航空器经营许可证应当具备四个基本条件：从事经营活动的主体应当为企业法人，法定代表人为中国籍公民；企业应至少拥有一架无人驾驶航空器，且以该企业名称在中国民用航空局“民用无人驾驶航空器实名登记信息系统”中完成实名登记；具有行业主管部门或经其授权机构认可的培训能力（此款仅适用从事培训类经营活动）；投保无人驾驶航空器地面第三人责任险。</w:t>
      </w:r>
    </w:p>
    <w:p>
      <w:pPr>
        <w:pStyle w:val="TextBody"/>
      </w:pPr>
      <w:hyperlink r:id="rId43">
        <w:r>
          <w:rPr>
            <w:rStyle w:val="Hyperlink"/>
          </w:rPr>
          <w:t xml:space="preserve">http://www.xinhuanet.com/fortune/2018-04/09/c_1122654087.htm</w:t>
        </w:r>
      </w:hyperlink>
    </w:p>
    <w:p>
      <w:pPr>
        <w:pStyle w:val="Heading3"/>
      </w:pPr>
      <w:bookmarkStart w:id="44" w:name="互联网资管新规出台打击监管套利从严资格准入"/>
      <w:r>
        <w:t xml:space="preserve">互联网资管新规出台：打击监管套利，从严资格准入</w:t>
      </w:r>
      <w:bookmarkEnd w:id="44"/>
    </w:p>
    <w:p>
      <w:pPr>
        <w:pStyle w:val="FirstParagraph"/>
      </w:pPr>
      <w:r>
        <w:t xml:space="preserve">近日，互联网金融风险专项整治工作领导小组办公室下发了《关于加大通过互联网开展资产管理业务整治力度及开展验收工作的通知》（以下简称《通知》），其中明确互联网资管业务属于特许经营业务，未取得金融牌照不得从事互联网资管业务，而“定向委托投资”、“收益权转让”等常见业务模式也被明令禁止。</w:t>
      </w:r>
    </w:p>
    <w:p>
      <w:pPr>
        <w:pStyle w:val="TextBody"/>
      </w:pPr>
      <w:r>
        <w:t xml:space="preserve">值得注意的是，网贷平台的登记备案工作目前正在如火如荼进行之中。一方面，《关于做好P2P网络借贷风险专项整治整改验收工作的通知》要求各地在今年4月底前完成辖区内主要P2P平台的备案登记工作。另一方面，《通知》明确指出，未经许可，依托互联网发行销售资产管理产的行为须立即停止，存量业务应当最迟于2018年6月底前压缩至零。另外，《通知》指出，对于网贷机构将互联网资产管理业务剥离、分立不同实体的的，应当将分离后的实体视为原网贷机构的组成部分，一并进行验收。显然，在混业经营被禁的大背景下，平台要想通过分拆保全“网贷业务”的操作也无法行得通。</w:t>
      </w:r>
    </w:p>
    <w:p>
      <w:pPr>
        <w:pStyle w:val="TextBody"/>
      </w:pPr>
      <w:hyperlink r:id="rId45">
        <w:r>
          <w:rPr>
            <w:rStyle w:val="Hyperlink"/>
          </w:rPr>
          <w:t xml:space="preserve">https://www.chinacourt.org/article/detail/2018/04/id/3257781.shtml</w:t>
        </w:r>
      </w:hyperlink>
    </w:p>
    <w:p>
      <w:pPr>
        <w:pStyle w:val="Heading3"/>
      </w:pPr>
      <w:bookmarkStart w:id="46" w:name="中科院与恒大集团签署战略合作协议"/>
      <w:r>
        <w:t xml:space="preserve">中科院与恒大集团签署战略合作协议</w:t>
      </w:r>
      <w:bookmarkEnd w:id="46"/>
    </w:p>
    <w:p>
      <w:pPr>
        <w:pStyle w:val="FirstParagraph"/>
      </w:pPr>
      <w:r>
        <w:t xml:space="preserve">2018年4月9日，中国科学院与恒大集团在京签署战略合作协议。中科院副院长、党组成员相里斌和恒大集团董事局副主席、总裁夏海钧代表院企双方签署《中国科学院恒大集团有限公司战略合作协议》。</w:t>
      </w:r>
    </w:p>
    <w:p>
      <w:pPr>
        <w:pStyle w:val="TextBody"/>
      </w:pPr>
      <w:r>
        <w:t xml:space="preserve">根据协议，双方将在生命科学、航空航天、集成电路、量子科技、新能源及智能交通、人工智能、机器人、现代科技农业等领域开展科技合作，共同建设一个科研中心、一个科研成果孵化基地和一个科研成果产业基地；恒大集团将在中国科学院大学设立奖学金等。中科院院长白春礼希望双方以合作组织实施若干重大项目为抓手，研发一批引领行业发展的新技术新成果；以粤港澳大湾区建设为契机，加强中科院所属科研院所尤其是在粤机构与恒大集团的全方位合作；充分发挥双方各自的优势，促进产业链、创新链、资金链的深度融合；进一步加强双方在高水平科技创新人才培养方面的合作，造就一大批具有市场意识的科技创新人才；加强在战略咨询领域的合作，为双方在科技和产业领域的科学决策提供有效支撑。</w:t>
      </w:r>
    </w:p>
    <w:p>
      <w:pPr>
        <w:pStyle w:val="TextBody"/>
      </w:pPr>
      <w:hyperlink r:id="rId47">
        <w:r>
          <w:rPr>
            <w:rStyle w:val="Hyperlink"/>
          </w:rPr>
          <w:t xml:space="preserve">http://www.gov.cn/xinwen/2018-04/10/content_5281305.htm</w:t>
        </w:r>
      </w:hyperlink>
    </w:p>
    <w:p>
      <w:pPr>
        <w:pStyle w:val="Heading2"/>
      </w:pPr>
      <w:bookmarkStart w:id="48" w:name="并购"/>
      <w:r>
        <w:t xml:space="preserve">并购</w:t>
      </w:r>
      <w:bookmarkEnd w:id="48"/>
    </w:p>
    <w:p>
      <w:pPr>
        <w:pStyle w:val="Heading3"/>
      </w:pPr>
      <w:bookmarkStart w:id="49" w:name="上市公司鲍斯股份拟4.7亿收购蓝创智能100股权"/>
      <w:r>
        <w:t xml:space="preserve">上市公司鲍斯股份拟4.7亿收购蓝创智能100%股权</w:t>
      </w:r>
      <w:bookmarkEnd w:id="49"/>
    </w:p>
    <w:p>
      <w:pPr>
        <w:pStyle w:val="FirstParagraph"/>
      </w:pPr>
      <w:r>
        <w:t xml:space="preserve">近日，蓝创智能发布收购报告书，上市公司鲍斯股份拟以发行股份及支付现金的方式向黄红娟等61名股东购买蓝创智能100%股权，交易总金额为4.7亿元。根据收购方案，收购人以发行股份1487.72万股股份的方式向蓝创智能支付的交易对价为3.13亿元；以支付现金的方式向蓝创智能支付的交易对价为1.57亿元。</w:t>
      </w:r>
    </w:p>
    <w:p>
      <w:pPr>
        <w:pStyle w:val="TextBody"/>
      </w:pPr>
      <w:r>
        <w:t xml:space="preserve">若成功收购后，上市公司业务将扩展到基于大数据和云计算技术的数据集成与服务业务。上市公司产品结构得到丰富，进一步实现公司确立的“夯实高端精密零部件及成套装备制造的基础，同时向智能制造及工业品供应链扩展，成为一家工业 4.0 国际型公司”的战略目标。与此同时，蓝创智能的各系列产品将大幅提升上市公司在生产和制造过程中的智能化程度。这其中，就包括“蓝创智慧工厂”中的蓝创呼叫系统、蓝创电子看板系统、MES 制造执行系统、EMS 能源管理系统、远程智控系统终端等系列产品。</w:t>
      </w:r>
    </w:p>
    <w:p>
      <w:pPr>
        <w:pStyle w:val="TextBody"/>
      </w:pPr>
      <w:hyperlink r:id="rId50">
        <w:r>
          <w:rPr>
            <w:rStyle w:val="Hyperlink"/>
          </w:rPr>
          <w:t xml:space="preserve">http://sanban.stcn.com/2018/0404/14089108.shtml</w:t>
        </w:r>
      </w:hyperlink>
    </w:p>
    <w:p>
      <w:pPr>
        <w:pStyle w:val="Heading3"/>
      </w:pPr>
      <w:bookmarkStart w:id="51" w:name="天海投资拟75亿元收购当当网"/>
      <w:r>
        <w:t xml:space="preserve">天海投资拟75亿元收购当当网</w:t>
      </w:r>
      <w:bookmarkEnd w:id="51"/>
    </w:p>
    <w:p>
      <w:pPr>
        <w:pStyle w:val="FirstParagraph"/>
      </w:pPr>
      <w:r>
        <w:t xml:space="preserve">天海投资近日公告称，拟通过发行股份及支付现金方式购买俞渝、李国庆、天津骞程、天津微量、上海宜修合计持有的当当科文100%股权以及天津科文、天津国略、天津骞程、天津微量、上海宜修、E-Commerce合计持有的北京当当100%股权，标的资产初步作价75亿元；同时，天海投资拟通过发行股份方式向天津保税区投资控股集团有限公司等不超过10名的特定投资者募集配套资金40.6亿元，其中34.4亿元用于本次交易的现金支付。</w:t>
      </w:r>
    </w:p>
    <w:p>
      <w:pPr>
        <w:pStyle w:val="TextBody"/>
      </w:pPr>
      <w:r>
        <w:t xml:space="preserve">天海投资表示，当当是综合性电商平台，经营图书、音像、母婴、美妆、家居、数码3C、服装、鞋包等产品，在线上图书出版物零售领域处于领先地位，并在电商领域积累了丰富的客户运营经验、大数据和品牌；通过本次交易，可以更好地完善上市公司的业务板块布局，实现联动协同效应；本次交易有利于提升上市公司业绩水平，增强公司竞争实力。</w:t>
      </w:r>
    </w:p>
    <w:p>
      <w:pPr>
        <w:pStyle w:val="TextBody"/>
      </w:pPr>
      <w:hyperlink r:id="rId52">
        <w:r>
          <w:rPr>
            <w:rStyle w:val="Hyperlink"/>
          </w:rPr>
          <w:t xml:space="preserve">http://company.stcn.com/2018/0412/14106181.shtml</w:t>
        </w:r>
      </w:hyperlink>
    </w:p>
    <w:p>
      <w:pPr>
        <w:pStyle w:val="Heading3"/>
      </w:pPr>
      <w:bookmarkStart w:id="53" w:name="中持股份收购南资环保后者估值4.2亿元"/>
      <w:r>
        <w:t xml:space="preserve">中持股份收购南资环保，后者估值4.2亿元</w:t>
      </w:r>
      <w:bookmarkEnd w:id="53"/>
    </w:p>
    <w:p>
      <w:pPr>
        <w:pStyle w:val="FirstParagraph"/>
      </w:pPr>
      <w:r>
        <w:t xml:space="preserve">2018年4月9日晚间，中持股份发布公告，该公司已与陈立伟、蔡天明、张永乐签订《股份转让协议》，拟以支付现金的方式收购江苏南资环保股份有限公司（以下简称“南资环保”）60%的股权。中持股份表示，考虑到南资环保2017年度期后分红1500万元，经交易双方协商同意，标的100%股权价值确定为4.2亿元，此次交易的60%股权对价为2.52亿元。</w:t>
      </w:r>
    </w:p>
    <w:p>
      <w:pPr>
        <w:pStyle w:val="TextBody"/>
      </w:pPr>
      <w:r>
        <w:t xml:space="preserve">中持股份指出，南资环保拥有利用基因工程和分子生物学技术降解有机有毒、难降解废水的专利技术和核心产品，能够处理和降解医药、化工、农药等废水中的有毒有害成分。待此次交易完成后，南资环保将成为中持股份的控股子公司，其专利技术和核心产品，有助于上市公司提升在医药、化工、农药等行业的问题解决能力，符合其布局和发展战略。经各方确认并同意，南资环保2018年、2019年承诺扣非后净利润分别为3300万元、3800万元，两年合计不低于7100万元。中持股份认为，自身是一家创新型综合环境服务商，致力于通过内生及外延式增长，不断增加业务内容，以期构成完整的城乡环境价值创造体系。</w:t>
      </w:r>
    </w:p>
    <w:p>
      <w:pPr>
        <w:pStyle w:val="TextBody"/>
      </w:pPr>
      <w:hyperlink r:id="rId54">
        <w:r>
          <w:rPr>
            <w:rStyle w:val="Hyperlink"/>
          </w:rPr>
          <w:t xml:space="preserve">http://sanban.stcn.com/2018/0409/14093578.shtml</w:t>
        </w:r>
      </w:hyperlink>
    </w:p>
    <w:p>
      <w:pPr>
        <w:pStyle w:val="Heading3"/>
      </w:pPr>
      <w:bookmarkStart w:id="55" w:name="阿里巴巴联合蚂蚁金服收购饿了么"/>
      <w:r>
        <w:t xml:space="preserve">阿里巴巴联合蚂蚁金服收购饿了么</w:t>
      </w:r>
      <w:bookmarkEnd w:id="55"/>
    </w:p>
    <w:p>
      <w:pPr>
        <w:pStyle w:val="FirstParagraph"/>
      </w:pPr>
      <w:r>
        <w:t xml:space="preserve">近日，阿里巴巴集团、蚂蚁金服集团与饿了么联合宣布，阿里巴巴已经签订收购协议，将联合蚂蚁金服以95亿美元对饿了么完成全资收购。这将意味着阿里巴巴新零售战略，在向本地生活服务的纵深拓展上获得重大突破。</w:t>
      </w:r>
    </w:p>
    <w:p>
      <w:pPr>
        <w:pStyle w:val="TextBody"/>
      </w:pPr>
      <w:r>
        <w:t xml:space="preserve">此次收购完成后，阿里巴巴将以餐饮作为本地生活服务的切入点，以饿了么作为本地生活服务最高频应用之一的外卖服务，结合口碑以数据技术赋能线下餐饮商家的到店服务，产生化学反应，形成对本地生活服务领域的全新拓展。阿里巴巴集团强调，饿了么将保持独立品牌、独立运营，饿了么的所有合作伙伴及商家的权利都将得到一如既往的尊重。同时，饿了么将进一步得到阿里巴巴在新零售基础设施、产品、技术、组织等方面的全力支持。此次收购协议签署，标志着饿了么全面汇入阿里巴巴推进的新零售战略，为阿里生态拓展全新的本地生活服务领域，完成从新零售走向新消费的重要一步。</w:t>
      </w:r>
    </w:p>
    <w:p>
      <w:pPr>
        <w:pStyle w:val="TextBody"/>
      </w:pPr>
      <w:hyperlink r:id="rId56">
        <w:r>
          <w:rPr>
            <w:rStyle w:val="Hyperlink"/>
          </w:rPr>
          <w:t xml:space="preserve">http://news.stcn.com/2018/0403/14085642.shtml</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如果您不希望收到该法讯，请电邮  </w:t>
      </w:r>
      <w:hyperlink r:id="rId10">
        <w:r>
          <w:rPr/>
          <w:t>unsubscribe@charltonslaw.com</w:t>
        </w:r>
      </w:hyperlink>
    </w:p>
    <w:p>
      <w:pPr>
        <w:pStyle w:val="BlackStrips"/>
      </w:pPr>
      <w:r>
        <w:t>Charltons - 法讯 - 中国 - 2018年4月13日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6d8ae5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52" Type="http://schemas.openxmlformats.org/officeDocument/2006/relationships/hyperlink" Target="http://company.stcn.com/2018/0412/14106181.shtml" TargetMode="External"/><Relationship Id="rId23" Type="http://schemas.openxmlformats.org/officeDocument/2006/relationships/hyperlink" Target="http://finance.ifeng.com/a/20180409/16063728_0.shtml" TargetMode="External"/><Relationship Id="rId41" Type="http://schemas.openxmlformats.org/officeDocument/2006/relationships/hyperlink" Target="http://news.jcrb.com/jxsw/201804/t20180409_1857159.html" TargetMode="External"/><Relationship Id="rId56" Type="http://schemas.openxmlformats.org/officeDocument/2006/relationships/hyperlink" Target="http://news.stcn.com/2018/0403/14085642.shtml" TargetMode="External"/><Relationship Id="rId50" Type="http://schemas.openxmlformats.org/officeDocument/2006/relationships/hyperlink" Target="http://sanban.stcn.com/2018/0404/14089108.shtml" TargetMode="External"/><Relationship Id="rId54" Type="http://schemas.openxmlformats.org/officeDocument/2006/relationships/hyperlink" Target="http://sanban.stcn.com/2018/0409/14093578.shtml" TargetMode="External"/><Relationship Id="rId38" Type="http://schemas.openxmlformats.org/officeDocument/2006/relationships/hyperlink" Target="http://www.gov.cn/xinwen/2018-04/05/content_5280070.htm" TargetMode="External"/><Relationship Id="rId32" Type="http://schemas.openxmlformats.org/officeDocument/2006/relationships/hyperlink" Target="http://www.gov.cn/xinwen/2018-04/09/content_5280910.htm" TargetMode="External"/><Relationship Id="rId47" Type="http://schemas.openxmlformats.org/officeDocument/2006/relationships/hyperlink" Target="http://www.gov.cn/xinwen/2018-04/10/content_5281305.htm" TargetMode="External"/><Relationship Id="rId35" Type="http://schemas.openxmlformats.org/officeDocument/2006/relationships/hyperlink" Target="http://www.gov.cn/xinwen/2018-04/11/content_5281719.htm" TargetMode="External"/><Relationship Id="rId27" Type="http://schemas.openxmlformats.org/officeDocument/2006/relationships/hyperlink" Target="http://www.stcn.com/2018/0412/14106121.shtml" TargetMode="External"/><Relationship Id="rId25" Type="http://schemas.openxmlformats.org/officeDocument/2006/relationships/hyperlink" Target="http://www.szse.cn/main/aboutus/bsyw/39778670.shtml" TargetMode="External"/><Relationship Id="rId29" Type="http://schemas.openxmlformats.org/officeDocument/2006/relationships/hyperlink" Target="http://www.szse.cn/main/aboutus/bsyw/39778711.shtml" TargetMode="External"/><Relationship Id="rId43" Type="http://schemas.openxmlformats.org/officeDocument/2006/relationships/hyperlink" Target="http://www.xinhuanet.com/fortune/2018-04/09/c_1122654087.htm" TargetMode="External"/><Relationship Id="rId45" Type="http://schemas.openxmlformats.org/officeDocument/2006/relationships/hyperlink" Target="https://www.chinacourt.org/article/detail/2018/04/id/3257781.shtml" TargetMode="External"/><Relationship Id="rId9" Type="http://schemas.openxmlformats.org/officeDocument/2006/relationships/hyperlink" Target="http://www.charltonslaw.com.cn/yin-bao-jian-hui-fa-bu-1-hao-wen-rong-zi-dan-bao-jian-guan-ying-si-xiang-pei-tao-zhi-du"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52" Type="http://schemas.openxmlformats.org/officeDocument/2006/relationships/hyperlink" Target="http://company.stcn.com/2018/0412/14106181.shtml" TargetMode="External"/><Relationship Id="rId23" Type="http://schemas.openxmlformats.org/officeDocument/2006/relationships/hyperlink" Target="http://finance.ifeng.com/a/20180409/16063728_0.shtml" TargetMode="External"/><Relationship Id="rId41" Type="http://schemas.openxmlformats.org/officeDocument/2006/relationships/hyperlink" Target="http://news.jcrb.com/jxsw/201804/t20180409_1857159.html" TargetMode="External"/><Relationship Id="rId56" Type="http://schemas.openxmlformats.org/officeDocument/2006/relationships/hyperlink" Target="http://news.stcn.com/2018/0403/14085642.shtml" TargetMode="External"/><Relationship Id="rId50" Type="http://schemas.openxmlformats.org/officeDocument/2006/relationships/hyperlink" Target="http://sanban.stcn.com/2018/0404/14089108.shtml" TargetMode="External"/><Relationship Id="rId54" Type="http://schemas.openxmlformats.org/officeDocument/2006/relationships/hyperlink" Target="http://sanban.stcn.com/2018/0409/14093578.shtml" TargetMode="External"/><Relationship Id="rId38" Type="http://schemas.openxmlformats.org/officeDocument/2006/relationships/hyperlink" Target="http://www.gov.cn/xinwen/2018-04/05/content_5280070.htm" TargetMode="External"/><Relationship Id="rId32" Type="http://schemas.openxmlformats.org/officeDocument/2006/relationships/hyperlink" Target="http://www.gov.cn/xinwen/2018-04/09/content_5280910.htm" TargetMode="External"/><Relationship Id="rId47" Type="http://schemas.openxmlformats.org/officeDocument/2006/relationships/hyperlink" Target="http://www.gov.cn/xinwen/2018-04/10/content_5281305.htm" TargetMode="External"/><Relationship Id="rId35" Type="http://schemas.openxmlformats.org/officeDocument/2006/relationships/hyperlink" Target="http://www.gov.cn/xinwen/2018-04/11/content_5281719.htm" TargetMode="External"/><Relationship Id="rId27" Type="http://schemas.openxmlformats.org/officeDocument/2006/relationships/hyperlink" Target="http://www.stcn.com/2018/0412/14106121.shtml" TargetMode="External"/><Relationship Id="rId25" Type="http://schemas.openxmlformats.org/officeDocument/2006/relationships/hyperlink" Target="http://www.szse.cn/main/aboutus/bsyw/39778670.shtml" TargetMode="External"/><Relationship Id="rId29" Type="http://schemas.openxmlformats.org/officeDocument/2006/relationships/hyperlink" Target="http://www.szse.cn/main/aboutus/bsyw/39778711.shtml" TargetMode="External"/><Relationship Id="rId43" Type="http://schemas.openxmlformats.org/officeDocument/2006/relationships/hyperlink" Target="http://www.xinhuanet.com/fortune/2018-04/09/c_1122654087.htm" TargetMode="External"/><Relationship Id="rId45" Type="http://schemas.openxmlformats.org/officeDocument/2006/relationships/hyperlink" Target="https://www.chinacourt.org/article/detail/2018/04/id/3257781.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2018-04-13T03:51:34Z</dcterms:created>
  <dcterms:modified xsi:type="dcterms:W3CDTF">2018-04-13T03:51:34Z</dcterms:modified>
</cp:coreProperties>
</file>