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- 2018年5月4日</w:t>
      </w:r>
    </w:p>
    <w:p>
      <w:pPr>
        <w:pStyle w:val="ReadOnline"/>
      </w:pPr>
      <w:hyperlink r:id="rId9">
        <w:r>
          <w:rPr/>
          <w:t>online version</w:t>
        </w:r>
      </w:hyperlink>
    </w:p>
    <w:p>
      <w:pPr>
        <w:pStyle w:val="Title"/>
      </w:pPr>
      <w:r>
        <w:t>中国人民银行等四部门联合印发《关于规范金融机构资产管理业务的指导意见》</w:t>
      </w:r>
    </w:p>
    <w:p>
      <w:pPr>
        <w:pStyle w:val="Heading2"/>
      </w:pPr>
      <w:bookmarkStart w:id="21" w:name="资本市场"/>
      <w:r>
        <w:t xml:space="preserve">资本市场</w:t>
      </w:r>
      <w:bookmarkEnd w:id="21"/>
    </w:p>
    <w:p>
      <w:pPr>
        <w:pStyle w:val="Heading3"/>
      </w:pPr>
      <w:bookmarkStart w:id="22" w:name="中国人民银行等四部门联合印发关于规范金融机构资产管理业务的指导意见"/>
      <w:r>
        <w:t xml:space="preserve">中国人民银行等四部门联合印发《关于规范金融机构资产管理业务的指导意见》</w:t>
      </w:r>
      <w:bookmarkEnd w:id="22"/>
    </w:p>
    <w:p>
      <w:pPr>
        <w:pStyle w:val="FirstParagraph"/>
      </w:pPr>
      <w:r>
        <w:t xml:space="preserve">中国人民银行、中国银行保险监督管理委员会、中国证券监督管理委员会、国家外汇管理局联合印发的《关于规范金融机构资产管理业务的指导意见》（以下简称《意见》）正式发布。此举旨在规范金融机构资产管理业务，统一同类资产管理产品监管标准，有效防控金融风险，更好地服务实体经济。</w:t>
      </w:r>
    </w:p>
    <w:p>
      <w:pPr>
        <w:pStyle w:val="TextBody"/>
      </w:pPr>
      <w:r>
        <w:t xml:space="preserve">《意见》对防范资管产品的流动性风险和规范金融机构资金池运作进行了详细规定。央行有关负责人表示，《意见》在禁止资金池业务、强调资管产品单独管理、单独建账、单独核算的基础上，要求金融机构加强产品久期管理，规定封闭式资管产品期限不得低于90天，以此纠正资管产品短期化倾向，切实减少和消除资金来源端和运用端的期限错配和流动性风险。此外，对于部分机构通过为单一融资项目设立多只资管产品变相突破投资人数限制的行为，《意见》明确予以禁止。为防止同一资产发生风险波及多只产品，《意见》要求同一金融机构发行多只资管产品投资同一资产的资金总规模不得超过300亿元，如果超出该规模，需经金融监督管理部门批准。</w:t>
      </w:r>
    </w:p>
    <w:p>
      <w:pPr>
        <w:pStyle w:val="TextBody"/>
      </w:pPr>
      <w:hyperlink r:id="rId23">
        <w:r>
          <w:rPr>
            <w:rStyle w:val="Hyperlink"/>
          </w:rPr>
          <w:t xml:space="preserve">http://www.legaldaily.com.cn/Finance_and_Economics/content/2018-04/28/content_7532906.htm?node=76109</w:t>
        </w:r>
      </w:hyperlink>
    </w:p>
    <w:p>
      <w:pPr>
        <w:pStyle w:val="Heading3"/>
      </w:pPr>
      <w:bookmarkStart w:id="24" w:name="中国证监会正式发布外商投资证券公司管理办法"/>
      <w:r>
        <w:t xml:space="preserve">中国证监会正式发布《外商投资证券公司管理办法》</w:t>
      </w:r>
      <w:bookmarkEnd w:id="24"/>
    </w:p>
    <w:p>
      <w:pPr>
        <w:pStyle w:val="FirstParagraph"/>
      </w:pPr>
      <w:r>
        <w:t xml:space="preserve">中国证监会日前正式发布《外商投资证券公司管理办法》（以下简称《办法》）。《办法》出台后，证监会相应更新证券公司设立审批等行政许可服务指南，符合条件的境外投资者可依照办法和服务指南的要求，依法报送合资证券公司的设立等申请。</w:t>
      </w:r>
    </w:p>
    <w:p>
      <w:pPr>
        <w:pStyle w:val="TextBody"/>
      </w:pPr>
      <w:r>
        <w:t xml:space="preserve">《办法》修订内容主要涉及5个方面：一是允许外资控股合资证券公司。合资证券公司的境内股东条件与其他证券公司的股东条件一致。二是逐步放开合资证券公司业务范围。允许新设合资证券公司根据自身情况，依法有序申请证券业务，初始业务范围需与控股股东或者第一大股东的证券业务经验相匹配。三是统一外资持有上市和非上市两类证券公司股权的比例。将全部境外投资者持有上市内资证券公司股份的比例调整为“应当符合国家关于证券业对外开放的安排”。四是完善境外股东条件。境外股东须为金融机构，且具有良好的国际声誉和经营业绩，近3年业务规模、收入、利润居于国际前列，近3年长期信用均保持在高水平。五是明确境内股东的实际控制人身份变更导致内资证券公司性质变更相关政策。</w:t>
      </w:r>
    </w:p>
    <w:p>
      <w:pPr>
        <w:pStyle w:val="TextBody"/>
      </w:pPr>
      <w:hyperlink r:id="rId25">
        <w:r>
          <w:rPr>
            <w:rStyle w:val="Hyperlink"/>
          </w:rPr>
          <w:t xml:space="preserve">http://www.gov.cn/xinwen/2018-04/30/content_5286974.htm</w:t>
        </w:r>
      </w:hyperlink>
    </w:p>
    <w:p>
      <w:pPr>
        <w:pStyle w:val="Heading3"/>
      </w:pPr>
      <w:bookmarkStart w:id="26" w:name="中国人民银行等三部门联合印发关于加强非金融企业投资金融机构监管的指导意见"/>
      <w:r>
        <w:t xml:space="preserve">中国人民银行等三部门联合印发《关于加强非金融企业投资金融机构监管的指导意见》</w:t>
      </w:r>
      <w:bookmarkEnd w:id="26"/>
    </w:p>
    <w:p>
      <w:pPr>
        <w:pStyle w:val="FirstParagraph"/>
      </w:pPr>
      <w:r>
        <w:t xml:space="preserve">为规范非金融企业投资金融机构行为，强化对非金融企业投资金融机构的监管，促进实业和金融业良性互动发展，中国人民银行、中国银行保险监督管理委员会、中国证券监督管理委员会日前联合印发《关于加强非金融企业投资金融机构监管的指导意见》（以下简称《指导意见》）。</w:t>
      </w:r>
    </w:p>
    <w:p>
      <w:pPr>
        <w:pStyle w:val="TextBody"/>
      </w:pPr>
      <w:r>
        <w:t xml:space="preserve">《指导意见》坚持规范市场秩序与激发市场活力并重，一方面，要求非金融企业依法依规投资金融机构，立足主业，审慎经营，隔离风险，避免盲目扩张和脱实向虚。另一方面，尊重各类产权，鼓励扎根于为实体经济服务的金融创新，让非金融企业和金融机构都能从真实合规的投资行为中受益，实现经济金融健康可持续发展。《指导意见》强化金融机构控股股东的资质要求，从正面清单和负面清单明确金融机构控股股东的具体条件，加强金融机构股权质押、转让和拍卖管理。规范非金融企业投资金融机构的资金来源，加强资本的真实性合规性监管。完善股权结构和公司治理，规范关联交易，健全风险隔离机制，防止滥用控制权，严禁不当干预金融机构经营。加强对非金融企业和金融机构的穿透监管，强化部门之间的监管协调和信息共享。</w:t>
      </w:r>
    </w:p>
    <w:p>
      <w:pPr>
        <w:pStyle w:val="TextBody"/>
      </w:pPr>
      <w:hyperlink r:id="rId27">
        <w:r>
          <w:rPr>
            <w:rStyle w:val="Hyperlink"/>
          </w:rPr>
          <w:t xml:space="preserve">http://www.chinaforex.com.cn/index.php/cms/item-view-id-46748.shtml</w:t>
        </w:r>
      </w:hyperlink>
    </w:p>
    <w:p>
      <w:pPr>
        <w:pStyle w:val="Heading3"/>
      </w:pPr>
      <w:bookmarkStart w:id="28" w:name="深圳证券交易所加强重点监控账户管理精准打击异常交易行为"/>
      <w:r>
        <w:t xml:space="preserve">深圳证券交易所加强重点监控账户管理，精准打击异常交易行为</w:t>
      </w:r>
      <w:bookmarkEnd w:id="28"/>
    </w:p>
    <w:p>
      <w:pPr>
        <w:pStyle w:val="FirstParagraph"/>
      </w:pPr>
      <w:r>
        <w:t xml:space="preserve">日前，深圳证券交易所正式发布了《关于加强重点监控账户管理工作的通知》（以下简称《通知》）。这是深交所在新形势下落实依法全面从严监管要求、推进建立“以监管会员为中心”交易行为监管模式、强化交易一线监管的又一重要举措。</w:t>
      </w:r>
    </w:p>
    <w:p>
      <w:pPr>
        <w:pStyle w:val="TextBody"/>
      </w:pPr>
      <w:r>
        <w:t xml:space="preserve">本次发布的《通知》主要从四个方面强化了重点监控账户管理制度：一是明确重点监控账户的认定情形。结合多年来市场监察工作经验，将发生严重异常交易行为或频繁发生异常交易行为的投资者证券账户纳入重点监控账户名单，并设置12个月的重点监控期。二是重点监控账户向全体会员发布。每月定期向会员发送名单，覆盖相关账户持有人名下所有证券账户，强化会员对重点监控账户的信息共享，进而消除重点监控账户持有人的监管套利空间。三是加强会员对重点监控账户的管理职责。要求会员与客户签订证券交易委托补充协议，同时采取重新核查、重点监控等一系列具体措施，进一步压实会员责任。四是对会员接受重点监控账户持有人新开账户提出更严格的管理要求。会员对重点监控账户持有人的新开账户申请须开展审慎评估，开立账户须经合规负责人签字确认，开户后须连续6个月提交月度报告。</w:t>
      </w:r>
    </w:p>
    <w:p>
      <w:pPr>
        <w:pStyle w:val="TextBody"/>
      </w:pPr>
      <w:hyperlink r:id="rId29">
        <w:r>
          <w:rPr>
            <w:rStyle w:val="Hyperlink"/>
          </w:rPr>
          <w:t xml:space="preserve">http://www.szse.cn/main/aboutus/bsyw/39779096.shtml</w:t>
        </w:r>
      </w:hyperlink>
    </w:p>
    <w:p>
      <w:pPr>
        <w:pStyle w:val="Heading2"/>
      </w:pPr>
      <w:bookmarkStart w:id="30" w:name="保险"/>
      <w:r>
        <w:t xml:space="preserve">保险</w:t>
      </w:r>
      <w:bookmarkEnd w:id="30"/>
    </w:p>
    <w:p>
      <w:pPr>
        <w:pStyle w:val="Heading3"/>
      </w:pPr>
      <w:bookmarkStart w:id="31" w:name="中国银保监会防范保险从业人员违规销售非保险金融产品"/>
      <w:r>
        <w:t xml:space="preserve">中国银保监会：防范保险从业人员违规销售非保险金融产品</w:t>
      </w:r>
      <w:bookmarkEnd w:id="31"/>
    </w:p>
    <w:p>
      <w:pPr>
        <w:pStyle w:val="FirstParagraph"/>
      </w:pPr>
      <w:r>
        <w:t xml:space="preserve">近日，中国银行保险监督管理委员会正式下发《关于防范保险从业人员违规销售非保险金融产品的风险提示》。银保监会表示，部分媒体报道了消费者遭遇保险从业人员违规销售非保险金融产品的情况。一些保险从业人员假借介绍保险产品名义，向消费者推销P2P等非保险金融产品，以“保本高收益”引诱消费者出资购买。</w:t>
      </w:r>
    </w:p>
    <w:p>
      <w:pPr>
        <w:pStyle w:val="TextBody"/>
      </w:pPr>
      <w:r>
        <w:t xml:space="preserve">针对上述现象，银保监会对广大金融消费者作出三点风险提示。一是要核实资质，提高自我保护意识。销售人员销售非保险金融产品前必须符合相应的资质要求。若有保险销售人员推荐非保险金融产品，建议消费者请提高警惕，查验相关资质。 二是细读合同，确认产品属性。建议消费者在签署合同时，一定要认真阅读保险合同内容，确认保险产品的细则条款和重要信息，防止以假乱真。投保后，可通过拨打保险公司统一客服电话、登录官方网站或者前往保险公司柜面等方式，查验保单真伪。三是理性消费，不受“保本高收益”迷惑。银保监会建议，消费者在购买金融产品时，应当了解投资风险与投资收益成正比，不要盲目相信推销人员“保本高收益”的承诺，根据实际需求和风险承受能力，通过正规销售渠道购买金融产品。</w:t>
      </w:r>
    </w:p>
    <w:p>
      <w:pPr>
        <w:pStyle w:val="TextBody"/>
      </w:pPr>
      <w:hyperlink r:id="rId32">
        <w:r>
          <w:rPr>
            <w:rStyle w:val="Hyperlink"/>
          </w:rPr>
          <w:t xml:space="preserve">http://xw.sinoins.com/2018-04/25/content_259988.htm</w:t>
        </w:r>
      </w:hyperlink>
    </w:p>
    <w:p>
      <w:pPr>
        <w:pStyle w:val="Heading2"/>
      </w:pPr>
      <w:bookmarkStart w:id="33" w:name="税收"/>
      <w:r>
        <w:t xml:space="preserve">税收</w:t>
      </w:r>
      <w:bookmarkEnd w:id="33"/>
    </w:p>
    <w:p>
      <w:pPr>
        <w:pStyle w:val="Heading3"/>
      </w:pPr>
      <w:bookmarkStart w:id="34" w:name="国家税务总局财政部两部门联合发布关于延续动漫产业增值税政策的通知"/>
      <w:r>
        <w:t xml:space="preserve">国家税务总局、财政部两部门联合发布《关于延续动漫产业增值税政策的通知》</w:t>
      </w:r>
      <w:bookmarkEnd w:id="34"/>
    </w:p>
    <w:p>
      <w:pPr>
        <w:pStyle w:val="FirstParagraph"/>
      </w:pPr>
      <w:r>
        <w:t xml:space="preserve">为促进中国动漫产业发展，继续实施动漫产业增值税政策，国家税务总局、财政部两部门联合正式发布《关于延续动漫产业增值税政策的通知》（以下简称《通知》）。</w:t>
      </w:r>
    </w:p>
    <w:p>
      <w:pPr>
        <w:pStyle w:val="TextBody"/>
      </w:pPr>
      <w:r>
        <w:t xml:space="preserve">《通知》指出，自2018年1月1日至2018年4月30日，对动漫企业增值税一般纳税人销售其自主开发生产的动漫软件，按照17%的税率征收增值税后，对其增值税实际税负超过3%的部分，实行即征即退政策。自2018年5月1日至2020年12月31日，对动漫企业增值税一般纳税人销售其自主开发生产的动漫软件，按照16%的税率征收增值税后，对其增值税实际税负超过3%的部分，实行即征即退政策。另外，动漫软件出口免征增值税。动漫企业和自主开发、生产动漫产品的认定标准和认定程序，按照《文化部、财政部、国家税务总局关于印发＜动漫企业认定管理办法（试行）＞的通知》的规定执行。</w:t>
      </w:r>
    </w:p>
    <w:p>
      <w:pPr>
        <w:pStyle w:val="TextBody"/>
      </w:pPr>
      <w:hyperlink r:id="rId35">
        <w:r>
          <w:rPr>
            <w:rStyle w:val="Hyperlink"/>
          </w:rPr>
          <w:t xml:space="preserve">http://www.gov.cn/xinwen/2018-05/03/content_5287619.htm</w:t>
        </w:r>
      </w:hyperlink>
    </w:p>
    <w:p>
      <w:pPr>
        <w:pStyle w:val="Heading2"/>
      </w:pPr>
      <w:bookmarkStart w:id="36" w:name="行业"/>
      <w:r>
        <w:t xml:space="preserve">行业</w:t>
      </w:r>
      <w:bookmarkEnd w:id="36"/>
    </w:p>
    <w:p>
      <w:pPr>
        <w:pStyle w:val="Heading3"/>
      </w:pPr>
      <w:bookmarkStart w:id="37" w:name="工业和信息化部发布关于移动通信转售业务正式商用的通告"/>
      <w:r>
        <w:t xml:space="preserve">工业和信息化部发布《关于移动通信转售业务正式商用的通告》</w:t>
      </w:r>
      <w:bookmarkEnd w:id="37"/>
    </w:p>
    <w:p>
      <w:pPr>
        <w:pStyle w:val="FirstParagraph"/>
      </w:pPr>
      <w:r>
        <w:t xml:space="preserve">为鼓励移动通信业务和服务创新，提升移动通信市场竞争层次和服务水平，工业和信息化部正式发布《关于移动通信转售业务正式商用的通告》（以下简称《通告》），决定自2018年5月1日起，将移动通信转售业务由试点转为正式商用。</w:t>
      </w:r>
    </w:p>
    <w:p>
      <w:pPr>
        <w:pStyle w:val="TextBody"/>
      </w:pPr>
      <w:r>
        <w:t xml:space="preserve">《通告》规定，在中华人民共和国境内依法设立的民营企业、国有企业、外商投资企业可以申请经营移动通信转售业务。 申请经营移动通信转售业务的企业，应当按照《中华人民共和国电信条例》、《外商投资电信企业管理规定》、《电信业务经营许可管理办法》等有关规定，向工业和信息化部或者省、自治区、直辖市通信管理局提交申请材料，申请相应电信业务经营许可证。申请经营移动通信转售业务的企业，还应提交与基础电信企业签订的商业合同。合同中应包括：合作地域范围、号码资源、批发价格、互联互通、日志留存、垃圾短信和骚扰电话治理、网络安全、实名登记、防范和打击通讯信息诈骗、用户权益和用户个人信息保护、履约保障、市场退出和用户善后等方面的内容。</w:t>
      </w:r>
    </w:p>
    <w:p>
      <w:pPr>
        <w:pStyle w:val="TextBody"/>
      </w:pPr>
      <w:hyperlink r:id="rId38">
        <w:r>
          <w:rPr>
            <w:rStyle w:val="Hyperlink"/>
          </w:rPr>
          <w:t xml:space="preserve">http://www.gov.cn/xinwen/2018-05/02/content_5287416.htm</w:t>
        </w:r>
      </w:hyperlink>
    </w:p>
    <w:p>
      <w:pPr>
        <w:pStyle w:val="Heading3"/>
      </w:pPr>
      <w:bookmarkStart w:id="39" w:name="李克强主持召开国务院常务会采取措施将企业开办和工程建设项目审批时间压减一半以上"/>
      <w:r>
        <w:t xml:space="preserve">李克强主持召开国务院常务会：采取措施将企业开办和工程建设项目审批时间压减一半以上</w:t>
      </w:r>
      <w:bookmarkEnd w:id="39"/>
    </w:p>
    <w:p>
      <w:pPr>
        <w:pStyle w:val="FirstParagraph"/>
      </w:pPr>
      <w:r>
        <w:t xml:space="preserve">国务院总理李克强2018年5月2日主持召开国务院常务会议，采取措施将企业开办时间和工程建设项目审批时间压减一半以上，进一步优化营商环境。</w:t>
      </w:r>
    </w:p>
    <w:p>
      <w:pPr>
        <w:pStyle w:val="TextBody"/>
      </w:pPr>
      <w:r>
        <w:t xml:space="preserve">会议指出，要解决营商环境中存在的企业开办和工程建设项目审批效率低、环节多、时间长等问题，有利于降低制度性交易成本、激发大众创业万众创新活力。会议确定，进一步简化企业从设立到具备一般性经营条件的办理环节。一是推行企业登记全程电子化，除特别规定外对企业名称不再实行预先核准。二是将公章刻制备案纳入“多证合一”事项，申请人可自选公章制作单位。三是对已领取加载统一社会信用代码营业执照的企业不再单独进行税务登记、不再单独核发社保登记证，压缩发票申领和参保登记时间。今年各直辖市、计划单列市、副省级城市和省会城市要将企业开办时间压缩一半以上，由目前平均20多个工作日减至8.5个工作日，其他地方也要积极压减企业开办时间，明年上半年在全国实现上述目标。</w:t>
      </w:r>
    </w:p>
    <w:p>
      <w:pPr>
        <w:pStyle w:val="TextBody"/>
      </w:pPr>
      <w:hyperlink r:id="rId40">
        <w:r>
          <w:rPr>
            <w:rStyle w:val="Hyperlink"/>
          </w:rPr>
          <w:t xml:space="preserve">http://www.gov.cn/premier/2018-05/02/content_5287503.htm</w:t>
        </w:r>
      </w:hyperlink>
    </w:p>
    <w:p>
      <w:pPr>
        <w:pStyle w:val="Heading3"/>
      </w:pPr>
      <w:bookmarkStart w:id="41" w:name="工信部推动移动终端全面支持ipv6"/>
      <w:r>
        <w:t xml:space="preserve">工信部：推动移动终端全面支持IPv6</w:t>
      </w:r>
      <w:bookmarkEnd w:id="41"/>
    </w:p>
    <w:p>
      <w:pPr>
        <w:pStyle w:val="FirstParagraph"/>
      </w:pPr>
      <w:r>
        <w:t xml:space="preserve">2018年5月2日，工信部网站发布了《关于贯彻落实的通知》（以下简称《通知》），通知鼓励典型行业、重点工业企业开展工业互联网IPv6网络化改造，创新工业互联网应用实践，构建工业互联网IPv6标准体系。</w:t>
      </w:r>
    </w:p>
    <w:p>
      <w:pPr>
        <w:pStyle w:val="TextBody"/>
      </w:pPr>
      <w:r>
        <w:t xml:space="preserve">IPv6是IP地址的第六版协议，是由国际互联网标准化组织IETF设计的用于替代现行版本IPv4的下一代互联网核心协议，其最大优点可提供数量庞大的IP地址，号称可以为全世界每一粒沙子编上一个网址。《通知》提出，到2018年末，基础电信企业完成全国范围LTE核心网、接入网、承载网、业务运营支撑系统等IPv6改造并开启IPv6业务承载功能，为移动终端用户数据业务分配IPv6地址，提供端到端的IPv6访问通道；基础电信企业完成门户网站、网上营业厅网站IPv6改造，并完成活跃用户规模排名前10位的自营移动互联网应用（APP）及相应系统服务器IPv6升级改造等，到2018年末，移动互联网IPv6用户规模不少于5000万户。</w:t>
      </w:r>
    </w:p>
    <w:p>
      <w:pPr>
        <w:pStyle w:val="TextBody"/>
      </w:pPr>
      <w:hyperlink r:id="rId42">
        <w:r>
          <w:rPr>
            <w:rStyle w:val="Hyperlink"/>
          </w:rPr>
          <w:t xml:space="preserve">http://www.chinaforex.com.cn/index.php/cms/item-view-id-46759.shtml</w:t>
        </w:r>
      </w:hyperlink>
    </w:p>
    <w:p>
      <w:pPr>
        <w:pStyle w:val="Heading3"/>
      </w:pPr>
      <w:bookmarkStart w:id="43" w:name="财政部公布关于进一步加强政府和社会资本合作ppp示范项目规范管理的通知"/>
      <w:r>
        <w:t xml:space="preserve">财政部公布《关于进一步加强政府和社会资本合作（PPP）示范项目规范管理的通知》</w:t>
      </w:r>
      <w:bookmarkEnd w:id="43"/>
    </w:p>
    <w:p>
      <w:pPr>
        <w:pStyle w:val="FirstParagraph"/>
      </w:pPr>
      <w:r>
        <w:t xml:space="preserve">日前，示范项目清理结果率先出炉，财政部公布《关于进一步加强政府和社会资本合作（PPP）示范项目规范管理的通知》（财金〔2018〕54号）（以下简称“54号文”），对核查存在问题的173个示范项目分类进行处置，涉及总投资为6703亿元。</w:t>
      </w:r>
    </w:p>
    <w:p>
      <w:pPr>
        <w:pStyle w:val="TextBody"/>
      </w:pPr>
      <w:r>
        <w:t xml:space="preserve">54号文首先公布示范项目的相关处置。对核查存在问题的173个示范项目分类进行处置：将不再继续采用PPP模式实施的包头市立体交通综合枢纽及综合旅游公路等30个项目，调出示范项目名单，并清退出全国PPP综合信息平台项目库。值得关注的是，54号文要求，将尚未完成社会资本方采购或项目实施发生重大变化的北京市丰台区河西第三水厂等54个项目（总投资额为1585亿元）调出示范项目名单，保留在项目库，继续采用PPP模式实施。54号文重申要求，不得突破10%红线新上项目，专家意见缺失或造假、测算依据不统一、数据口径不一致、仅测算单个项目支出责任等现象。</w:t>
      </w:r>
    </w:p>
    <w:p>
      <w:pPr>
        <w:pStyle w:val="TextBody"/>
      </w:pPr>
      <w:hyperlink r:id="rId44">
        <w:r>
          <w:rPr>
            <w:rStyle w:val="Hyperlink"/>
          </w:rPr>
          <w:t xml:space="preserve">http://www.chinaforex.com.cn/index.php/cms/item-view-id-46754.shtml</w:t>
        </w:r>
      </w:hyperlink>
    </w:p>
    <w:p>
      <w:pPr>
        <w:pStyle w:val="Heading3"/>
      </w:pPr>
      <w:bookmarkStart w:id="45" w:name="江苏省出台18条举措促供应链创新"/>
      <w:r>
        <w:t xml:space="preserve">江苏省出台18条举措，促供应链创新</w:t>
      </w:r>
      <w:bookmarkEnd w:id="45"/>
    </w:p>
    <w:p>
      <w:pPr>
        <w:pStyle w:val="FirstParagraph"/>
      </w:pPr>
      <w:r>
        <w:t xml:space="preserve">江苏省政府办公厅近日发布《关于推进供应链创新与应用培育经济增长新动能的实施意见》（以下简称《实施意见》）。</w:t>
      </w:r>
    </w:p>
    <w:p>
      <w:pPr>
        <w:pStyle w:val="TextBody"/>
      </w:pPr>
      <w:r>
        <w:t xml:space="preserve">《意见》提出18条重点措施，包括：以供应链创新促进我省优势产业发展，推进制造业协同化、智能化，发展基于供应链的生产性服务业，提升我省建筑业竞争优势，加快供应链技术的创新和应用；提升流通现代化水平，推动流通业创新和转型，推进流通与生产深度融合，提升供应链服务实体经济水平；推动农村产业融合发展，优化农村产业组织体系，加强农业支撑体系建设，大力发展农村电子商务； 积极稳妥发展供应链金融，推进供应链金融服务实体经济，有效防范供应链金融风险；积极倡导绿色供应链，推动绿色制造，推行绿色流通，建立逆向物流体系；努力构建全球供应链，积极参与国家“一带一路”建设，积极融入全球供应链网络，提升供应链全球竞争力。</w:t>
      </w:r>
    </w:p>
    <w:p>
      <w:pPr>
        <w:pStyle w:val="TextBody"/>
      </w:pPr>
      <w:hyperlink r:id="rId46">
        <w:r>
          <w:rPr>
            <w:rStyle w:val="Hyperlink"/>
          </w:rPr>
          <w:t xml:space="preserve">http://www.gov.cn/xinwen/2018-05/02/content_5287399.htm</w:t>
        </w:r>
      </w:hyperlink>
    </w:p>
    <w:p>
      <w:pPr>
        <w:pStyle w:val="Heading2"/>
      </w:pPr>
      <w:bookmarkStart w:id="47" w:name="并购"/>
      <w:r>
        <w:t xml:space="preserve">并购</w:t>
      </w:r>
      <w:bookmarkEnd w:id="47"/>
    </w:p>
    <w:p>
      <w:pPr>
        <w:pStyle w:val="Heading3"/>
      </w:pPr>
      <w:bookmarkStart w:id="48" w:name="科锐国际收购英国领先招聘公司investigo正式进军欧洲市场"/>
      <w:r>
        <w:t xml:space="preserve">科锐国际收购英国领先招聘公司Investigo，正式进军欧洲市场</w:t>
      </w:r>
      <w:bookmarkEnd w:id="48"/>
    </w:p>
    <w:p>
      <w:pPr>
        <w:pStyle w:val="FirstParagraph"/>
      </w:pPr>
      <w:r>
        <w:t xml:space="preserve">近日，科锐国际发布公告，拟以2200万英镑收购英国领先招聘服务供应商Investigo公司52.5%的股权，正式进军欧洲人力资源市场。</w:t>
      </w:r>
    </w:p>
    <w:p>
      <w:pPr>
        <w:pStyle w:val="TextBody"/>
      </w:pPr>
      <w:r>
        <w:t xml:space="preserve">Investigo成立于2003年，是一家专注于会计、金融、银行、战略、房地产、人力等领域招聘的人力资源服务企业，总部位于英国伦敦，并在英国多地及美国纽约设有分支机构，目前为英国、欧洲的蓝筹企业以及中小企业提供中高端人才访寻和灵活用工服务。通过本次收购，Investigo将成为科锐国际旗下控股子公司，双方将在客户资源、客户服务能力、产品研发、管理模式、品牌等方面形成优势互补，并充分发挥协同效应，形成全球范围内的高效网络及运营体系，更好服务于国际化进程中的中外企业。同时，作为中国人力资源服务行业的标杆，科锐国际也借此快速完善自身国际化布局，提升国际竞争力，从而发挥行业引领，为中国的人力资本行业率先打造出全球化视角的人力资源服务体系。</w:t>
      </w:r>
    </w:p>
    <w:p>
      <w:pPr>
        <w:pStyle w:val="TextBody"/>
      </w:pPr>
      <w:hyperlink r:id="rId49">
        <w:r>
          <w:rPr>
            <w:rStyle w:val="Hyperlink"/>
          </w:rPr>
          <w:t xml:space="preserve">http://company.stcn.com/2018/0427/14185910.shtml</w:t>
        </w:r>
      </w:hyperlink>
    </w:p>
    <w:p>
      <w:pPr>
        <w:pStyle w:val="Heading3"/>
      </w:pPr>
      <w:bookmarkStart w:id="50" w:name="中珠医疗拟30亿现金收购2公司股权延伸医疗产业链"/>
      <w:r>
        <w:t xml:space="preserve">中珠医疗拟30亿现金收购2公司股权，延伸医疗产业链</w:t>
      </w:r>
      <w:bookmarkEnd w:id="50"/>
    </w:p>
    <w:p>
      <w:pPr>
        <w:pStyle w:val="FirstParagraph"/>
      </w:pPr>
      <w:r>
        <w:t xml:space="preserve">近日，中珠医疗披露的重大资产购买预案显示，拟以支付现金的方式购买新三板挂牌企业康泽药业74.53%股权以及浙江爱德100%股权，前者预估作价区间为18.33亿元 - 20.12亿元之间，后者预估作价为12.16亿元。</w:t>
      </w:r>
    </w:p>
    <w:p>
      <w:pPr>
        <w:pStyle w:val="TextBody"/>
      </w:pPr>
      <w:r>
        <w:t xml:space="preserve">此前，中珠医疗就确定了有计划、有步骤、有选择地并购整合互补性强、上下游关联度高的药品生产流通企业或医疗机构的计划，以期不断加大对医疗医药板块各项业务的推进力度，加快医疗医药板块发展步伐。对于此次收购，中珠医疗表示，通过收购康泽药业74.53%股份和浙江爱德100%股权，上市公司将实现在医疗医药产业链的整体发展规划和统一战略部署，实现产业协同效应，同时不断丰富自身盈利模式。</w:t>
      </w:r>
    </w:p>
    <w:p>
      <w:pPr>
        <w:pStyle w:val="TextBody"/>
      </w:pPr>
      <w:hyperlink r:id="rId51">
        <w:r>
          <w:rPr>
            <w:rStyle w:val="Hyperlink"/>
          </w:rPr>
          <w:t xml:space="preserve">http://company.stcn.com/2018/0428/14190619.shtml</w:t>
        </w:r>
      </w:hyperlink>
    </w:p>
    <w:p>
      <w:pPr>
        <w:pStyle w:val="Heading3"/>
      </w:pPr>
      <w:bookmarkStart w:id="52" w:name="瀚叶股份拟38亿元收购量子云100股权"/>
      <w:r>
        <w:t xml:space="preserve">瀚叶股份拟38亿元收购量子云100%股权</w:t>
      </w:r>
      <w:bookmarkEnd w:id="52"/>
    </w:p>
    <w:p>
      <w:pPr>
        <w:pStyle w:val="FirstParagraph"/>
      </w:pPr>
      <w:r>
        <w:t xml:space="preserve">近日，停牌近5个月的瀚叶股份发布重组预案，公司拟向浆果晨曦、纪卫宁、绩优投资、绩优悦泉、众晖铭行等交易对方发行股份及支付现金购买其合计持有的量子云100%股权，标的资产作价38亿元，其中，以现金方式支付9.5亿元，以发行股份方式支付28.5亿元。</w:t>
      </w:r>
    </w:p>
    <w:p>
      <w:pPr>
        <w:pStyle w:val="TextBody"/>
      </w:pPr>
      <w:r>
        <w:t xml:space="preserve">据了解，量子云是一家依托“微信生态圈”，专注于移动互联网流量聚集、运营及变现的新媒体公司。瀚叶股份表示，公司在梳理原有主业的基础上，探索新的利润增长点。2017年3月，公司完成炎龙科技100%股权收购，切入网络游戏行业，并以此契机布局影视剧制作、综艺节目制作及艺术教育培训等文化娱乐相关业务。本次交易完成后，公司将增加移动互联网推广业务及腾讯社交广告业务。公司将推进营销渠道和业务资源的整合，围绕互联网流量资源和运营能力，运用大数据等技术深度挖掘用户价值，为用户提供更加丰富的、定制化的文化娱乐服务，实现主营业务的协同发展。</w:t>
      </w:r>
    </w:p>
    <w:p>
      <w:pPr>
        <w:pStyle w:val="TextBody"/>
      </w:pPr>
      <w:hyperlink r:id="rId53">
        <w:r>
          <w:rPr>
            <w:rStyle w:val="Hyperlink"/>
          </w:rPr>
          <w:t xml:space="preserve">http://company.stcn.com/2018/0427/14181495.shtml</w:t>
        </w:r>
      </w:hyperlink>
    </w:p>
    <w:p>
      <w:pPr>
        <w:pStyle w:val="Heading3"/>
      </w:pPr>
      <w:bookmarkStart w:id="54" w:name="纵横通信拟收购多麦股份100股权"/>
      <w:r>
        <w:t xml:space="preserve">纵横通信拟收购多麦股份100%股权</w:t>
      </w:r>
      <w:bookmarkEnd w:id="54"/>
    </w:p>
    <w:p>
      <w:pPr>
        <w:pStyle w:val="FirstParagraph"/>
      </w:pPr>
      <w:r>
        <w:t xml:space="preserve">近日，多麦股份公告称，公司股东徐彩俊、杭州麦融投资管理合伙企业（有限合伙）、陈瑞贵、周艳娥和吴文龙与上市公司纵横通信签署了《投资意向书》，纵横通信拟以发行股份或法律法规允许的其他方式购买多麦股份100%的股权，交易定价以纵横通信聘请的评估机构出具的评估报告结果为定价依据协商确定。意向书签署之日起五个工作日内，纵横通信向多麦股东方支付8000万元人民币作为购买意向金。</w:t>
      </w:r>
    </w:p>
    <w:p>
      <w:pPr>
        <w:pStyle w:val="TextBody"/>
      </w:pPr>
      <w:r>
        <w:t xml:space="preserve">纵横通信则主要从事针对大型公共设施、通信基站、住宅和商业建筑、交通网络等多种物理建筑及通信设施，提供移动通信技术和无线互联技术的系统解决方案和组网应用服务；多麦股份成立于2010年8月，公司系为客户提供基于网站联盟的互联网效果营销服务企业。 主要为品牌电商企业或正在快速崛起的电商企业，包括综合性B2C商城、垂直商城提供包括营销活动策划、媒体精准投放、广告创意设计制作、广告投放中技术监测、数据统计、数据分析流量等专业网络效果营销服务。</w:t>
      </w:r>
    </w:p>
    <w:p>
      <w:pPr>
        <w:pStyle w:val="TextBody"/>
      </w:pPr>
      <w:hyperlink r:id="rId55">
        <w:r>
          <w:rPr>
            <w:rStyle w:val="Hyperlink"/>
          </w:rPr>
          <w:t xml:space="preserve">http://sanban.stcn.com/2018/0427/14181066.shtml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- 2018年5月4日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7fbc66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3" Type="http://schemas.openxmlformats.org/officeDocument/2006/relationships/hyperlink" Target="http://company.stcn.com/2018/0427/14181495.shtml" TargetMode="External"/><Relationship Id="rId49" Type="http://schemas.openxmlformats.org/officeDocument/2006/relationships/hyperlink" Target="http://company.stcn.com/2018/0427/14185910.shtml" TargetMode="External"/><Relationship Id="rId51" Type="http://schemas.openxmlformats.org/officeDocument/2006/relationships/hyperlink" Target="http://company.stcn.com/2018/0428/14190619.shtml" TargetMode="External"/><Relationship Id="rId55" Type="http://schemas.openxmlformats.org/officeDocument/2006/relationships/hyperlink" Target="http://sanban.stcn.com/2018/0427/14181066.shtml" TargetMode="External"/><Relationship Id="rId27" Type="http://schemas.openxmlformats.org/officeDocument/2006/relationships/hyperlink" Target="http://www.chinaforex.com.cn/index.php/cms/item-view-id-46748.shtml" TargetMode="External"/><Relationship Id="rId44" Type="http://schemas.openxmlformats.org/officeDocument/2006/relationships/hyperlink" Target="http://www.chinaforex.com.cn/index.php/cms/item-view-id-46754.shtml" TargetMode="External"/><Relationship Id="rId42" Type="http://schemas.openxmlformats.org/officeDocument/2006/relationships/hyperlink" Target="http://www.chinaforex.com.cn/index.php/cms/item-view-id-46759.shtml" TargetMode="External"/><Relationship Id="rId40" Type="http://schemas.openxmlformats.org/officeDocument/2006/relationships/hyperlink" Target="http://www.gov.cn/premier/2018-05/02/content_5287503.htm" TargetMode="External"/><Relationship Id="rId25" Type="http://schemas.openxmlformats.org/officeDocument/2006/relationships/hyperlink" Target="http://www.gov.cn/xinwen/2018-04/30/content_5286974.htm" TargetMode="External"/><Relationship Id="rId46" Type="http://schemas.openxmlformats.org/officeDocument/2006/relationships/hyperlink" Target="http://www.gov.cn/xinwen/2018-05/02/content_5287399.htm" TargetMode="External"/><Relationship Id="rId38" Type="http://schemas.openxmlformats.org/officeDocument/2006/relationships/hyperlink" Target="http://www.gov.cn/xinwen/2018-05/02/content_5287416.htm" TargetMode="External"/><Relationship Id="rId35" Type="http://schemas.openxmlformats.org/officeDocument/2006/relationships/hyperlink" Target="http://www.gov.cn/xinwen/2018-05/03/content_5287619.htm" TargetMode="External"/><Relationship Id="rId23" Type="http://schemas.openxmlformats.org/officeDocument/2006/relationships/hyperlink" Target="http://www.legaldaily.com.cn/Finance_and_Economics/content/2018-04/28/content_7532906.htm?node=76109" TargetMode="External"/><Relationship Id="rId29" Type="http://schemas.openxmlformats.org/officeDocument/2006/relationships/hyperlink" Target="http://www.szse.cn/main/aboutus/bsyw/39779096.shtml" TargetMode="External"/><Relationship Id="rId32" Type="http://schemas.openxmlformats.org/officeDocument/2006/relationships/hyperlink" Target="http://xw.sinoins.com/2018-04/25/content_259988.htm" TargetMode="External"/><Relationship Id="rId9" Type="http://schemas.openxmlformats.org/officeDocument/2006/relationships/hyperlink" Target="http://www.charltonslaw.com.cn/zhong-guo-ren-min-yin-hang-deng-si-bu-men-lian-he-yin-fa-guan-yu-gui-fan-jin-rong-ji-gou-zi-chan-guan-li-ye-wu-de-zhi-dao-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8/0427/14181495.shtml" TargetMode="External"/><Relationship Id="rId49" Type="http://schemas.openxmlformats.org/officeDocument/2006/relationships/hyperlink" Target="http://company.stcn.com/2018/0427/14185910.shtml" TargetMode="External"/><Relationship Id="rId51" Type="http://schemas.openxmlformats.org/officeDocument/2006/relationships/hyperlink" Target="http://company.stcn.com/2018/0428/14190619.shtml" TargetMode="External"/><Relationship Id="rId55" Type="http://schemas.openxmlformats.org/officeDocument/2006/relationships/hyperlink" Target="http://sanban.stcn.com/2018/0427/14181066.shtml" TargetMode="External"/><Relationship Id="rId27" Type="http://schemas.openxmlformats.org/officeDocument/2006/relationships/hyperlink" Target="http://www.chinaforex.com.cn/index.php/cms/item-view-id-46748.shtml" TargetMode="External"/><Relationship Id="rId44" Type="http://schemas.openxmlformats.org/officeDocument/2006/relationships/hyperlink" Target="http://www.chinaforex.com.cn/index.php/cms/item-view-id-46754.shtml" TargetMode="External"/><Relationship Id="rId42" Type="http://schemas.openxmlformats.org/officeDocument/2006/relationships/hyperlink" Target="http://www.chinaforex.com.cn/index.php/cms/item-view-id-46759.shtml" TargetMode="External"/><Relationship Id="rId40" Type="http://schemas.openxmlformats.org/officeDocument/2006/relationships/hyperlink" Target="http://www.gov.cn/premier/2018-05/02/content_5287503.htm" TargetMode="External"/><Relationship Id="rId25" Type="http://schemas.openxmlformats.org/officeDocument/2006/relationships/hyperlink" Target="http://www.gov.cn/xinwen/2018-04/30/content_5286974.htm" TargetMode="External"/><Relationship Id="rId46" Type="http://schemas.openxmlformats.org/officeDocument/2006/relationships/hyperlink" Target="http://www.gov.cn/xinwen/2018-05/02/content_5287399.htm" TargetMode="External"/><Relationship Id="rId38" Type="http://schemas.openxmlformats.org/officeDocument/2006/relationships/hyperlink" Target="http://www.gov.cn/xinwen/2018-05/02/content_5287416.htm" TargetMode="External"/><Relationship Id="rId35" Type="http://schemas.openxmlformats.org/officeDocument/2006/relationships/hyperlink" Target="http://www.gov.cn/xinwen/2018-05/03/content_5287619.htm" TargetMode="External"/><Relationship Id="rId23" Type="http://schemas.openxmlformats.org/officeDocument/2006/relationships/hyperlink" Target="http://www.legaldaily.com.cn/Finance_and_Economics/content/2018-04/28/content_7532906.htm?node=76109" TargetMode="External"/><Relationship Id="rId29" Type="http://schemas.openxmlformats.org/officeDocument/2006/relationships/hyperlink" Target="http://www.szse.cn/main/aboutus/bsyw/39779096.shtml" TargetMode="External"/><Relationship Id="rId32" Type="http://schemas.openxmlformats.org/officeDocument/2006/relationships/hyperlink" Target="http://xw.sinoins.com/2018-04/25/content_25998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2018-05-04T03:55:19Z</dcterms:created>
  <dcterms:modified xsi:type="dcterms:W3CDTF">2018-05-04T03:55:19Z</dcterms:modified>
</cp:coreProperties>
</file>