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4FC" w:rsidRDefault="000160A2">
      <w:pPr>
        <w:pStyle w:val="BlackStrips"/>
        <w:rPr>
          <w:lang w:eastAsia="zh-CN"/>
        </w:rPr>
      </w:pPr>
      <w:r>
        <w:rPr>
          <w:lang w:eastAsia="zh-CN"/>
        </w:rPr>
        <w:t>Charltons - 法讯 - 中国 - 2018年5月2</w:t>
      </w:r>
      <w:r w:rsidR="004D198D">
        <w:rPr>
          <w:rFonts w:eastAsiaTheme="minorEastAsia" w:hint="eastAsia"/>
          <w:lang w:eastAsia="zh-CN"/>
        </w:rPr>
        <w:t>8</w:t>
      </w:r>
      <w:r>
        <w:rPr>
          <w:lang w:eastAsia="zh-CN"/>
        </w:rPr>
        <w:t>日</w:t>
      </w:r>
    </w:p>
    <w:p w:rsidR="00F634FC" w:rsidRDefault="004D198D">
      <w:pPr>
        <w:pStyle w:val="ReadOnline"/>
        <w:rPr>
          <w:lang w:eastAsia="zh-CN"/>
        </w:rPr>
      </w:pPr>
      <w:hyperlink r:id="rId8">
        <w:proofErr w:type="gramStart"/>
        <w:r w:rsidR="000160A2">
          <w:rPr>
            <w:lang w:eastAsia="zh-CN"/>
          </w:rPr>
          <w:t>online</w:t>
        </w:r>
        <w:proofErr w:type="gramEnd"/>
        <w:r w:rsidR="000160A2">
          <w:rPr>
            <w:lang w:eastAsia="zh-CN"/>
          </w:rPr>
          <w:t xml:space="preserve"> version</w:t>
        </w:r>
      </w:hyperlink>
    </w:p>
    <w:p w:rsidR="00F634FC" w:rsidRDefault="000160A2">
      <w:pPr>
        <w:pStyle w:val="Title"/>
        <w:rPr>
          <w:lang w:eastAsia="zh-CN"/>
        </w:rPr>
      </w:pPr>
      <w:r>
        <w:rPr>
          <w:lang w:eastAsia="zh-CN"/>
        </w:rPr>
        <w:t>银保监会发布《银行业金融机构数据治理指引》</w:t>
      </w:r>
    </w:p>
    <w:p w:rsidR="00F634FC" w:rsidRDefault="000160A2">
      <w:pPr>
        <w:pStyle w:val="Heading2"/>
        <w:rPr>
          <w:lang w:eastAsia="zh-CN"/>
        </w:rPr>
      </w:pPr>
      <w:bookmarkStart w:id="0" w:name="资本市场"/>
      <w:r>
        <w:rPr>
          <w:lang w:eastAsia="zh-CN"/>
        </w:rPr>
        <w:t>资本市场</w:t>
      </w:r>
      <w:bookmarkEnd w:id="0"/>
    </w:p>
    <w:p w:rsidR="00F634FC" w:rsidRDefault="000160A2">
      <w:pPr>
        <w:pStyle w:val="Heading3"/>
        <w:rPr>
          <w:lang w:eastAsia="zh-CN"/>
        </w:rPr>
      </w:pPr>
      <w:bookmarkStart w:id="1" w:name="银保监会发布银行业金融机构数据治理指引"/>
      <w:r>
        <w:rPr>
          <w:lang w:eastAsia="zh-CN"/>
        </w:rPr>
        <w:t>银保监会发布《银行业金融机构数据治理指引》</w:t>
      </w:r>
      <w:bookmarkEnd w:id="1"/>
    </w:p>
    <w:p w:rsidR="00F634FC" w:rsidRDefault="000160A2">
      <w:pPr>
        <w:pStyle w:val="FirstParagraph"/>
        <w:rPr>
          <w:lang w:eastAsia="zh-CN"/>
        </w:rPr>
      </w:pPr>
      <w:r>
        <w:rPr>
          <w:lang w:eastAsia="zh-CN"/>
        </w:rPr>
        <w:t>为引导银行业金融机构加强数据治理，提高数据质量，充分发挥数据价值，提升经营管理水平，银保监会近日发布了《银行业金融机构数据治理指引》（以下简称《指引》）。《指引》指出，银行业金融机构采集、应用数据涉及到个人信息的，应遵循国家个人信息保护法律法规要求，符合与个人信息安全相关的国家标准。</w:t>
      </w:r>
    </w:p>
    <w:p w:rsidR="00F634FC" w:rsidRDefault="000160A2">
      <w:pPr>
        <w:pStyle w:val="BodyText"/>
        <w:rPr>
          <w:lang w:eastAsia="zh-CN"/>
        </w:rPr>
      </w:pPr>
      <w:r>
        <w:rPr>
          <w:lang w:eastAsia="zh-CN"/>
        </w:rPr>
        <w:t>《指引》明确了数据治理架构，要求确保数据治理资源充足配置，明确董事会、监事会和高管层等的职责分工，提出可结合实际情况设立首席数据官。明确牵头部门和业务部门职责，对岗位设置、团队建设和数据文化建设等提出了要求。《指引》提出数据管理主要方面的要求，并明确提出建立自我评估机制，建立问责和激励机制，确保数据管理高效运行。全面强化数据质量要求，建立数据质量控制机制，确保数据的真实性、准确性、连续性、完整性和及时性。《指引》还明确监管数据应纳入数据治理范畴，并在相关条款中提出具体要求。</w:t>
      </w:r>
    </w:p>
    <w:p w:rsidR="00F634FC" w:rsidRDefault="004D198D">
      <w:pPr>
        <w:pStyle w:val="BodyText"/>
      </w:pPr>
      <w:hyperlink r:id="rId9">
        <w:r w:rsidR="000160A2">
          <w:t>http://news.jcrb.com/jxsw/201805/t20180524_1870155.html</w:t>
        </w:r>
      </w:hyperlink>
    </w:p>
    <w:p w:rsidR="00F634FC" w:rsidRDefault="000160A2">
      <w:pPr>
        <w:pStyle w:val="Heading3"/>
        <w:rPr>
          <w:lang w:eastAsia="zh-CN"/>
        </w:rPr>
      </w:pPr>
      <w:bookmarkStart w:id="2" w:name="国务院国资委财政部证监会对外联合发布上市公司国有股权监督管理办法"/>
      <w:r>
        <w:rPr>
          <w:lang w:eastAsia="zh-CN"/>
        </w:rPr>
        <w:t>国务院国资委、财政部、证监会对外联合发布《上市公司国有股权监督管理办法》</w:t>
      </w:r>
      <w:bookmarkEnd w:id="2"/>
    </w:p>
    <w:p w:rsidR="00F634FC" w:rsidRDefault="000160A2">
      <w:pPr>
        <w:pStyle w:val="FirstParagraph"/>
        <w:rPr>
          <w:lang w:eastAsia="zh-CN"/>
        </w:rPr>
      </w:pPr>
      <w:r>
        <w:rPr>
          <w:lang w:eastAsia="zh-CN"/>
        </w:rPr>
        <w:t>近日，国务院国资委、财政部、证监会对外联合发布《上市公司国有股权监督管理办法》（以下简称《办法》）。《办法》将与2016年出台的《企业国有资产交易监督管理办法》共同构成覆盖上市公司国有股权和非上市公司国有产权，较为完整的企业国有资产交易监管制度体系。</w:t>
      </w:r>
    </w:p>
    <w:p w:rsidR="00F634FC" w:rsidRDefault="000160A2">
      <w:pPr>
        <w:pStyle w:val="BodyText"/>
        <w:rPr>
          <w:lang w:eastAsia="zh-CN"/>
        </w:rPr>
      </w:pPr>
      <w:r>
        <w:rPr>
          <w:lang w:eastAsia="zh-CN"/>
        </w:rPr>
        <w:t>《办法》主要将实现四项功能。一是统一制度、统一规则。将原分散在部门规章、规范性文件中的相关规定进行整合集中，并对上市公司国有股权变动行为类型进行补充完善，修订形成了统一的部门规章，既提高了制度的集中性和权威性，又方便企业执行。二是严格国有资产分级监管。此前，涉及国有股东转让上市公司股份事项由国务院国有资产监督管理机构统一负责审核。三是合理设置管理权限。《办法》将企业内部事项，以及一定比例或数量范围内的公开征集转让、发行证券等部分事项交由国家出资企业负责。 四是调整完善部分规则。保持和证券监管规则协调一致，减少重复规定，如上市公司发行证券定价、受让上市公司股份成为控股股东的资格条件等证券监管已有明确规定的事项，《办法》不再作出规定。</w:t>
      </w:r>
    </w:p>
    <w:p w:rsidR="00F634FC" w:rsidRDefault="004D198D">
      <w:pPr>
        <w:pStyle w:val="BodyText"/>
      </w:pPr>
      <w:hyperlink r:id="rId10">
        <w:r w:rsidR="000160A2">
          <w:t>http://politics.people.com.cn/n1/2018/0519/c1001-30000177.html</w:t>
        </w:r>
      </w:hyperlink>
    </w:p>
    <w:p w:rsidR="00F634FC" w:rsidRDefault="000160A2">
      <w:pPr>
        <w:pStyle w:val="Heading3"/>
        <w:rPr>
          <w:lang w:eastAsia="zh-CN"/>
        </w:rPr>
      </w:pPr>
      <w:bookmarkStart w:id="3" w:name="发改委和财政部联合发文防范企业境外融资风险和地方债务风险"/>
      <w:r>
        <w:rPr>
          <w:lang w:eastAsia="zh-CN"/>
        </w:rPr>
        <w:t>发改委和财政部联合发文防范企业境外融资风险和地方债务风险</w:t>
      </w:r>
      <w:bookmarkEnd w:id="3"/>
    </w:p>
    <w:p w:rsidR="00F634FC" w:rsidRDefault="000160A2">
      <w:pPr>
        <w:pStyle w:val="FirstParagraph"/>
        <w:rPr>
          <w:lang w:eastAsia="zh-CN"/>
        </w:rPr>
      </w:pPr>
      <w:r>
        <w:rPr>
          <w:lang w:eastAsia="zh-CN"/>
        </w:rPr>
        <w:t>日前，发改委和财政部联合印发《关于完善市场约束机制严格防范外债风险和地方债务风险的通知》（以下简称《通知》）。</w:t>
      </w:r>
    </w:p>
    <w:p w:rsidR="00F634FC" w:rsidRDefault="000160A2">
      <w:pPr>
        <w:pStyle w:val="BodyText"/>
        <w:rPr>
          <w:lang w:eastAsia="zh-CN"/>
        </w:rPr>
      </w:pPr>
      <w:r>
        <w:rPr>
          <w:lang w:eastAsia="zh-CN"/>
        </w:rPr>
        <w:t>《通知》明确，拟举借中长期外债企业（含金融机构）要实现实体化运营，依法合规开展市场化融资，充分论证发行外债的必要性、可行性、经济性和财务可持续性，同时依托自身资信状况制定外债本息偿付计划，落实偿债保障措施。严禁企业以各种名义要求或接受地方政府及其所属部门为其市场化融资行为提供担保或承担偿债责任，切实做到“谁用谁借、谁借谁还、审慎决策、风险自担”。《通知》强调，拟举借中长期外债企业要建立健全规范的公司治理结构、管理决策机制</w:t>
      </w:r>
      <w:r>
        <w:rPr>
          <w:lang w:eastAsia="zh-CN"/>
        </w:rPr>
        <w:lastRenderedPageBreak/>
        <w:t>和财务管理制度。申报企业拥有的资产应当质量优良、权属清晰，严禁将公立学校、公立医院、公共文化设施、公园、公共广场、机关事业单位办公楼、市政道路、非收费桥梁、非经营性水利设施、非收费管网设施等公益性资产及储备土地使用权计入企业资产。</w:t>
      </w:r>
    </w:p>
    <w:p w:rsidR="00F634FC" w:rsidRDefault="004D198D">
      <w:pPr>
        <w:pStyle w:val="BodyText"/>
      </w:pPr>
      <w:hyperlink r:id="rId11">
        <w:r w:rsidR="000160A2">
          <w:t>http://www.xinhuanet.com/fortune/2018-05/18/c_1122850453.htm</w:t>
        </w:r>
      </w:hyperlink>
    </w:p>
    <w:p w:rsidR="00F634FC" w:rsidRDefault="000160A2">
      <w:pPr>
        <w:pStyle w:val="Heading3"/>
        <w:rPr>
          <w:lang w:eastAsia="zh-CN"/>
        </w:rPr>
      </w:pPr>
      <w:bookmarkStart w:id="4" w:name="上海证券交易所与布达佩斯证券交易所签署合作谅解备忘录一带一路合作再迈步伐"/>
      <w:r>
        <w:rPr>
          <w:lang w:eastAsia="zh-CN"/>
        </w:rPr>
        <w:t>上海证券交易所与布达佩斯证券交易所签署合作谅解备忘录，</w:t>
      </w:r>
      <w:r>
        <w:rPr>
          <w:lang w:eastAsia="zh-CN"/>
        </w:rPr>
        <w:t>“</w:t>
      </w:r>
      <w:r>
        <w:rPr>
          <w:lang w:eastAsia="zh-CN"/>
        </w:rPr>
        <w:t>一带一路</w:t>
      </w:r>
      <w:r>
        <w:rPr>
          <w:lang w:eastAsia="zh-CN"/>
        </w:rPr>
        <w:t>”</w:t>
      </w:r>
      <w:r>
        <w:rPr>
          <w:lang w:eastAsia="zh-CN"/>
        </w:rPr>
        <w:t>合作再迈步伐</w:t>
      </w:r>
      <w:bookmarkEnd w:id="4"/>
    </w:p>
    <w:p w:rsidR="00F634FC" w:rsidRDefault="000160A2">
      <w:pPr>
        <w:pStyle w:val="FirstParagraph"/>
        <w:rPr>
          <w:lang w:eastAsia="zh-CN"/>
        </w:rPr>
      </w:pPr>
      <w:r>
        <w:rPr>
          <w:lang w:eastAsia="zh-CN"/>
        </w:rPr>
        <w:t>正值“一带一路”国际合作高峰论坛召开一周年之际，资本市场推进“一带一路”建设再迈步伐。近日，上海证券交易所和布达佩斯证券交易所在布达佩斯签署合作谅解备忘录，这是上交所响应“一带一路”倡议，推进沿线交易所双边合作的过程中迈出的又一坚实步伐。</w:t>
      </w:r>
    </w:p>
    <w:p w:rsidR="00F634FC" w:rsidRDefault="000160A2">
      <w:pPr>
        <w:pStyle w:val="BodyText"/>
        <w:rPr>
          <w:lang w:eastAsia="zh-CN"/>
        </w:rPr>
      </w:pPr>
      <w:r>
        <w:rPr>
          <w:lang w:eastAsia="zh-CN"/>
        </w:rPr>
        <w:t>布达佩斯证券交易所是匈牙利唯一的场内证券交易场所，控股股东为匈牙利央行。布交所目前的证券交易量占到匈牙利国内市场的四分之三。其挂牌可交易的金融产品包括股票（含境外证券）、债券、基金、结构化产品、衍生品、外汇以及大宗商品（谷物）等。合作谅解备忘录约定双方将在信息共享、人员交流、合作开发产品等方面进行合作。上交所副总经理阙波表示，匈牙利是“一带一路”沿线的重要国家，是中国重要的经贸伙伴，上交所和布交所的合作有着良好的政治基础，希望合作谅解备忘录的签署为双方未来的通力合作翻开新的篇章。双方能够加强交流，分享经验，共同探讨如何实现稳定健康发展的长远目标。</w:t>
      </w:r>
    </w:p>
    <w:p w:rsidR="00F634FC" w:rsidRDefault="004D198D">
      <w:pPr>
        <w:pStyle w:val="BodyText"/>
      </w:pPr>
      <w:hyperlink r:id="rId12">
        <w:r w:rsidR="000160A2">
          <w:t>http://www.sse.com.cn/aboutus/mediacenter/hotandd/c/c_20180515_4554938.shtml</w:t>
        </w:r>
      </w:hyperlink>
    </w:p>
    <w:p w:rsidR="00F634FC" w:rsidRDefault="000160A2">
      <w:pPr>
        <w:pStyle w:val="Heading2"/>
        <w:rPr>
          <w:lang w:eastAsia="zh-CN"/>
        </w:rPr>
      </w:pPr>
      <w:bookmarkStart w:id="5" w:name="保险"/>
      <w:r>
        <w:rPr>
          <w:lang w:eastAsia="zh-CN"/>
        </w:rPr>
        <w:t>保险</w:t>
      </w:r>
      <w:bookmarkEnd w:id="5"/>
    </w:p>
    <w:p w:rsidR="00F634FC" w:rsidRDefault="000160A2">
      <w:pPr>
        <w:pStyle w:val="Heading3"/>
        <w:rPr>
          <w:lang w:eastAsia="zh-CN"/>
        </w:rPr>
      </w:pPr>
      <w:bookmarkStart w:id="6" w:name="中国银行保险监督管理委员会发布个人税收递延型商业养老保险业务管理暂行办法"/>
      <w:r>
        <w:rPr>
          <w:lang w:eastAsia="zh-CN"/>
        </w:rPr>
        <w:t>中国银行保险监督管理委员会发布《个人税收递延型商业养老保险业务管理暂行办法》</w:t>
      </w:r>
      <w:bookmarkEnd w:id="6"/>
    </w:p>
    <w:p w:rsidR="00F634FC" w:rsidRDefault="000160A2">
      <w:pPr>
        <w:pStyle w:val="FirstParagraph"/>
        <w:rPr>
          <w:lang w:eastAsia="zh-CN"/>
        </w:rPr>
      </w:pPr>
      <w:r>
        <w:rPr>
          <w:lang w:eastAsia="zh-CN"/>
        </w:rPr>
        <w:t>近日，中国银行保险监督管理委员会发布《个人税收递延型商业养老保险业务管理暂行办法》（以下简称《暂行办法》），明确试点保险公司开展此类业务的门槛及此类险种具体产品形态。与先前发布的试点通知以及税延产品开发指引相比，《暂行办法》的公布不仅明确了税延经营险企的资质要求，也标志着与税延配套的相关办法全部出台完毕。</w:t>
      </w:r>
    </w:p>
    <w:p w:rsidR="00F634FC" w:rsidRDefault="000160A2">
      <w:pPr>
        <w:pStyle w:val="BodyText"/>
        <w:rPr>
          <w:lang w:eastAsia="zh-CN"/>
        </w:rPr>
      </w:pPr>
      <w:r>
        <w:rPr>
          <w:lang w:eastAsia="zh-CN"/>
        </w:rPr>
        <w:t>《暂行办法》指出，保险公司需在中国境内（不含香港、澳门和台湾地区）连续经营养老年金保险或养老资金管理等养老保险业务三年以上，具有成熟的养老保险业务经营管理经验。开展税延养老保险业务的保险公司注册资本金和净资产应均不低于人民币15亿元；在公司偿付能力方面，上一年度末和最近季度末的综合偿付能力充足率不低于150%、核心偿付能力充足率不低于100%，仅经营受托型业务的养老保险公司除外。 此外，最近三年未受到重大行政处罚、具有较强的产品精算能力、长期资金投资管理能力、完善的分支结构和服务网络以及合规的税延养老保险信息管理系统也是保险公司经营此类业务的“硬门槛”。</w:t>
      </w:r>
    </w:p>
    <w:p w:rsidR="00F634FC" w:rsidRDefault="004D198D">
      <w:pPr>
        <w:pStyle w:val="BodyText"/>
      </w:pPr>
      <w:hyperlink r:id="rId13">
        <w:r w:rsidR="000160A2">
          <w:t>http://finance.people.com.cn/n1/2018/0518/c1004-30000127.html</w:t>
        </w:r>
      </w:hyperlink>
    </w:p>
    <w:p w:rsidR="00F634FC" w:rsidRDefault="000160A2">
      <w:pPr>
        <w:pStyle w:val="Heading2"/>
        <w:rPr>
          <w:lang w:eastAsia="zh-CN"/>
        </w:rPr>
      </w:pPr>
      <w:bookmarkStart w:id="7" w:name="税收"/>
      <w:r>
        <w:rPr>
          <w:lang w:eastAsia="zh-CN"/>
        </w:rPr>
        <w:t>税收</w:t>
      </w:r>
      <w:bookmarkEnd w:id="7"/>
    </w:p>
    <w:p w:rsidR="00F634FC" w:rsidRDefault="000160A2">
      <w:pPr>
        <w:pStyle w:val="Heading3"/>
        <w:rPr>
          <w:lang w:eastAsia="zh-CN"/>
        </w:rPr>
      </w:pPr>
      <w:bookmarkStart w:id="8" w:name="企业改制重组继续享三年免征土地增值税优惠"/>
      <w:r>
        <w:rPr>
          <w:lang w:eastAsia="zh-CN"/>
        </w:rPr>
        <w:t>企业改制重组继续享三年免征土地增值税优惠</w:t>
      </w:r>
      <w:bookmarkEnd w:id="8"/>
    </w:p>
    <w:p w:rsidR="00F634FC" w:rsidRDefault="000160A2">
      <w:pPr>
        <w:pStyle w:val="FirstParagraph"/>
        <w:rPr>
          <w:lang w:eastAsia="zh-CN"/>
        </w:rPr>
      </w:pPr>
      <w:r>
        <w:rPr>
          <w:lang w:eastAsia="zh-CN"/>
        </w:rPr>
        <w:t>为支持企业改制重组，优化市场环境，财政部、国家税务总局近日发出通知，自2018年1月1日至2020年12月31日，继续执行企业在改制重组过程中涉及的土地增值税政策。</w:t>
      </w:r>
    </w:p>
    <w:p w:rsidR="00F634FC" w:rsidRDefault="000160A2">
      <w:pPr>
        <w:pStyle w:val="BodyText"/>
        <w:rPr>
          <w:lang w:eastAsia="zh-CN"/>
        </w:rPr>
      </w:pPr>
      <w:r>
        <w:rPr>
          <w:lang w:eastAsia="zh-CN"/>
        </w:rPr>
        <w:t>根据通知，非公司制企业整体改制为有限责任公司或者股份有限公司，有限责任公司（股份有限公司）整体改制为股份有限公司（有限责任公司），对改制前的企业将国有土地使用权、地上的</w:t>
      </w:r>
      <w:r>
        <w:rPr>
          <w:lang w:eastAsia="zh-CN"/>
        </w:rPr>
        <w:lastRenderedPageBreak/>
        <w:t>建筑物及其附着物（以下称房地产）转移、变更到改制后的企业，暂不征土地增值税。两个或两个以上企业合并为一个企业，且原企业投资主体存续的，对原企业将房地产转移、变更到合并后的企业，暂不征土地增值税。企业分设为两个或两个以上与原企业投资主体相同的企业，对原企业将房地产转移、变更到分立后的企业，暂不征土地增值税。单位、个人在改制重组时以房地产作价入股进行投资，对其将房地产转移、变更到被投资的企业，暂不征土地增值税。</w:t>
      </w:r>
    </w:p>
    <w:p w:rsidR="00F634FC" w:rsidRDefault="004D198D">
      <w:pPr>
        <w:pStyle w:val="BodyText"/>
      </w:pPr>
      <w:hyperlink r:id="rId14">
        <w:r w:rsidR="000160A2">
          <w:t>http://www.gov.cn/xinwen/2018-05/23/content_5292867.htm</w:t>
        </w:r>
      </w:hyperlink>
    </w:p>
    <w:p w:rsidR="00F634FC" w:rsidRDefault="000160A2">
      <w:pPr>
        <w:pStyle w:val="Heading3"/>
        <w:rPr>
          <w:lang w:eastAsia="zh-CN"/>
        </w:rPr>
      </w:pPr>
      <w:bookmarkStart w:id="9" w:name="年7月1日起中国将相当幅度降低汽车进口关税"/>
      <w:r>
        <w:rPr>
          <w:lang w:eastAsia="zh-CN"/>
        </w:rPr>
        <w:t>2018</w:t>
      </w:r>
      <w:r>
        <w:rPr>
          <w:lang w:eastAsia="zh-CN"/>
        </w:rPr>
        <w:t>年</w:t>
      </w:r>
      <w:r>
        <w:rPr>
          <w:lang w:eastAsia="zh-CN"/>
        </w:rPr>
        <w:t>7</w:t>
      </w:r>
      <w:r>
        <w:rPr>
          <w:lang w:eastAsia="zh-CN"/>
        </w:rPr>
        <w:t>月</w:t>
      </w:r>
      <w:r>
        <w:rPr>
          <w:lang w:eastAsia="zh-CN"/>
        </w:rPr>
        <w:t>1</w:t>
      </w:r>
      <w:r>
        <w:rPr>
          <w:lang w:eastAsia="zh-CN"/>
        </w:rPr>
        <w:t>日起中国将相当幅度降低汽车进口关税</w:t>
      </w:r>
      <w:bookmarkEnd w:id="9"/>
    </w:p>
    <w:p w:rsidR="00F634FC" w:rsidRDefault="000160A2">
      <w:pPr>
        <w:pStyle w:val="FirstParagraph"/>
        <w:rPr>
          <w:lang w:eastAsia="zh-CN"/>
        </w:rPr>
      </w:pPr>
      <w:r>
        <w:rPr>
          <w:lang w:eastAsia="zh-CN"/>
        </w:rPr>
        <w:t>国务院关税税则委员会近日印发公告，经国务院批准，自2018年7月1日起，将税率分别为25%、20%的汽车整车关税降至15%，降税幅度分别为40%、25%；将税率分别为8%、10%、15%、20%、25%的汽车零部件关税降至6%，平均降税幅度46%。</w:t>
      </w:r>
    </w:p>
    <w:p w:rsidR="00F634FC" w:rsidRDefault="000160A2">
      <w:pPr>
        <w:pStyle w:val="BodyText"/>
        <w:rPr>
          <w:lang w:eastAsia="zh-CN"/>
        </w:rPr>
      </w:pPr>
      <w:r>
        <w:rPr>
          <w:lang w:eastAsia="zh-CN"/>
        </w:rPr>
        <w:t>财政部有关负责人表示，我国维护多边贸易体制，此次降低汽车进口关税是我国进一步扩大改革开放的重大举措。降税后，我国汽车整车平均税率13.8%，零部件平均税率6%，符合我国汽车产业实际。这位负责人说，相当幅度降低汽车进口关税，将有利于推动供给侧结构性改革，促进汽车产业结构调整和转型升级，引导汽车产品提质增效，丰富国内市场供给，满足人民群众多样化需求，给国内消费者带来更丰富更实惠的消费体验。</w:t>
      </w:r>
    </w:p>
    <w:p w:rsidR="00F634FC" w:rsidRDefault="004D198D">
      <w:pPr>
        <w:pStyle w:val="BodyText"/>
      </w:pPr>
      <w:hyperlink r:id="rId15">
        <w:r w:rsidR="000160A2">
          <w:t>http://www.cs.com.cn/xwzx/zt2017/20180523/01/201805/t20180523_5809791.html</w:t>
        </w:r>
      </w:hyperlink>
    </w:p>
    <w:p w:rsidR="00F634FC" w:rsidRDefault="000160A2">
      <w:pPr>
        <w:pStyle w:val="Heading2"/>
        <w:rPr>
          <w:lang w:eastAsia="zh-CN"/>
        </w:rPr>
      </w:pPr>
      <w:bookmarkStart w:id="10" w:name="行业"/>
      <w:r>
        <w:rPr>
          <w:lang w:eastAsia="zh-CN"/>
        </w:rPr>
        <w:t>行业</w:t>
      </w:r>
      <w:bookmarkEnd w:id="10"/>
    </w:p>
    <w:p w:rsidR="00F634FC" w:rsidRDefault="000160A2">
      <w:pPr>
        <w:pStyle w:val="Heading3"/>
        <w:rPr>
          <w:lang w:eastAsia="zh-CN"/>
        </w:rPr>
      </w:pPr>
      <w:bookmarkStart w:id="11" w:name="国务院办公厅印发关于进一步压缩企业开办时间的意见"/>
      <w:r>
        <w:rPr>
          <w:lang w:eastAsia="zh-CN"/>
        </w:rPr>
        <w:t>国务院办公厅印发《关于进一步压缩企业开办时间的意见》</w:t>
      </w:r>
      <w:bookmarkEnd w:id="11"/>
    </w:p>
    <w:p w:rsidR="00F634FC" w:rsidRDefault="000160A2">
      <w:pPr>
        <w:pStyle w:val="FirstParagraph"/>
        <w:rPr>
          <w:lang w:eastAsia="zh-CN"/>
        </w:rPr>
      </w:pPr>
      <w:r>
        <w:rPr>
          <w:lang w:eastAsia="zh-CN"/>
        </w:rPr>
        <w:t>日前，国务院办公厅印发《关于进一步压缩企业开办时间的意见》（以下简称《意见》）。《意见》提出，进一步简化企业从设立到具备一般性经营条件所必须办理的环节，压缩办理时间。2018年年底前，各直辖市、计划单列市、副省级城市和省会城市要将企业开办时间压缩一半以上，由目前平均20个工作日减至8.5个工作日以内，其他地方也要积极压减企业开办时间，2019年上半年，在全国实现上述目标。</w:t>
      </w:r>
    </w:p>
    <w:p w:rsidR="00F634FC" w:rsidRDefault="000160A2">
      <w:pPr>
        <w:pStyle w:val="BodyText"/>
        <w:rPr>
          <w:lang w:eastAsia="zh-CN"/>
        </w:rPr>
      </w:pPr>
      <w:r>
        <w:rPr>
          <w:lang w:eastAsia="zh-CN"/>
        </w:rPr>
        <w:t>《意见》明确了实现上述目标的主要任务和工作措施。一是实施流程再造，大力推行“一窗受理、并行办理”。将申请人依次向各部门提交材料的传统办事流程，改造为一次提交、同步办理、信息共享、限时办结的“一窗受理、并行办理”流程。二是简化企业登记程序，提升便利化水平。扩大企业名称自主申报范围，广泛推行企业登记全程电子化应用，精简文书表格材料，将办理企业设立登记时间压缩至5个工作日内。三是将公章刻制备案纳入“多证合一”，提高公章制作效率。公章制作单位应在1个工作日内完成印章刻制。四是优化新办企业申领发票程序，压缩申领发票时间。将新办企业首次办理申领发票的时间压缩至2个工作日内。五是完善企业社会保险登记业务流程，提高参保登记服务效率。做好企业社会保险登记和职工参保登记业务的衔接，推动网上办理。</w:t>
      </w:r>
    </w:p>
    <w:p w:rsidR="00F634FC" w:rsidRDefault="004D198D">
      <w:pPr>
        <w:pStyle w:val="BodyText"/>
      </w:pPr>
      <w:hyperlink r:id="rId16">
        <w:r w:rsidR="000160A2">
          <w:t>http://www.dzwww.com/xinwen/guoneixinwen/201805/t20180518_17384215.htm</w:t>
        </w:r>
      </w:hyperlink>
    </w:p>
    <w:p w:rsidR="00F634FC" w:rsidRDefault="000160A2">
      <w:pPr>
        <w:pStyle w:val="Heading3"/>
        <w:rPr>
          <w:lang w:eastAsia="zh-CN"/>
        </w:rPr>
      </w:pPr>
      <w:bookmarkStart w:id="12" w:name="国务院办公厅印发关于开展工程建设项目审批制度改革试点的通知"/>
      <w:r>
        <w:rPr>
          <w:lang w:eastAsia="zh-CN"/>
        </w:rPr>
        <w:t>国务院办公厅印发《关于开展工程建设项目审批制度改革试点的通知》</w:t>
      </w:r>
      <w:bookmarkEnd w:id="12"/>
    </w:p>
    <w:p w:rsidR="00F634FC" w:rsidRDefault="000160A2">
      <w:pPr>
        <w:pStyle w:val="FirstParagraph"/>
        <w:rPr>
          <w:lang w:eastAsia="zh-CN"/>
        </w:rPr>
      </w:pPr>
      <w:r>
        <w:rPr>
          <w:lang w:eastAsia="zh-CN"/>
        </w:rPr>
        <w:t>日前，国务院办公厅印发《关于开展工程建设项目审批制度改革试点的通知》（以下简称《通知》），决定在北京市、天津市、上海市、重庆市、沈阳市、大连市、南京市、厦门市、武汉市、广州市、深圳市、成都市、贵阳市、渭南市、延安市和浙江省开展试点。</w:t>
      </w:r>
    </w:p>
    <w:p w:rsidR="00F634FC" w:rsidRDefault="000160A2">
      <w:pPr>
        <w:pStyle w:val="BodyText"/>
        <w:rPr>
          <w:lang w:eastAsia="zh-CN"/>
        </w:rPr>
      </w:pPr>
      <w:r>
        <w:rPr>
          <w:lang w:eastAsia="zh-CN"/>
        </w:rPr>
        <w:t>《通知》明确了以下主要改革内容：要统一审批流程</w:t>
      </w:r>
      <w:r>
        <w:rPr>
          <w:rFonts w:eastAsiaTheme="minorEastAsia" w:hint="eastAsia"/>
          <w:lang w:eastAsia="zh-CN"/>
        </w:rPr>
        <w:t>：</w:t>
      </w:r>
      <w:r>
        <w:rPr>
          <w:lang w:eastAsia="zh-CN"/>
        </w:rPr>
        <w:t>按照工程建设程序将工程建设项目审批流程主要划分为四个阶段，相关审批事项归入相应阶段；要精简审批环节</w:t>
      </w:r>
      <w:r>
        <w:rPr>
          <w:rFonts w:eastAsiaTheme="minorEastAsia" w:hint="eastAsia"/>
          <w:lang w:eastAsia="zh-CN"/>
        </w:rPr>
        <w:t>：</w:t>
      </w:r>
      <w:r>
        <w:rPr>
          <w:lang w:eastAsia="zh-CN"/>
        </w:rPr>
        <w:t>一是“减”，取消不合法、不合理、不必要的审批事项和前置条件。二是“放”，扩大下放或委托下级机关审批的事项范围。</w:t>
      </w:r>
      <w:r>
        <w:rPr>
          <w:lang w:eastAsia="zh-CN"/>
        </w:rPr>
        <w:lastRenderedPageBreak/>
        <w:t>三是“并”，合并管理内容相近的审批事项，推行联合勘验、联合测绘、联合审图、联合验收等。四是“转”，转变管理方式，推行告知承诺制。五是“调”，完善相应制度设计，让审批时序更加符合工作实际；要完善审批体系</w:t>
      </w:r>
      <w:r>
        <w:rPr>
          <w:rFonts w:eastAsiaTheme="minorEastAsia" w:hint="eastAsia"/>
          <w:lang w:eastAsia="zh-CN"/>
        </w:rPr>
        <w:t>：</w:t>
      </w:r>
      <w:r>
        <w:rPr>
          <w:lang w:eastAsia="zh-CN"/>
        </w:rPr>
        <w:t>一是以“一张蓝图”为基础，统筹协调各部门提出项目建设条件。二是以“一个系统”实施统一管理，所有审批都在工程建设项目审批管理信息系统上实施。三是以“一个窗口”提供综合服务和管理。四是用“一张表单”整合申报材料，完成多项审批。五是以“一套机制”规范审批运行。</w:t>
      </w:r>
    </w:p>
    <w:p w:rsidR="00F634FC" w:rsidRDefault="004D198D">
      <w:pPr>
        <w:pStyle w:val="BodyText"/>
        <w:rPr>
          <w:lang w:eastAsia="zh-CN"/>
        </w:rPr>
      </w:pPr>
      <w:hyperlink r:id="rId17">
        <w:r w:rsidR="000160A2">
          <w:rPr>
            <w:lang w:eastAsia="zh-CN"/>
          </w:rPr>
          <w:t>http://www.xinhuanet.com/politics/2018-05/18/c_1122854291.htm</w:t>
        </w:r>
      </w:hyperlink>
    </w:p>
    <w:p w:rsidR="00F634FC" w:rsidRDefault="000160A2">
      <w:pPr>
        <w:pStyle w:val="Heading3"/>
        <w:rPr>
          <w:lang w:eastAsia="zh-CN"/>
        </w:rPr>
      </w:pPr>
      <w:bookmarkStart w:id="13" w:name="科技部国务院国资委联合印发关于进一步推进中央企业创新发展的意见"/>
      <w:r>
        <w:rPr>
          <w:lang w:eastAsia="zh-CN"/>
        </w:rPr>
        <w:t>科技部、国务院国资委联合印发《关于进一步推进中央企业创新发展的意见》</w:t>
      </w:r>
      <w:bookmarkEnd w:id="13"/>
    </w:p>
    <w:p w:rsidR="00F634FC" w:rsidRDefault="000160A2">
      <w:pPr>
        <w:pStyle w:val="FirstParagraph"/>
        <w:rPr>
          <w:lang w:eastAsia="zh-CN"/>
        </w:rPr>
      </w:pPr>
      <w:r>
        <w:rPr>
          <w:lang w:eastAsia="zh-CN"/>
        </w:rPr>
        <w:t>科技部、国务院国资委日前联合印发《关于进一步推进中央企业创新发展的意见》（以下简称《意见》），提出深化科技体制改革和国企改革，健全中央企业技术创新经营业绩考核制度，将技术进步要求高的中央企业研发投入占销售收入的比例纳入经营业绩考核。</w:t>
      </w:r>
    </w:p>
    <w:p w:rsidR="00F634FC" w:rsidRDefault="000160A2">
      <w:pPr>
        <w:pStyle w:val="BodyText"/>
        <w:rPr>
          <w:lang w:eastAsia="zh-CN"/>
        </w:rPr>
      </w:pPr>
      <w:r>
        <w:rPr>
          <w:lang w:eastAsia="zh-CN"/>
        </w:rPr>
        <w:t>《意见》指出，要深化科技体制改革和国企改革，健全中央企业技术创新经营业绩考核制度，将技术进步要求高的中央企业研发投入占销售收入的比例纳入经营业绩考核；引导和鼓励中央企业加大对基础研究和应用基础研究的投入；加强对中央企业高新技术企业认定工作的指导，协调相关部门完善研发费用加计扣除等创新激励政策，促进相关政策落实落地；推动中央企业加快实施《国有科技型企业股权和分红激励暂行办法》，进一步发挥好股权和分红激励政策的带动作用。</w:t>
      </w:r>
    </w:p>
    <w:p w:rsidR="00F634FC" w:rsidRDefault="004D198D">
      <w:pPr>
        <w:pStyle w:val="BodyText"/>
      </w:pPr>
      <w:hyperlink r:id="rId18">
        <w:r w:rsidR="000160A2">
          <w:t>http://www.xinhuanet.com/2018-05/23/c_1122872815.htm</w:t>
        </w:r>
      </w:hyperlink>
    </w:p>
    <w:p w:rsidR="00F634FC" w:rsidRDefault="000160A2">
      <w:pPr>
        <w:pStyle w:val="Heading3"/>
        <w:rPr>
          <w:lang w:eastAsia="zh-CN"/>
        </w:rPr>
      </w:pPr>
      <w:bookmarkStart w:id="14" w:name="发改委网信办工信部等八部门加强电商失信问题专项治理"/>
      <w:r>
        <w:rPr>
          <w:lang w:eastAsia="zh-CN"/>
        </w:rPr>
        <w:t>发改委、网信办、工信部等八部门加强电商失信问题专项治理</w:t>
      </w:r>
      <w:bookmarkEnd w:id="14"/>
    </w:p>
    <w:p w:rsidR="00F634FC" w:rsidRDefault="000160A2">
      <w:pPr>
        <w:pStyle w:val="FirstParagraph"/>
        <w:rPr>
          <w:lang w:eastAsia="zh-CN"/>
        </w:rPr>
      </w:pPr>
      <w:r>
        <w:rPr>
          <w:lang w:eastAsia="zh-CN"/>
        </w:rPr>
        <w:t>发改委、网信办、工信部等八部门日前联合发文加大对电子商务领域失信问题专项治理，未来将建立健全跨部门跨地区工作机制，提高失信成本，加大专项治理对象联合惩戒力度。</w:t>
      </w:r>
    </w:p>
    <w:p w:rsidR="00F634FC" w:rsidRDefault="000160A2">
      <w:pPr>
        <w:pStyle w:val="BodyText"/>
        <w:rPr>
          <w:lang w:eastAsia="zh-CN"/>
        </w:rPr>
      </w:pPr>
      <w:r>
        <w:rPr>
          <w:lang w:eastAsia="zh-CN"/>
        </w:rPr>
        <w:t>据发改委介绍，未来将进一步打击通过恶意刷单、恶意评价、空包裹代发邮寄等方式伪造交易记录和物流信息实现“增信”“降信”的违法失信行为。各地要建立跨部门跨地区工作机制，建立省级电子商务领域失信问题专项治理工作组，就本辖区内电子商务领域失信问题进行专项研究，并提出有针对性的措施和工作方案。同时，各地区要组织本辖区内的电商平台、互联网公司、物流企业等相关电子商务类企业成立区域性“反炒信”联盟，鼓励各地方探索成立跨地区“反炒信”联盟，依法依规推动联盟成员企业间信用信息共享，加强协同监测力度，拓宽监测渠道，对电子商务领域失信问题进行更有针对性的管控。</w:t>
      </w:r>
    </w:p>
    <w:p w:rsidR="00F634FC" w:rsidRDefault="004D198D">
      <w:pPr>
        <w:pStyle w:val="BodyText"/>
      </w:pPr>
      <w:hyperlink r:id="rId19">
        <w:r w:rsidR="000160A2">
          <w:t>http://www.xinhuanet.com/politics/2018-05/22/c_1122866064.htm</w:t>
        </w:r>
      </w:hyperlink>
    </w:p>
    <w:p w:rsidR="00F634FC" w:rsidRDefault="000160A2">
      <w:pPr>
        <w:pStyle w:val="Heading2"/>
        <w:rPr>
          <w:lang w:eastAsia="zh-CN"/>
        </w:rPr>
      </w:pPr>
      <w:bookmarkStart w:id="15" w:name="并购"/>
      <w:r>
        <w:rPr>
          <w:lang w:eastAsia="zh-CN"/>
        </w:rPr>
        <w:t>并购</w:t>
      </w:r>
      <w:bookmarkEnd w:id="15"/>
    </w:p>
    <w:p w:rsidR="00F634FC" w:rsidRDefault="000160A2">
      <w:pPr>
        <w:pStyle w:val="Heading3"/>
        <w:rPr>
          <w:lang w:eastAsia="zh-CN"/>
        </w:rPr>
      </w:pPr>
      <w:bookmarkStart w:id="16" w:name="海南海药拟21亿收购奇力制药快速增强持续竞争力"/>
      <w:r>
        <w:rPr>
          <w:lang w:eastAsia="zh-CN"/>
        </w:rPr>
        <w:t>海南海药拟</w:t>
      </w:r>
      <w:r>
        <w:rPr>
          <w:lang w:eastAsia="zh-CN"/>
        </w:rPr>
        <w:t>21</w:t>
      </w:r>
      <w:r>
        <w:rPr>
          <w:lang w:eastAsia="zh-CN"/>
        </w:rPr>
        <w:t>亿收购奇力制药，快速增强持续竞争力</w:t>
      </w:r>
      <w:bookmarkEnd w:id="16"/>
    </w:p>
    <w:p w:rsidR="00F634FC" w:rsidRDefault="000160A2">
      <w:pPr>
        <w:pStyle w:val="FirstParagraph"/>
        <w:rPr>
          <w:lang w:eastAsia="zh-CN"/>
        </w:rPr>
      </w:pPr>
      <w:r>
        <w:rPr>
          <w:lang w:eastAsia="zh-CN"/>
        </w:rPr>
        <w:t>上市公司海南海药发布公告，拟以21.42亿元现金购买海口奇力制药股份有限公司（以下简称“奇力制药”）100%股份。</w:t>
      </w:r>
    </w:p>
    <w:p w:rsidR="00F634FC" w:rsidRDefault="000160A2">
      <w:pPr>
        <w:pStyle w:val="BodyText"/>
        <w:rPr>
          <w:lang w:eastAsia="zh-CN"/>
        </w:rPr>
      </w:pPr>
      <w:r>
        <w:rPr>
          <w:lang w:eastAsia="zh-CN"/>
        </w:rPr>
        <w:t>对于本次交易，海南海药表示，收购奇力制药可整合海南岛内优质医药行业资产，搭借海南建设自贸区的改革春风，快速扩张上市公司业务规模与盈利能力，加强品牌建设，获得一批具备市场竞争力的优质药品生产技术及文号。此举不仅丰富了海药的产品线，还优化产品结构，进一步提升公司综合竞争能力、市场拓展能力和持续发展能力。收购完成后，奇力制药将纳入公司合并报表范围，将增厚上市公司利润。 奇力制药是一家以研发生产抗生素、心血管用药、消化系统用药为主，产品线覆盖西药化学制剂与中药、黎药的医药生产企业。目前，拥有108个药品品种合计216个药品生产批准文号，列入全国或地方医保目录的品规达184个，其中列入全国医保目录的品规135个。</w:t>
      </w:r>
    </w:p>
    <w:p w:rsidR="00F634FC" w:rsidRDefault="004D198D">
      <w:pPr>
        <w:pStyle w:val="BodyText"/>
      </w:pPr>
      <w:hyperlink r:id="rId20">
        <w:r w:rsidR="000160A2">
          <w:t>http://ggjd.cnstock.com/company/scp_ggjd/tjd_bbdj/201805/4225509.htm</w:t>
        </w:r>
      </w:hyperlink>
    </w:p>
    <w:p w:rsidR="00F634FC" w:rsidRDefault="000160A2">
      <w:pPr>
        <w:pStyle w:val="Heading3"/>
        <w:rPr>
          <w:lang w:eastAsia="zh-CN"/>
        </w:rPr>
      </w:pPr>
      <w:bookmarkStart w:id="17" w:name="南京新百收购创新药provenge获批"/>
      <w:r>
        <w:rPr>
          <w:lang w:eastAsia="zh-CN"/>
        </w:rPr>
        <w:t>南京新百收购创新药</w:t>
      </w:r>
      <w:proofErr w:type="spellStart"/>
      <w:r>
        <w:rPr>
          <w:lang w:eastAsia="zh-CN"/>
        </w:rPr>
        <w:t>Provenge</w:t>
      </w:r>
      <w:proofErr w:type="spellEnd"/>
      <w:r>
        <w:rPr>
          <w:lang w:eastAsia="zh-CN"/>
        </w:rPr>
        <w:t>获批</w:t>
      </w:r>
      <w:bookmarkEnd w:id="17"/>
    </w:p>
    <w:p w:rsidR="00F634FC" w:rsidRDefault="000160A2">
      <w:pPr>
        <w:pStyle w:val="FirstParagraph"/>
        <w:rPr>
          <w:lang w:eastAsia="zh-CN"/>
        </w:rPr>
      </w:pPr>
      <w:r>
        <w:rPr>
          <w:lang w:eastAsia="zh-CN"/>
        </w:rPr>
        <w:t>近日，南京新百发布公告，公司收购美国生物医药公司</w:t>
      </w:r>
      <w:proofErr w:type="spellStart"/>
      <w:r>
        <w:rPr>
          <w:lang w:eastAsia="zh-CN"/>
        </w:rPr>
        <w:t>Dendreon</w:t>
      </w:r>
      <w:proofErr w:type="spellEnd"/>
      <w:r>
        <w:rPr>
          <w:lang w:eastAsia="zh-CN"/>
        </w:rPr>
        <w:t>并募集配套资金的事项获证监会上市公司并购重组审核委员会审核通过。这意味着，美国FDA批准的首个细胞免疫治疗药物</w:t>
      </w:r>
      <w:proofErr w:type="spellStart"/>
      <w:r>
        <w:rPr>
          <w:lang w:eastAsia="zh-CN"/>
        </w:rPr>
        <w:t>Provenge</w:t>
      </w:r>
      <w:proofErr w:type="spellEnd"/>
      <w:r>
        <w:rPr>
          <w:lang w:eastAsia="zh-CN"/>
        </w:rPr>
        <w:t>即将被南京新百收入囊中。</w:t>
      </w:r>
    </w:p>
    <w:p w:rsidR="00F634FC" w:rsidRDefault="000160A2">
      <w:pPr>
        <w:pStyle w:val="BodyText"/>
        <w:rPr>
          <w:lang w:eastAsia="zh-CN"/>
        </w:rPr>
      </w:pPr>
      <w:r>
        <w:rPr>
          <w:lang w:eastAsia="zh-CN"/>
        </w:rPr>
        <w:t>据了解，细胞免疫治疗是被普遍认为是最有希望攻克癌症的治疗方向，而</w:t>
      </w:r>
      <w:proofErr w:type="spellStart"/>
      <w:r>
        <w:rPr>
          <w:lang w:eastAsia="zh-CN"/>
        </w:rPr>
        <w:t>Dendreon</w:t>
      </w:r>
      <w:proofErr w:type="spellEnd"/>
      <w:r>
        <w:rPr>
          <w:lang w:eastAsia="zh-CN"/>
        </w:rPr>
        <w:t>就是一家主攻细胞免疫治疗的美国生物制药类企业。收购完成后，南京新百将成为A股第一个拥有FDA批准的细胞免疫治疗药物的龙头公司。去年年底，南京新百发布重大资产收购方案，拟以33.11元/股的价格增发1.8亿股，向控股股东三胞集团收购其持有的世鼎香港100%股权。世鼎香港主要经营性资产为美国生物医疗公司</w:t>
      </w:r>
      <w:proofErr w:type="spellStart"/>
      <w:r>
        <w:rPr>
          <w:lang w:eastAsia="zh-CN"/>
        </w:rPr>
        <w:t>Dendreon</w:t>
      </w:r>
      <w:proofErr w:type="spellEnd"/>
      <w:r>
        <w:rPr>
          <w:lang w:eastAsia="zh-CN"/>
        </w:rPr>
        <w:t>的全部股权，而</w:t>
      </w:r>
      <w:proofErr w:type="spellStart"/>
      <w:r>
        <w:rPr>
          <w:lang w:eastAsia="zh-CN"/>
        </w:rPr>
        <w:t>Dendreon</w:t>
      </w:r>
      <w:proofErr w:type="spellEnd"/>
      <w:r>
        <w:rPr>
          <w:lang w:eastAsia="zh-CN"/>
        </w:rPr>
        <w:t>的核心产品</w:t>
      </w:r>
      <w:proofErr w:type="spellStart"/>
      <w:r>
        <w:rPr>
          <w:lang w:eastAsia="zh-CN"/>
        </w:rPr>
        <w:t>Provenge</w:t>
      </w:r>
      <w:proofErr w:type="spellEnd"/>
      <w:r>
        <w:rPr>
          <w:lang w:eastAsia="zh-CN"/>
        </w:rPr>
        <w:t>是美国FDA批准上市的首个细胞免疫治疗药物，也是目前治疗前列腺癌的唯一细胞免疫治疗药物。</w:t>
      </w:r>
    </w:p>
    <w:p w:rsidR="00F634FC" w:rsidRDefault="004D198D">
      <w:pPr>
        <w:pStyle w:val="BodyText"/>
      </w:pPr>
      <w:hyperlink r:id="rId21">
        <w:r w:rsidR="000160A2">
          <w:t>http://ggjd.cnstock.com/company/scp_ggjd/tjd_bbdj/201805/4225502.htm</w:t>
        </w:r>
      </w:hyperlink>
    </w:p>
    <w:p w:rsidR="00F634FC" w:rsidRDefault="000160A2">
      <w:pPr>
        <w:pStyle w:val="Heading3"/>
        <w:rPr>
          <w:lang w:eastAsia="zh-CN"/>
        </w:rPr>
      </w:pPr>
      <w:bookmarkStart w:id="18" w:name="金一文化拟15亿收购多家珠宝公司"/>
      <w:r>
        <w:rPr>
          <w:lang w:eastAsia="zh-CN"/>
        </w:rPr>
        <w:t>金一文化拟</w:t>
      </w:r>
      <w:r>
        <w:rPr>
          <w:lang w:eastAsia="zh-CN"/>
        </w:rPr>
        <w:t>15</w:t>
      </w:r>
      <w:r>
        <w:rPr>
          <w:lang w:eastAsia="zh-CN"/>
        </w:rPr>
        <w:t>亿收购多家珠宝公司</w:t>
      </w:r>
      <w:bookmarkEnd w:id="18"/>
    </w:p>
    <w:p w:rsidR="00F634FC" w:rsidRDefault="000160A2">
      <w:pPr>
        <w:pStyle w:val="FirstParagraph"/>
        <w:rPr>
          <w:lang w:eastAsia="zh-CN"/>
        </w:rPr>
      </w:pPr>
      <w:r>
        <w:rPr>
          <w:lang w:eastAsia="zh-CN"/>
        </w:rPr>
        <w:t>金一文化公告，公司拟购买金洲慈航集团股份有限公司全资子公司东莞市金叶珠宝集团有限公司旗下深圳前海金叶珠宝实业发展有限公司100%股权、金叶珠宝（北京）有限公司100%股权、青岛金叶珠宝有限公司100%股权、金叶珠宝（武汉）有限公司100%股权，预估本次交易价款15亿元左右。此外，公司与金洲慈航于2018年5月15日签署《战略合作协议》，双方建立战略合作关系，构建长期而有效的沟通协商机制，金洲慈航为公司提供一揽子金融服务，助力公司业务发展。</w:t>
      </w:r>
    </w:p>
    <w:p w:rsidR="00F634FC" w:rsidRDefault="000160A2">
      <w:pPr>
        <w:pStyle w:val="BodyText"/>
        <w:rPr>
          <w:lang w:eastAsia="zh-CN"/>
        </w:rPr>
      </w:pPr>
      <w:r>
        <w:rPr>
          <w:lang w:eastAsia="zh-CN"/>
        </w:rPr>
        <w:t>公司同时公告，公司原拟通过发行股份或发行股份及支付现金相结合的方式收购深圳市佰利德首饰有限公司100%股权。由于交易各方就本次重大资产重组的部分核心条款及交易细节进行了多次讨论和沟通后，仍未能就交易的重要条款达成一致意见，故难以在较短时间内形成具体可行的方案继续推进本次重大资产重组，公司决定终止筹划本次重大资产重组事项。</w:t>
      </w:r>
    </w:p>
    <w:p w:rsidR="00F634FC" w:rsidRDefault="004D198D">
      <w:pPr>
        <w:pStyle w:val="BodyText"/>
      </w:pPr>
      <w:hyperlink r:id="rId22">
        <w:r w:rsidR="000160A2">
          <w:t>http://m.cnstock.com/smob_tt4/201805/4222535.htm</w:t>
        </w:r>
      </w:hyperlink>
    </w:p>
    <w:p w:rsidR="00F634FC" w:rsidRDefault="000160A2">
      <w:pPr>
        <w:pStyle w:val="Heading3"/>
        <w:rPr>
          <w:lang w:eastAsia="zh-CN"/>
        </w:rPr>
      </w:pPr>
      <w:bookmarkStart w:id="19" w:name="大富科技收购百立丰51股权估值17亿"/>
      <w:r>
        <w:rPr>
          <w:lang w:eastAsia="zh-CN"/>
        </w:rPr>
        <w:t>大富科技收购百立丰</w:t>
      </w:r>
      <w:r>
        <w:rPr>
          <w:lang w:eastAsia="zh-CN"/>
        </w:rPr>
        <w:t>51%</w:t>
      </w:r>
      <w:r>
        <w:rPr>
          <w:lang w:eastAsia="zh-CN"/>
        </w:rPr>
        <w:t>股权，估值</w:t>
      </w:r>
      <w:r>
        <w:rPr>
          <w:lang w:eastAsia="zh-CN"/>
        </w:rPr>
        <w:t>17</w:t>
      </w:r>
      <w:r>
        <w:rPr>
          <w:lang w:eastAsia="zh-CN"/>
        </w:rPr>
        <w:t>亿</w:t>
      </w:r>
      <w:bookmarkEnd w:id="19"/>
    </w:p>
    <w:p w:rsidR="00F634FC" w:rsidRDefault="000160A2">
      <w:pPr>
        <w:pStyle w:val="FirstParagraph"/>
        <w:rPr>
          <w:lang w:eastAsia="zh-CN"/>
        </w:rPr>
      </w:pPr>
      <w:r>
        <w:rPr>
          <w:lang w:eastAsia="zh-CN"/>
        </w:rPr>
        <w:t>2018年5月23日，大富科技发布重组进展公告称，各方已签订框架协议，公司通过支付现金方式购买百立丰51%股权。公告显示，百立丰100%股权的交易价格预估值为17亿元，最终交易价格依据独立第三方评估机构出具的《评估报告》确定的评估值，由交易双方协商确定。</w:t>
      </w:r>
    </w:p>
    <w:p w:rsidR="00F634FC" w:rsidRDefault="000160A2">
      <w:pPr>
        <w:pStyle w:val="BodyText"/>
        <w:rPr>
          <w:lang w:eastAsia="zh-CN"/>
        </w:rPr>
      </w:pPr>
      <w:r>
        <w:rPr>
          <w:lang w:eastAsia="zh-CN"/>
        </w:rPr>
        <w:t>值得一提的是，百立丰承诺，自大富科技足额支付现金对价后的3个自然月内，将全部所得交易对价税后实际所得金额的80%通过二级市场增持大富科技。目前，百立丰形成了以智能终端为基础纵向布局产业链上游面板、内存、芯片等核心资源，横向拓展智能硬件、智能家居、软件研发等生态链系统。百立丰旗下包括了</w:t>
      </w:r>
      <w:proofErr w:type="spellStart"/>
      <w:r>
        <w:rPr>
          <w:lang w:eastAsia="zh-CN"/>
        </w:rPr>
        <w:t>lephone</w:t>
      </w:r>
      <w:proofErr w:type="spellEnd"/>
      <w:r>
        <w:rPr>
          <w:lang w:eastAsia="zh-CN"/>
        </w:rPr>
        <w:t>、</w:t>
      </w:r>
      <w:proofErr w:type="spellStart"/>
      <w:r>
        <w:rPr>
          <w:lang w:eastAsia="zh-CN"/>
        </w:rPr>
        <w:t>dazen</w:t>
      </w:r>
      <w:proofErr w:type="spellEnd"/>
      <w:r>
        <w:rPr>
          <w:lang w:eastAsia="zh-CN"/>
        </w:rPr>
        <w:t>、</w:t>
      </w:r>
      <w:proofErr w:type="spellStart"/>
      <w:r>
        <w:rPr>
          <w:lang w:eastAsia="zh-CN"/>
        </w:rPr>
        <w:t>Lesun</w:t>
      </w:r>
      <w:proofErr w:type="spellEnd"/>
      <w:r>
        <w:rPr>
          <w:lang w:eastAsia="zh-CN"/>
        </w:rPr>
        <w:t>、</w:t>
      </w:r>
      <w:proofErr w:type="spellStart"/>
      <w:r>
        <w:rPr>
          <w:lang w:eastAsia="zh-CN"/>
        </w:rPr>
        <w:t>Lecom</w:t>
      </w:r>
      <w:proofErr w:type="spellEnd"/>
      <w:r>
        <w:rPr>
          <w:lang w:eastAsia="zh-CN"/>
        </w:rPr>
        <w:t>、</w:t>
      </w:r>
      <w:proofErr w:type="spellStart"/>
      <w:r>
        <w:rPr>
          <w:lang w:eastAsia="zh-CN"/>
        </w:rPr>
        <w:t>Coomax</w:t>
      </w:r>
      <w:proofErr w:type="spellEnd"/>
      <w:r>
        <w:rPr>
          <w:lang w:eastAsia="zh-CN"/>
        </w:rPr>
        <w:t>等智能手机品牌。本次交易完成后，百立丰背靠大富科技和360两大上市公司，将通过资本化手段，加大对智能生态链系统的研发和制造，进一步扩大其市场占有率。</w:t>
      </w:r>
    </w:p>
    <w:p w:rsidR="00F634FC" w:rsidRDefault="004D198D">
      <w:pPr>
        <w:pStyle w:val="BodyText"/>
      </w:pPr>
      <w:hyperlink r:id="rId23">
        <w:r w:rsidR="000160A2">
          <w:t>http://www.sohu.com/a/232660161_250147</w:t>
        </w:r>
      </w:hyperlink>
    </w:p>
    <w:p w:rsidR="00F634FC" w:rsidRDefault="000160A2">
      <w:pPr>
        <w:pStyle w:val="DisclaimerBold"/>
        <w:rPr>
          <w:lang w:eastAsia="zh-CN"/>
        </w:rPr>
      </w:pPr>
      <w:r>
        <w:rPr>
          <w:lang w:eastAsia="zh-CN"/>
        </w:rPr>
        <w:t>此法讯仅为提供相关资料信息之用，其内容并</w:t>
      </w:r>
    </w:p>
    <w:p w:rsidR="00F634FC" w:rsidRDefault="000160A2">
      <w:pPr>
        <w:pStyle w:val="Disclaimer"/>
        <w:rPr>
          <w:lang w:eastAsia="zh-CN"/>
        </w:rPr>
      </w:pPr>
      <w:r>
        <w:rPr>
          <w:lang w:eastAsia="zh-CN"/>
        </w:rPr>
        <w:t>不构成法律建议及个案的法律分析。</w:t>
      </w:r>
    </w:p>
    <w:p w:rsidR="00F634FC" w:rsidRDefault="000160A2">
      <w:pPr>
        <w:pStyle w:val="Disclaimer"/>
        <w:rPr>
          <w:lang w:eastAsia="zh-CN"/>
        </w:rPr>
      </w:pPr>
      <w:r>
        <w:rPr>
          <w:lang w:eastAsia="zh-CN"/>
        </w:rPr>
        <w:t>此法讯的发送并不是为了在易周律师行与用户或浏览者之间建立一种律师与客户之关系。</w:t>
      </w:r>
    </w:p>
    <w:p w:rsidR="00F634FC" w:rsidRDefault="000160A2">
      <w:pPr>
        <w:pStyle w:val="Disclaimer"/>
        <w:rPr>
          <w:lang w:eastAsia="zh-CN"/>
        </w:rPr>
      </w:pPr>
      <w:r>
        <w:rPr>
          <w:lang w:eastAsia="zh-CN"/>
        </w:rPr>
        <w:t>易周律师行并不对可从互联网获得的任何第三方内容负责。</w:t>
      </w:r>
    </w:p>
    <w:p w:rsidR="00F634FC" w:rsidRDefault="000160A2">
      <w:pPr>
        <w:pStyle w:val="Disclaimer"/>
        <w:rPr>
          <w:lang w:eastAsia="zh-CN"/>
        </w:rPr>
      </w:pPr>
      <w:r>
        <w:rPr>
          <w:lang w:eastAsia="zh-CN"/>
        </w:rPr>
        <w:lastRenderedPageBreak/>
        <w:t xml:space="preserve">如你不希望再收到易周法讯，请发送电邮至  </w:t>
      </w:r>
      <w:hyperlink r:id="rId24">
        <w:r>
          <w:rPr>
            <w:lang w:eastAsia="zh-CN"/>
          </w:rPr>
          <w:t>unsubscribe@charltonslaw.com</w:t>
        </w:r>
      </w:hyperlink>
    </w:p>
    <w:p w:rsidR="00F634FC" w:rsidRDefault="000160A2">
      <w:pPr>
        <w:pStyle w:val="BlackStrips"/>
      </w:pPr>
      <w:r>
        <w:t xml:space="preserve">Charltons - </w:t>
      </w:r>
      <w:proofErr w:type="spellStart"/>
      <w:r>
        <w:t>法讯</w:t>
      </w:r>
      <w:proofErr w:type="spellEnd"/>
      <w:r>
        <w:t xml:space="preserve"> - </w:t>
      </w:r>
      <w:proofErr w:type="spellStart"/>
      <w:r>
        <w:t>中国</w:t>
      </w:r>
      <w:proofErr w:type="spellEnd"/>
      <w:r>
        <w:t xml:space="preserve"> - 2018年5月2</w:t>
      </w:r>
      <w:r w:rsidR="004D198D">
        <w:rPr>
          <w:rFonts w:eastAsiaTheme="minorEastAsia" w:hint="eastAsia"/>
          <w:lang w:eastAsia="zh-CN"/>
        </w:rPr>
        <w:t>8</w:t>
      </w:r>
      <w:r>
        <w:t>日</w:t>
      </w:r>
      <w:bookmarkStart w:id="20" w:name="_GoBack"/>
      <w:bookmarkEnd w:id="20"/>
    </w:p>
    <w:sectPr w:rsidR="00F634FC">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BB2" w:rsidRDefault="000160A2">
      <w:pPr>
        <w:spacing w:after="0"/>
      </w:pPr>
      <w:r>
        <w:separator/>
      </w:r>
    </w:p>
  </w:endnote>
  <w:endnote w:type="continuationSeparator" w:id="0">
    <w:p w:rsidR="00605BB2" w:rsidRDefault="000160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4FC" w:rsidRDefault="000160A2">
      <w:r>
        <w:separator/>
      </w:r>
    </w:p>
  </w:footnote>
  <w:footnote w:type="continuationSeparator" w:id="0">
    <w:p w:rsidR="00F634FC" w:rsidRDefault="000160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E870CE"/>
    <w:multiLevelType w:val="multilevel"/>
    <w:tmpl w:val="197C00A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0160A2"/>
    <w:rsid w:val="004D198D"/>
    <w:rsid w:val="004E29B3"/>
    <w:rsid w:val="00590D07"/>
    <w:rsid w:val="00605BB2"/>
    <w:rsid w:val="00784D58"/>
    <w:rsid w:val="008D6863"/>
    <w:rsid w:val="00B86B75"/>
    <w:rsid w:val="00BC48D5"/>
    <w:rsid w:val="00C36279"/>
    <w:rsid w:val="00E315A3"/>
    <w:rsid w:val="00F634FC"/>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4"/>
        <w:lang w:val="en-US" w:eastAsia="en-US" w:bidi="ar-SA"/>
      </w:rPr>
    </w:rPrDefault>
    <w:pPrDefault/>
  </w:docDefaults>
  <w:latentStyles w:defLockedState="0" w:defUIPriority="0" w:defSemiHidden="0" w:defUnhideWhenUsed="0" w:defQFormat="0" w:count="267"/>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rltonslaw.com.cn/yin-bao-jian-hui-fa-bu-yin-hang-ye-jin-rong-ji-gou-shu-ju-zhi-li-zhi-yin" TargetMode="External"/><Relationship Id="rId13" Type="http://schemas.openxmlformats.org/officeDocument/2006/relationships/hyperlink" Target="http://finance.people.com.cn/n1/2018/0518/c1004-30000127.html" TargetMode="External"/><Relationship Id="rId18" Type="http://schemas.openxmlformats.org/officeDocument/2006/relationships/hyperlink" Target="http://www.xinhuanet.com/2018-05/23/c_1122872815.htm"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ggjd.cnstock.com/company/scp_ggjd/tjd_bbdj/201805/4225502.htm" TargetMode="External"/><Relationship Id="rId7" Type="http://schemas.openxmlformats.org/officeDocument/2006/relationships/endnotes" Target="endnotes.xml"/><Relationship Id="rId12" Type="http://schemas.openxmlformats.org/officeDocument/2006/relationships/hyperlink" Target="http://www.sse.com.cn/aboutus/mediacenter/hotandd/c/c_20180515_4554938.shtml" TargetMode="External"/><Relationship Id="rId17" Type="http://schemas.openxmlformats.org/officeDocument/2006/relationships/hyperlink" Target="http://www.xinhuanet.com/politics/2018-05/18/c_1122854291.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dzwww.com/xinwen/guoneixinwen/201805/t20180518_17384215.htm" TargetMode="External"/><Relationship Id="rId20" Type="http://schemas.openxmlformats.org/officeDocument/2006/relationships/hyperlink" Target="http://ggjd.cnstock.com/company/scp_ggjd/tjd_bbdj/201805/4225509.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xinhuanet.com/fortune/2018-05/18/c_1122850453.htm" TargetMode="External"/><Relationship Id="rId24" Type="http://schemas.openxmlformats.org/officeDocument/2006/relationships/hyperlink" Target="mailto:unsubscribe@charltonslaw.com?subject=unsubscribe%20-Hong%20Kong%20Law-" TargetMode="External"/><Relationship Id="rId5" Type="http://schemas.openxmlformats.org/officeDocument/2006/relationships/webSettings" Target="webSettings.xml"/><Relationship Id="rId15" Type="http://schemas.openxmlformats.org/officeDocument/2006/relationships/hyperlink" Target="http://www.cs.com.cn/xwzx/zt2017/20180523/01/201805/t20180523_5809791.html" TargetMode="External"/><Relationship Id="rId23" Type="http://schemas.openxmlformats.org/officeDocument/2006/relationships/hyperlink" Target="http://www.sohu.com/a/232660161_250147" TargetMode="External"/><Relationship Id="rId10" Type="http://schemas.openxmlformats.org/officeDocument/2006/relationships/hyperlink" Target="http://politics.people.com.cn/n1/2018/0519/c1001-30000177.html" TargetMode="External"/><Relationship Id="rId19" Type="http://schemas.openxmlformats.org/officeDocument/2006/relationships/hyperlink" Target="http://www.xinhuanet.com/politics/2018-05/22/c_1122866064.htm" TargetMode="External"/><Relationship Id="rId4" Type="http://schemas.openxmlformats.org/officeDocument/2006/relationships/settings" Target="settings.xml"/><Relationship Id="rId9" Type="http://schemas.openxmlformats.org/officeDocument/2006/relationships/hyperlink" Target="http://news.jcrb.com/jxsw/201805/t20180524_1870155.html" TargetMode="External"/><Relationship Id="rId14" Type="http://schemas.openxmlformats.org/officeDocument/2006/relationships/hyperlink" Target="http://www.gov.cn/xinwen/2018-05/23/content_5292867.htm" TargetMode="External"/><Relationship Id="rId22" Type="http://schemas.openxmlformats.org/officeDocument/2006/relationships/hyperlink" Target="http://m.cnstock.com/smob_tt4/201805/422253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1339</Words>
  <Characters>7637</Characters>
  <Application>Microsoft Office Word</Application>
  <DocSecurity>0</DocSecurity>
  <Lines>63</Lines>
  <Paragraphs>17</Paragraphs>
  <ScaleCrop>false</ScaleCrop>
  <Company>C</Company>
  <LinksUpToDate>false</LinksUpToDate>
  <CharactersWithSpaces>8959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3</cp:revision>
  <dcterms:created xsi:type="dcterms:W3CDTF">2018-05-25T06:46:00Z</dcterms:created>
  <dcterms:modified xsi:type="dcterms:W3CDTF">2018-05-28T09:38:00Z</dcterms:modified>
</cp:coreProperties>
</file>