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666" w:rsidRDefault="00AC7A0D">
      <w:pPr>
        <w:pStyle w:val="BlackStrips"/>
        <w:rPr>
          <w:lang w:eastAsia="zh-CN"/>
        </w:rPr>
      </w:pPr>
      <w:r>
        <w:rPr>
          <w:lang w:eastAsia="zh-CN"/>
        </w:rPr>
        <w:t xml:space="preserve">Charltons - </w:t>
      </w:r>
      <w:r>
        <w:rPr>
          <w:lang w:eastAsia="zh-CN"/>
        </w:rPr>
        <w:t>法讯</w:t>
      </w:r>
      <w:r>
        <w:rPr>
          <w:lang w:eastAsia="zh-CN"/>
        </w:rPr>
        <w:t xml:space="preserve"> - </w:t>
      </w:r>
      <w:r>
        <w:rPr>
          <w:lang w:eastAsia="zh-CN"/>
        </w:rPr>
        <w:t>中国</w:t>
      </w:r>
      <w:r>
        <w:rPr>
          <w:lang w:eastAsia="zh-CN"/>
        </w:rPr>
        <w:t xml:space="preserve"> - 2018</w:t>
      </w:r>
      <w:r>
        <w:rPr>
          <w:lang w:eastAsia="zh-CN"/>
        </w:rPr>
        <w:t>年</w:t>
      </w:r>
      <w:r>
        <w:rPr>
          <w:lang w:eastAsia="zh-CN"/>
        </w:rPr>
        <w:t>6</w:t>
      </w:r>
      <w:r>
        <w:rPr>
          <w:lang w:eastAsia="zh-CN"/>
        </w:rPr>
        <w:t>月</w:t>
      </w:r>
      <w:r>
        <w:rPr>
          <w:lang w:eastAsia="zh-CN"/>
        </w:rPr>
        <w:t>1</w:t>
      </w:r>
      <w:r>
        <w:rPr>
          <w:lang w:eastAsia="zh-CN"/>
        </w:rPr>
        <w:t>日</w:t>
      </w:r>
    </w:p>
    <w:p w:rsidR="00837666" w:rsidRDefault="00AC7A0D">
      <w:pPr>
        <w:pStyle w:val="ReadOnline"/>
        <w:rPr>
          <w:lang w:eastAsia="zh-CN"/>
        </w:rPr>
      </w:pPr>
      <w:hyperlink r:id="rId8">
        <w:proofErr w:type="gramStart"/>
        <w:r>
          <w:rPr>
            <w:lang w:eastAsia="zh-CN"/>
          </w:rPr>
          <w:t>online</w:t>
        </w:r>
        <w:proofErr w:type="gramEnd"/>
        <w:r>
          <w:rPr>
            <w:lang w:eastAsia="zh-CN"/>
          </w:rPr>
          <w:t xml:space="preserve"> version</w:t>
        </w:r>
      </w:hyperlink>
    </w:p>
    <w:p w:rsidR="00837666" w:rsidRDefault="00AC7A0D">
      <w:pPr>
        <w:pStyle w:val="Title"/>
        <w:rPr>
          <w:lang w:eastAsia="zh-CN"/>
        </w:rPr>
      </w:pPr>
      <w:r>
        <w:rPr>
          <w:lang w:eastAsia="zh-CN"/>
        </w:rPr>
        <w:t>中国银保监会正式发布《商业银行流动性风险管理办法》</w:t>
      </w:r>
    </w:p>
    <w:p w:rsidR="00837666" w:rsidRDefault="00AC7A0D">
      <w:pPr>
        <w:pStyle w:val="Heading2"/>
        <w:rPr>
          <w:lang w:eastAsia="zh-CN"/>
        </w:rPr>
      </w:pPr>
      <w:bookmarkStart w:id="0" w:name="资本市场"/>
      <w:r>
        <w:rPr>
          <w:lang w:eastAsia="zh-CN"/>
        </w:rPr>
        <w:t>资本市场</w:t>
      </w:r>
      <w:bookmarkEnd w:id="0"/>
    </w:p>
    <w:p w:rsidR="00837666" w:rsidRDefault="00AC7A0D">
      <w:pPr>
        <w:pStyle w:val="Heading3"/>
        <w:rPr>
          <w:lang w:eastAsia="zh-CN"/>
        </w:rPr>
      </w:pPr>
      <w:bookmarkStart w:id="1" w:name="中国银保监会正式发布商业银行流动性风险管理办法"/>
      <w:r>
        <w:rPr>
          <w:lang w:eastAsia="zh-CN"/>
        </w:rPr>
        <w:t>中国银保监会正式发布《商业银行流动性风险管理办法》</w:t>
      </w:r>
      <w:bookmarkEnd w:id="1"/>
    </w:p>
    <w:p w:rsidR="00837666" w:rsidRDefault="00AC7A0D">
      <w:pPr>
        <w:pStyle w:val="FirstParagraph"/>
        <w:rPr>
          <w:lang w:eastAsia="zh-CN"/>
        </w:rPr>
      </w:pPr>
      <w:r>
        <w:rPr>
          <w:lang w:eastAsia="zh-CN"/>
        </w:rPr>
        <w:t>经过近半年的征求意见，中国银保监会日前正式发布了《商业银行流动性风险管理办法》（以下简称《办法》）。另外，银保监会相关负责人表示，修订后的《办法》于</w:t>
      </w:r>
      <w:r>
        <w:rPr>
          <w:lang w:eastAsia="zh-CN"/>
        </w:rPr>
        <w:t>2018</w:t>
      </w:r>
      <w:r>
        <w:rPr>
          <w:lang w:eastAsia="zh-CN"/>
        </w:rPr>
        <w:t>年</w:t>
      </w:r>
      <w:r>
        <w:rPr>
          <w:lang w:eastAsia="zh-CN"/>
        </w:rPr>
        <w:t>7</w:t>
      </w:r>
      <w:r>
        <w:rPr>
          <w:lang w:eastAsia="zh-CN"/>
        </w:rPr>
        <w:t>月</w:t>
      </w:r>
      <w:r>
        <w:rPr>
          <w:lang w:eastAsia="zh-CN"/>
        </w:rPr>
        <w:t>1</w:t>
      </w:r>
      <w:r>
        <w:rPr>
          <w:lang w:eastAsia="zh-CN"/>
        </w:rPr>
        <w:t>日起生效。为避免对银行经营及金融市场产生较大影响，根据新监管指标的不同特点，合理安排实施时间。其中，对优质流动性资产充足率采用分阶段达标安排。商业银行应分别于</w:t>
      </w:r>
      <w:r>
        <w:rPr>
          <w:lang w:eastAsia="zh-CN"/>
        </w:rPr>
        <w:t>2018</w:t>
      </w:r>
      <w:r>
        <w:rPr>
          <w:lang w:eastAsia="zh-CN"/>
        </w:rPr>
        <w:t>年底和</w:t>
      </w:r>
      <w:r>
        <w:rPr>
          <w:lang w:eastAsia="zh-CN"/>
        </w:rPr>
        <w:t>2019</w:t>
      </w:r>
      <w:r>
        <w:rPr>
          <w:lang w:eastAsia="zh-CN"/>
        </w:rPr>
        <w:t>年</w:t>
      </w:r>
      <w:r>
        <w:rPr>
          <w:lang w:eastAsia="zh-CN"/>
        </w:rPr>
        <w:t>6</w:t>
      </w:r>
      <w:r>
        <w:rPr>
          <w:lang w:eastAsia="zh-CN"/>
        </w:rPr>
        <w:t>月底前达到</w:t>
      </w:r>
      <w:r>
        <w:rPr>
          <w:lang w:eastAsia="zh-CN"/>
        </w:rPr>
        <w:t>80%</w:t>
      </w:r>
      <w:r>
        <w:rPr>
          <w:lang w:eastAsia="zh-CN"/>
        </w:rPr>
        <w:t>和</w:t>
      </w:r>
      <w:r>
        <w:rPr>
          <w:lang w:eastAsia="zh-CN"/>
        </w:rPr>
        <w:t>100%</w:t>
      </w:r>
      <w:r>
        <w:rPr>
          <w:lang w:eastAsia="zh-CN"/>
        </w:rPr>
        <w:t>。</w:t>
      </w:r>
    </w:p>
    <w:p w:rsidR="00837666" w:rsidRDefault="00AC7A0D">
      <w:pPr>
        <w:pStyle w:val="BodyText"/>
        <w:rPr>
          <w:lang w:eastAsia="zh-CN"/>
        </w:rPr>
      </w:pPr>
      <w:r>
        <w:rPr>
          <w:lang w:eastAsia="zh-CN"/>
        </w:rPr>
        <w:t>此次修订的主要内容包括：一是新引入三个量化指标。其中，净稳定资金比例适用于资产规模在</w:t>
      </w:r>
      <w:r>
        <w:rPr>
          <w:lang w:eastAsia="zh-CN"/>
        </w:rPr>
        <w:t>2000</w:t>
      </w:r>
      <w:r>
        <w:rPr>
          <w:lang w:eastAsia="zh-CN"/>
        </w:rPr>
        <w:t>亿元（含）以上的商业银行，优质流动性资产充</w:t>
      </w:r>
      <w:r>
        <w:rPr>
          <w:lang w:eastAsia="zh-CN"/>
        </w:rPr>
        <w:t>足率适用于资产规模小于</w:t>
      </w:r>
      <w:r>
        <w:rPr>
          <w:lang w:eastAsia="zh-CN"/>
        </w:rPr>
        <w:t>2000</w:t>
      </w:r>
      <w:r>
        <w:rPr>
          <w:lang w:eastAsia="zh-CN"/>
        </w:rPr>
        <w:t>亿元的商业银行，流动性匹配率适用于全部商业银行。二是进一步完善流动性风险监测体系。对部分监测指标的计算方法进行了合理优化，强调其在风险管理和监管方面的运用。三</w:t>
      </w:r>
      <w:bookmarkStart w:id="2" w:name="_GoBack"/>
      <w:bookmarkEnd w:id="2"/>
      <w:r>
        <w:rPr>
          <w:lang w:eastAsia="zh-CN"/>
        </w:rPr>
        <w:t>是细化了流动性风险管理相关要求，如日间流动性风险管理、融资管理等。</w:t>
      </w:r>
    </w:p>
    <w:p w:rsidR="00837666" w:rsidRDefault="00AC7A0D">
      <w:pPr>
        <w:pStyle w:val="BodyText"/>
      </w:pPr>
      <w:hyperlink r:id="rId9">
        <w:r>
          <w:t>http://www.xinhuanet.com/money/2018-05/28/c_1298812</w:t>
        </w:r>
        <w:r>
          <w:t>90.htm</w:t>
        </w:r>
      </w:hyperlink>
    </w:p>
    <w:p w:rsidR="00837666" w:rsidRDefault="00AC7A0D">
      <w:pPr>
        <w:pStyle w:val="Heading3"/>
        <w:rPr>
          <w:lang w:eastAsia="zh-CN"/>
        </w:rPr>
      </w:pPr>
      <w:bookmarkStart w:id="3" w:name="深圳证券交易所推出全国首单o2o汽车电商平台资产证券化产品"/>
      <w:r>
        <w:rPr>
          <w:lang w:eastAsia="zh-CN"/>
        </w:rPr>
        <w:t>深圳证券交易所推出全国首单</w:t>
      </w:r>
      <w:r>
        <w:rPr>
          <w:lang w:eastAsia="zh-CN"/>
        </w:rPr>
        <w:t>O2O</w:t>
      </w:r>
      <w:r>
        <w:rPr>
          <w:lang w:eastAsia="zh-CN"/>
        </w:rPr>
        <w:t>汽车电商平台资产证券化产品</w:t>
      </w:r>
      <w:bookmarkEnd w:id="3"/>
    </w:p>
    <w:p w:rsidR="00837666" w:rsidRDefault="00AC7A0D">
      <w:pPr>
        <w:pStyle w:val="FirstParagraph"/>
        <w:rPr>
          <w:lang w:eastAsia="zh-CN"/>
        </w:rPr>
      </w:pPr>
      <w:r>
        <w:rPr>
          <w:lang w:eastAsia="zh-CN"/>
        </w:rPr>
        <w:t>2018</w:t>
      </w:r>
      <w:r>
        <w:rPr>
          <w:lang w:eastAsia="zh-CN"/>
        </w:rPr>
        <w:t>年</w:t>
      </w:r>
      <w:r>
        <w:rPr>
          <w:lang w:eastAsia="zh-CN"/>
        </w:rPr>
        <w:t>5</w:t>
      </w:r>
      <w:r>
        <w:rPr>
          <w:lang w:eastAsia="zh-CN"/>
        </w:rPr>
        <w:t>月</w:t>
      </w:r>
      <w:r>
        <w:rPr>
          <w:lang w:eastAsia="zh-CN"/>
        </w:rPr>
        <w:t>28</w:t>
      </w:r>
      <w:r>
        <w:rPr>
          <w:lang w:eastAsia="zh-CN"/>
        </w:rPr>
        <w:t>日，中金</w:t>
      </w:r>
      <w:r>
        <w:rPr>
          <w:lang w:eastAsia="zh-CN"/>
        </w:rPr>
        <w:t>-</w:t>
      </w:r>
      <w:r>
        <w:rPr>
          <w:lang w:eastAsia="zh-CN"/>
        </w:rPr>
        <w:t>神州优车汽车应收账款第1</w:t>
      </w:r>
      <w:r>
        <w:rPr>
          <w:rFonts w:eastAsiaTheme="minorEastAsia" w:hint="eastAsia"/>
          <w:lang w:eastAsia="zh-CN"/>
        </w:rPr>
        <w:t>-</w:t>
      </w:r>
      <w:r>
        <w:rPr>
          <w:lang w:eastAsia="zh-CN"/>
        </w:rPr>
        <w:t>25</w:t>
      </w:r>
      <w:r>
        <w:rPr>
          <w:lang w:eastAsia="zh-CN"/>
        </w:rPr>
        <w:t>期资产支持专项计划（以下简称</w:t>
      </w:r>
      <w:r>
        <w:rPr>
          <w:lang w:eastAsia="zh-CN"/>
        </w:rPr>
        <w:t>“</w:t>
      </w:r>
      <w:r>
        <w:rPr>
          <w:lang w:eastAsia="zh-CN"/>
        </w:rPr>
        <w:t>神州优车专项计划</w:t>
      </w:r>
      <w:r>
        <w:rPr>
          <w:lang w:eastAsia="zh-CN"/>
        </w:rPr>
        <w:t>”</w:t>
      </w:r>
      <w:r>
        <w:rPr>
          <w:lang w:eastAsia="zh-CN"/>
        </w:rPr>
        <w:t>）获深交所评审通过。神州优车专项计划是国内首单</w:t>
      </w:r>
      <w:r>
        <w:rPr>
          <w:lang w:eastAsia="zh-CN"/>
        </w:rPr>
        <w:t>O2O</w:t>
      </w:r>
      <w:r>
        <w:rPr>
          <w:lang w:eastAsia="zh-CN"/>
        </w:rPr>
        <w:t>汽车电商平台资产证券化产品，该产品是深交所持续服务新经济领域的又一阶段性成果。</w:t>
      </w:r>
    </w:p>
    <w:p w:rsidR="00837666" w:rsidRDefault="00AC7A0D">
      <w:pPr>
        <w:pStyle w:val="BodyText"/>
        <w:rPr>
          <w:lang w:eastAsia="zh-CN"/>
        </w:rPr>
      </w:pPr>
      <w:r>
        <w:rPr>
          <w:lang w:eastAsia="zh-CN"/>
        </w:rPr>
        <w:t>当前，人民日益增长的美好生活需要和不平衡不充分的发展之间的矛盾已成为我国社会主要矛盾。改善和创新居民生活消费供给，是满足人民美好生活需要的重要举措。神州优车专项计划支持企业通过</w:t>
      </w:r>
      <w:r>
        <w:rPr>
          <w:lang w:eastAsia="zh-CN"/>
        </w:rPr>
        <w:t>“</w:t>
      </w:r>
      <w:r>
        <w:rPr>
          <w:lang w:eastAsia="zh-CN"/>
        </w:rPr>
        <w:t>先享受后买车</w:t>
      </w:r>
      <w:r>
        <w:rPr>
          <w:lang w:eastAsia="zh-CN"/>
        </w:rPr>
        <w:t>”</w:t>
      </w:r>
      <w:r>
        <w:rPr>
          <w:lang w:eastAsia="zh-CN"/>
        </w:rPr>
        <w:t>等一系列</w:t>
      </w:r>
      <w:r>
        <w:rPr>
          <w:lang w:eastAsia="zh-CN"/>
        </w:rPr>
        <w:t>汽车消费新模式，创新供给方式，提升用户体验，满足居民汽车消费需求，增强人民群众的获得感与幸福感。同时，神州优车通过发行资产证券化产品，盘活了存量资产，拓宽了融资渠道，降低了融资成本，缓解了汽车终端渠道的融资难题。深交所将进一步探索运用公司债券、资产证券化等融资工具为新技术、新产业、新业态、新模式企业提供金融支持，积极服务居民消费升级，助力供给侧结构性改革，支持实体经济高质量发展。</w:t>
      </w:r>
    </w:p>
    <w:p w:rsidR="00837666" w:rsidRDefault="00AC7A0D">
      <w:pPr>
        <w:pStyle w:val="BodyText"/>
      </w:pPr>
      <w:hyperlink r:id="rId10">
        <w:r>
          <w:t>http://www.szse.cn/main/aboutus/bsyw/39779715.shtml</w:t>
        </w:r>
      </w:hyperlink>
    </w:p>
    <w:p w:rsidR="00837666" w:rsidRDefault="00AC7A0D">
      <w:pPr>
        <w:pStyle w:val="Heading3"/>
        <w:rPr>
          <w:lang w:eastAsia="zh-CN"/>
        </w:rPr>
      </w:pPr>
      <w:bookmarkStart w:id="4" w:name="中国银行保险监督管理委员会发布商业银行银行账簿利率风险管理指引修订"/>
      <w:r>
        <w:rPr>
          <w:lang w:eastAsia="zh-CN"/>
        </w:rPr>
        <w:t>中国银行保险监督管理委员会发布《商业银行银行账簿利率风险管理指引（修订）》</w:t>
      </w:r>
      <w:bookmarkEnd w:id="4"/>
    </w:p>
    <w:p w:rsidR="00837666" w:rsidRDefault="00AC7A0D">
      <w:pPr>
        <w:pStyle w:val="FirstParagraph"/>
        <w:rPr>
          <w:lang w:eastAsia="zh-CN"/>
        </w:rPr>
      </w:pPr>
      <w:r>
        <w:rPr>
          <w:lang w:eastAsia="zh-CN"/>
        </w:rPr>
        <w:t>为推动商业银行提升银行账簿利率风险管理水平，弥补监管制度短板，中国银行保险监督管理委员会对《商业银行银行账户利率风险管理指引》进行了全面修订，经公开征求意见，发布《商业银行银行账簿利率风险管理指引（修订）》（以下简称《指引》）。</w:t>
      </w:r>
    </w:p>
    <w:p w:rsidR="00837666" w:rsidRDefault="00AC7A0D">
      <w:pPr>
        <w:pStyle w:val="BodyText"/>
        <w:rPr>
          <w:lang w:eastAsia="zh-CN"/>
        </w:rPr>
      </w:pPr>
      <w:r>
        <w:rPr>
          <w:lang w:eastAsia="zh-CN"/>
        </w:rPr>
        <w:t>《指引》修订内容主要体现在规范银行账簿利率风险的治理架构和风险管理政策流程，明确风险计量</w:t>
      </w:r>
      <w:r>
        <w:rPr>
          <w:lang w:eastAsia="zh-CN"/>
        </w:rPr>
        <w:t>、利率冲击情景和客户行为假设的具体要求，完善信息系统、模型和数据管理要求，引导银行加强计量结果应用，强化监管评估等方面。同时，《指引》明确商业银行在适用相关监管要求</w:t>
      </w:r>
      <w:r>
        <w:rPr>
          <w:lang w:eastAsia="zh-CN"/>
        </w:rPr>
        <w:lastRenderedPageBreak/>
        <w:t>时应遵循匹配性原则，并根据银行系统重要性或业务复杂程度不同，进行差异化的风险计量。另外，《指引》在银行风险管理、风险计量、监督检查等方面提出了细化要求。</w:t>
      </w:r>
    </w:p>
    <w:p w:rsidR="00837666" w:rsidRDefault="00AC7A0D">
      <w:pPr>
        <w:pStyle w:val="BodyText"/>
      </w:pPr>
      <w:hyperlink r:id="rId11">
        <w:r>
          <w:t>http://www.cbrc.gov.cn/chinese/newShouDoc/C2BA2A5272944ABB815FE47E59876D6A.html</w:t>
        </w:r>
      </w:hyperlink>
    </w:p>
    <w:p w:rsidR="00837666" w:rsidRDefault="00AC7A0D">
      <w:pPr>
        <w:pStyle w:val="Heading3"/>
        <w:rPr>
          <w:lang w:eastAsia="zh-CN"/>
        </w:rPr>
      </w:pPr>
      <w:bookmarkStart w:id="5" w:name="深圳证券交易所与中国诚通签署战略合作协议助力国有企业走在高质量发展前列"/>
      <w:r>
        <w:rPr>
          <w:lang w:eastAsia="zh-CN"/>
        </w:rPr>
        <w:t>深圳证券交易所与中国诚通签署战略合作协议，助力国有企业走在高质量发展前列</w:t>
      </w:r>
      <w:bookmarkEnd w:id="5"/>
    </w:p>
    <w:p w:rsidR="00837666" w:rsidRDefault="00AC7A0D">
      <w:pPr>
        <w:pStyle w:val="FirstParagraph"/>
        <w:rPr>
          <w:lang w:eastAsia="zh-CN"/>
        </w:rPr>
      </w:pPr>
      <w:r>
        <w:rPr>
          <w:lang w:eastAsia="zh-CN"/>
        </w:rPr>
        <w:t>2018</w:t>
      </w:r>
      <w:r>
        <w:rPr>
          <w:lang w:eastAsia="zh-CN"/>
        </w:rPr>
        <w:t>年</w:t>
      </w:r>
      <w:r>
        <w:rPr>
          <w:lang w:eastAsia="zh-CN"/>
        </w:rPr>
        <w:t>5</w:t>
      </w:r>
      <w:r>
        <w:rPr>
          <w:lang w:eastAsia="zh-CN"/>
        </w:rPr>
        <w:t>月</w:t>
      </w:r>
      <w:r>
        <w:rPr>
          <w:lang w:eastAsia="zh-CN"/>
        </w:rPr>
        <w:t>28</w:t>
      </w:r>
      <w:r>
        <w:rPr>
          <w:lang w:eastAsia="zh-CN"/>
        </w:rPr>
        <w:t>日，深圳证券交易所（以下简称</w:t>
      </w:r>
      <w:r>
        <w:rPr>
          <w:lang w:eastAsia="zh-CN"/>
        </w:rPr>
        <w:t>“</w:t>
      </w:r>
      <w:r>
        <w:rPr>
          <w:lang w:eastAsia="zh-CN"/>
        </w:rPr>
        <w:t>深交所</w:t>
      </w:r>
      <w:r>
        <w:rPr>
          <w:lang w:eastAsia="zh-CN"/>
        </w:rPr>
        <w:t>”</w:t>
      </w:r>
      <w:r>
        <w:rPr>
          <w:lang w:eastAsia="zh-CN"/>
        </w:rPr>
        <w:t>）与中国诚通控股集团有限公司（以下简称</w:t>
      </w:r>
      <w:r>
        <w:rPr>
          <w:lang w:eastAsia="zh-CN"/>
        </w:rPr>
        <w:t>“</w:t>
      </w:r>
      <w:r>
        <w:rPr>
          <w:lang w:eastAsia="zh-CN"/>
        </w:rPr>
        <w:t>中国诚通</w:t>
      </w:r>
      <w:r>
        <w:rPr>
          <w:lang w:eastAsia="zh-CN"/>
        </w:rPr>
        <w:t>”</w:t>
      </w:r>
      <w:r>
        <w:rPr>
          <w:lang w:eastAsia="zh-CN"/>
        </w:rPr>
        <w:t>）在深圳签署战略合作协议。此次签约是双方落实关于深化国有企业改革、推动国有资本做强做优做大有关精神的重要举措，对于发挥资本市场平台功能、助推国企改革提质增效等具有重要意</w:t>
      </w:r>
      <w:r>
        <w:rPr>
          <w:lang w:eastAsia="zh-CN"/>
        </w:rPr>
        <w:t>义。</w:t>
      </w:r>
    </w:p>
    <w:p w:rsidR="00837666" w:rsidRDefault="00AC7A0D">
      <w:pPr>
        <w:pStyle w:val="BodyText"/>
        <w:rPr>
          <w:lang w:eastAsia="zh-CN"/>
        </w:rPr>
      </w:pPr>
      <w:r>
        <w:rPr>
          <w:lang w:eastAsia="zh-CN"/>
        </w:rPr>
        <w:t>深交所与中国诚通此前已经开展多项合作并取得阶段性成果。根据协议，双方将在现有合作基础上，将合作范围扩展至上市培育、并购重组、投融对接、产品创新等多个领域，以优化央企国有资本布局结构、提高国有资本配置运行效率为核心，通过深交所全流程、多维度的综合服务，助力中国诚通充分利用资本市场平台做大做强，共同推动国有资本市场化平台建设，目前双方已经组建专门团队展开对接。</w:t>
      </w:r>
      <w:r>
        <w:rPr>
          <w:lang w:eastAsia="zh-CN"/>
        </w:rPr>
        <w:t xml:space="preserve"> </w:t>
      </w:r>
      <w:r>
        <w:rPr>
          <w:lang w:eastAsia="zh-CN"/>
        </w:rPr>
        <w:t>近年来，中国诚通按照市场化原则不断探索推进国有资产重组、资本运作管理等，全力打造市场化专业化的国有资本运营平台，促进提升国有资本运营效率，取得显著</w:t>
      </w:r>
      <w:r>
        <w:rPr>
          <w:lang w:eastAsia="zh-CN"/>
        </w:rPr>
        <w:t>成效。</w:t>
      </w:r>
    </w:p>
    <w:p w:rsidR="00837666" w:rsidRDefault="00AC7A0D">
      <w:pPr>
        <w:pStyle w:val="BodyText"/>
      </w:pPr>
      <w:hyperlink r:id="rId12">
        <w:r>
          <w:t>http://www.szse.cn/main/aboutus/bsyw/39779627.shtml</w:t>
        </w:r>
      </w:hyperlink>
    </w:p>
    <w:p w:rsidR="00837666" w:rsidRDefault="00AC7A0D">
      <w:pPr>
        <w:pStyle w:val="Heading2"/>
        <w:rPr>
          <w:lang w:eastAsia="zh-CN"/>
        </w:rPr>
      </w:pPr>
      <w:bookmarkStart w:id="6" w:name="保险"/>
      <w:r>
        <w:rPr>
          <w:lang w:eastAsia="zh-CN"/>
        </w:rPr>
        <w:t>保险</w:t>
      </w:r>
      <w:bookmarkEnd w:id="6"/>
    </w:p>
    <w:p w:rsidR="00837666" w:rsidRDefault="00AC7A0D">
      <w:pPr>
        <w:pStyle w:val="Heading3"/>
        <w:rPr>
          <w:lang w:eastAsia="zh-CN"/>
        </w:rPr>
      </w:pPr>
      <w:bookmarkStart w:id="7" w:name="中国银保监会印发保险公估基本准则"/>
      <w:r>
        <w:rPr>
          <w:lang w:eastAsia="zh-CN"/>
        </w:rPr>
        <w:t>中国银保监会印发《保险公估基本准则》</w:t>
      </w:r>
      <w:bookmarkEnd w:id="7"/>
    </w:p>
    <w:p w:rsidR="00837666" w:rsidRDefault="00AC7A0D">
      <w:pPr>
        <w:pStyle w:val="FirstParagraph"/>
        <w:rPr>
          <w:lang w:eastAsia="zh-CN"/>
        </w:rPr>
      </w:pPr>
      <w:r>
        <w:rPr>
          <w:lang w:eastAsia="zh-CN"/>
        </w:rPr>
        <w:t>近日，中国银保监会印发《保险公估基本准则》（以下简称《基本准则》），该准则是依据《中华人民共和国保险法》、《中华人民共和国资产评估法》、《保险公估人监管规定》等法律、行政法规和相关规定所制定。</w:t>
      </w:r>
    </w:p>
    <w:p w:rsidR="00837666" w:rsidRDefault="00AC7A0D">
      <w:pPr>
        <w:pStyle w:val="BodyText"/>
        <w:rPr>
          <w:lang w:eastAsia="zh-CN"/>
        </w:rPr>
      </w:pPr>
      <w:r>
        <w:rPr>
          <w:lang w:eastAsia="zh-CN"/>
        </w:rPr>
        <w:t>《基本准则》明确，保</w:t>
      </w:r>
      <w:r>
        <w:rPr>
          <w:lang w:eastAsia="zh-CN"/>
        </w:rPr>
        <w:t>险公估人可以接受自然人、法人或者其他组织的委托，对保险标的或者保险事故进行评估、勘验、鉴定、估损、理算以及相关的风险评估。涉及特定评估对象或者公共利益等事项，法律、行政法规规定需要进行公估的，应当依法委托保险公估人评估。保险公估人及其从业人员开展保险公估业务应当遵守本准则。《基本准则》强调，保险公估人及其从业人员应当独立进行调查、分析和评估并形成专业意见，不得以预先设定的保险公估结论向委托人或者保险公估当事人作出承诺，不得从事与自身有利害关系的业务，不得谋取不正当利益。保险公估人不得与非法从事保险业务或者保</w:t>
      </w:r>
      <w:r>
        <w:rPr>
          <w:lang w:eastAsia="zh-CN"/>
        </w:rPr>
        <w:t>险中介业务的机构或者个人发生保险公估业务往来。</w:t>
      </w:r>
    </w:p>
    <w:p w:rsidR="00837666" w:rsidRDefault="00AC7A0D">
      <w:pPr>
        <w:pStyle w:val="BodyText"/>
      </w:pPr>
      <w:hyperlink r:id="rId13">
        <w:r>
          <w:t>http://xw.sinoins.com/2018-05/31/content_262667.htm</w:t>
        </w:r>
      </w:hyperlink>
    </w:p>
    <w:p w:rsidR="00837666" w:rsidRDefault="00AC7A0D">
      <w:pPr>
        <w:pStyle w:val="Heading2"/>
        <w:rPr>
          <w:lang w:eastAsia="zh-CN"/>
        </w:rPr>
      </w:pPr>
      <w:bookmarkStart w:id="8" w:name="税收"/>
      <w:r>
        <w:rPr>
          <w:lang w:eastAsia="zh-CN"/>
        </w:rPr>
        <w:t>税收</w:t>
      </w:r>
      <w:bookmarkEnd w:id="8"/>
    </w:p>
    <w:p w:rsidR="00837666" w:rsidRDefault="00AC7A0D">
      <w:pPr>
        <w:pStyle w:val="Heading3"/>
        <w:rPr>
          <w:lang w:eastAsia="zh-CN"/>
        </w:rPr>
      </w:pPr>
      <w:bookmarkStart w:id="9" w:name="财政部国家税务总局等五部门联合发布关于将服务贸易创新发展试点地区技术先进型服务企"/>
      <w:r>
        <w:rPr>
          <w:lang w:eastAsia="zh-CN"/>
        </w:rPr>
        <w:t>财政部、国家税务总局等五部门联合发布《关于将服务贸易创新发展试点地区技术先进型服务企业所得税政策推广至全国实施的通知》</w:t>
      </w:r>
      <w:bookmarkEnd w:id="9"/>
    </w:p>
    <w:p w:rsidR="00837666" w:rsidRDefault="00AC7A0D">
      <w:pPr>
        <w:pStyle w:val="FirstParagraph"/>
        <w:rPr>
          <w:lang w:eastAsia="zh-CN"/>
        </w:rPr>
      </w:pPr>
      <w:r>
        <w:rPr>
          <w:lang w:eastAsia="zh-CN"/>
        </w:rPr>
        <w:t>为进一步推动服务贸易创新发展、优化外贸结构，财政部、国家税务总局等五部门联合发布《关于将服务</w:t>
      </w:r>
      <w:r>
        <w:rPr>
          <w:lang w:eastAsia="zh-CN"/>
        </w:rPr>
        <w:t>贸易创新发展试点地区技术先进型服务企业所得税政策推广至全国实施的通知》（以下简称《通知》）。</w:t>
      </w:r>
    </w:p>
    <w:p w:rsidR="00837666" w:rsidRDefault="00AC7A0D">
      <w:pPr>
        <w:pStyle w:val="BodyText"/>
        <w:rPr>
          <w:lang w:eastAsia="zh-CN"/>
        </w:rPr>
      </w:pPr>
      <w:r>
        <w:rPr>
          <w:lang w:eastAsia="zh-CN"/>
        </w:rPr>
        <w:t>《通知》明确，自</w:t>
      </w:r>
      <w:r>
        <w:rPr>
          <w:lang w:eastAsia="zh-CN"/>
        </w:rPr>
        <w:t>2018</w:t>
      </w:r>
      <w:r>
        <w:rPr>
          <w:lang w:eastAsia="zh-CN"/>
        </w:rPr>
        <w:t>年</w:t>
      </w:r>
      <w:r>
        <w:rPr>
          <w:lang w:eastAsia="zh-CN"/>
        </w:rPr>
        <w:t>1</w:t>
      </w:r>
      <w:r>
        <w:rPr>
          <w:lang w:eastAsia="zh-CN"/>
        </w:rPr>
        <w:t>月</w:t>
      </w:r>
      <w:r>
        <w:rPr>
          <w:lang w:eastAsia="zh-CN"/>
        </w:rPr>
        <w:t>1</w:t>
      </w:r>
      <w:r>
        <w:rPr>
          <w:lang w:eastAsia="zh-CN"/>
        </w:rPr>
        <w:t>日起，对经认定的技术先进型服务企业（服务贸易类），减按</w:t>
      </w:r>
      <w:r>
        <w:rPr>
          <w:lang w:eastAsia="zh-CN"/>
        </w:rPr>
        <w:t>15%</w:t>
      </w:r>
      <w:r>
        <w:rPr>
          <w:lang w:eastAsia="zh-CN"/>
        </w:rPr>
        <w:t>的税率征收企业所得税。《通知》所称技术先进型服务企业（服务贸易类）须符合的条件及认定管理事项，按照《财政部、税务总局、商务部、科技部、国家发展改革委关于将技术先进型服务企业所得税政策推广至全国实施的通知》的相关规定执行。其中，企业须满足的技术先进型</w:t>
      </w:r>
      <w:r>
        <w:rPr>
          <w:lang w:eastAsia="zh-CN"/>
        </w:rPr>
        <w:lastRenderedPageBreak/>
        <w:t>服务业务领域范围按照本通知所附《技术先进型服务业务领域范围（服务贸易类）》执行。省级科技部门应会同本级商务、财政、税务和发展改革部门及时将《技术先进型服务业务领域范围（服务</w:t>
      </w:r>
      <w:r>
        <w:rPr>
          <w:lang w:eastAsia="zh-CN"/>
        </w:rPr>
        <w:t>贸易类）》增补入本地区技术先进型服务企业认定管理办法，并据此开展认定管理工作。</w:t>
      </w:r>
    </w:p>
    <w:p w:rsidR="00837666" w:rsidRDefault="00AC7A0D">
      <w:pPr>
        <w:pStyle w:val="BodyText"/>
      </w:pPr>
      <w:hyperlink r:id="rId14">
        <w:r>
          <w:t>http://www.gov.cn/xinwen/2018-05/29/content_5294479.htm</w:t>
        </w:r>
      </w:hyperlink>
    </w:p>
    <w:p w:rsidR="00837666" w:rsidRDefault="00AC7A0D">
      <w:pPr>
        <w:pStyle w:val="Heading2"/>
        <w:rPr>
          <w:lang w:eastAsia="zh-CN"/>
        </w:rPr>
      </w:pPr>
      <w:bookmarkStart w:id="10" w:name="知识产权"/>
      <w:r>
        <w:rPr>
          <w:lang w:eastAsia="zh-CN"/>
        </w:rPr>
        <w:t>知识产权</w:t>
      </w:r>
      <w:bookmarkEnd w:id="10"/>
    </w:p>
    <w:p w:rsidR="00837666" w:rsidRDefault="00AC7A0D">
      <w:pPr>
        <w:pStyle w:val="Heading3"/>
        <w:rPr>
          <w:lang w:eastAsia="zh-CN"/>
        </w:rPr>
      </w:pPr>
      <w:bookmarkStart w:id="11" w:name="知识产权专利密集型产业分类国家标准制定工作有序推进"/>
      <w:r>
        <w:rPr>
          <w:lang w:eastAsia="zh-CN"/>
        </w:rPr>
        <w:t>知识产权（专利）密集型产业分类国家标准制定工作有序推进</w:t>
      </w:r>
      <w:bookmarkEnd w:id="11"/>
    </w:p>
    <w:p w:rsidR="00837666" w:rsidRDefault="00AC7A0D">
      <w:pPr>
        <w:pStyle w:val="FirstParagraph"/>
        <w:rPr>
          <w:lang w:eastAsia="zh-CN"/>
        </w:rPr>
      </w:pPr>
      <w:r>
        <w:rPr>
          <w:lang w:eastAsia="zh-CN"/>
        </w:rPr>
        <w:t>近日，知识产权（专利）密集型产业分类制定前期工作启动会在京召开，知识产权（专利）密集型产业分类国家标准制</w:t>
      </w:r>
      <w:r>
        <w:rPr>
          <w:lang w:eastAsia="zh-CN"/>
        </w:rPr>
        <w:t>定工作进入实质阶段。</w:t>
      </w:r>
    </w:p>
    <w:p w:rsidR="00837666" w:rsidRDefault="00AC7A0D">
      <w:pPr>
        <w:pStyle w:val="BodyText"/>
        <w:rPr>
          <w:lang w:eastAsia="zh-CN"/>
        </w:rPr>
      </w:pPr>
      <w:r>
        <w:rPr>
          <w:lang w:eastAsia="zh-CN"/>
        </w:rPr>
        <w:t>据了解，推动知识产权（专利）密集型产业分类国家标准的制定工作是国家知识产权局落实《</w:t>
      </w:r>
      <w:r>
        <w:rPr>
          <w:lang w:eastAsia="zh-CN"/>
        </w:rPr>
        <w:t>“</w:t>
      </w:r>
      <w:r>
        <w:rPr>
          <w:lang w:eastAsia="zh-CN"/>
        </w:rPr>
        <w:t>十三五</w:t>
      </w:r>
      <w:r>
        <w:rPr>
          <w:lang w:eastAsia="zh-CN"/>
        </w:rPr>
        <w:t>”</w:t>
      </w:r>
      <w:r>
        <w:rPr>
          <w:lang w:eastAsia="zh-CN"/>
        </w:rPr>
        <w:t>国家知识产权保护和运用规划》的重点工作之一。国家知识产权局规划发展司精心谋划、周密组织，开展了大量资料整理、数据收集分析工作，为产业分类国家标准制定打牢基础。另外，知识产权（专利）密集型产业分类国家标准是开展产业增加值核算及其他指标统计监测工作的重要依据。下一步，国家知识产权局将坚持产业划分的客观原则，吸纳国际经验，梳理地方试点成果，充分考虑产业发展的实际需求，在保证知识产权（专利）密集型产业分</w:t>
      </w:r>
      <w:r>
        <w:rPr>
          <w:lang w:eastAsia="zh-CN"/>
        </w:rPr>
        <w:t>类国家标准制定的科学性、全面性和稳定性基础上，推进统一的知识产权密集型产业分类标准建设。</w:t>
      </w:r>
    </w:p>
    <w:p w:rsidR="00837666" w:rsidRDefault="00AC7A0D">
      <w:pPr>
        <w:pStyle w:val="BodyText"/>
      </w:pPr>
      <w:hyperlink r:id="rId15">
        <w:r>
          <w:t>http://www.gov.cn/xinwen/2018-05/27/content_5293833.htm</w:t>
        </w:r>
      </w:hyperlink>
    </w:p>
    <w:p w:rsidR="00837666" w:rsidRDefault="00AC7A0D">
      <w:pPr>
        <w:pStyle w:val="Heading2"/>
        <w:rPr>
          <w:lang w:eastAsia="zh-CN"/>
        </w:rPr>
      </w:pPr>
      <w:bookmarkStart w:id="12" w:name="行业"/>
      <w:r>
        <w:rPr>
          <w:lang w:eastAsia="zh-CN"/>
        </w:rPr>
        <w:t>行业</w:t>
      </w:r>
      <w:bookmarkEnd w:id="12"/>
    </w:p>
    <w:p w:rsidR="00837666" w:rsidRDefault="00AC7A0D">
      <w:pPr>
        <w:pStyle w:val="Heading3"/>
        <w:rPr>
          <w:lang w:eastAsia="zh-CN"/>
        </w:rPr>
      </w:pPr>
      <w:bookmarkStart w:id="13" w:name="财政部工信部联合印发关于深入推进电信普遍服务试点工作的通知"/>
      <w:r>
        <w:rPr>
          <w:lang w:eastAsia="zh-CN"/>
        </w:rPr>
        <w:t>财政部、工信部联合印发《关于深入推进电信普遍服务试点工作的通知》</w:t>
      </w:r>
      <w:bookmarkEnd w:id="13"/>
    </w:p>
    <w:p w:rsidR="00837666" w:rsidRDefault="00AC7A0D">
      <w:pPr>
        <w:pStyle w:val="FirstParagraph"/>
        <w:rPr>
          <w:lang w:eastAsia="zh-CN"/>
        </w:rPr>
      </w:pPr>
      <w:r>
        <w:rPr>
          <w:lang w:eastAsia="zh-CN"/>
        </w:rPr>
        <w:t>为同步推进建设网络强国战略部署与</w:t>
      </w:r>
      <w:r>
        <w:rPr>
          <w:lang w:eastAsia="zh-CN"/>
        </w:rPr>
        <w:t>“</w:t>
      </w:r>
      <w:r>
        <w:rPr>
          <w:lang w:eastAsia="zh-CN"/>
        </w:rPr>
        <w:t>两个一百年</w:t>
      </w:r>
      <w:r>
        <w:rPr>
          <w:lang w:eastAsia="zh-CN"/>
        </w:rPr>
        <w:t>”</w:t>
      </w:r>
      <w:r>
        <w:rPr>
          <w:lang w:eastAsia="zh-CN"/>
        </w:rPr>
        <w:t>奋斗目标，财政部、工信部近日联合印发《关于深入推进电信普遍服务试点工作的通知》（以下简称《通知》），组织深入开展电信普遍服务试点工作。</w:t>
      </w:r>
    </w:p>
    <w:p w:rsidR="00837666" w:rsidRDefault="00AC7A0D">
      <w:pPr>
        <w:pStyle w:val="BodyText"/>
        <w:rPr>
          <w:lang w:eastAsia="zh-CN"/>
        </w:rPr>
      </w:pPr>
      <w:r>
        <w:rPr>
          <w:lang w:eastAsia="zh-CN"/>
        </w:rPr>
        <w:t>《通知》主要原则有以下三条。一是企业主体责任与政策支持相协同。企业是电信普遍服务的市场主体，有关电信业务经营企业应进一步提高认识，按照国家有关规定有效履行法定的电信普遍服务义务。通过中央财政资金引导和地方政府协同支持，共同形成合力确保试点工作顺利实施。二是政府统筹与市场竞争相协同。综合采取《政府采购法》所规定的招投标等竞争性方式</w:t>
      </w:r>
      <w:r>
        <w:rPr>
          <w:lang w:eastAsia="zh-CN"/>
        </w:rPr>
        <w:t>及《中华人民共和国电信条例》规定的指定方式确定实施企业。三是政府监管和公众监督相协同。全面实施绩效管理，建立健全竣工验收和监督检查等工作机制，推动试点地区落实承诺的支持政策，促进实施企业履约尽责，确保试点工作取得实效。</w:t>
      </w:r>
    </w:p>
    <w:p w:rsidR="00837666" w:rsidRDefault="00AC7A0D">
      <w:pPr>
        <w:pStyle w:val="BodyText"/>
      </w:pPr>
      <w:hyperlink r:id="rId16">
        <w:r>
          <w:t>http://cyyw.cena.com.cn/2018-05/29/content_387614.htm</w:t>
        </w:r>
      </w:hyperlink>
    </w:p>
    <w:p w:rsidR="00837666" w:rsidRDefault="00AC7A0D">
      <w:pPr>
        <w:pStyle w:val="Heading3"/>
        <w:rPr>
          <w:lang w:eastAsia="zh-CN"/>
        </w:rPr>
      </w:pPr>
      <w:bookmarkStart w:id="14" w:name="国家市场监管总局印发关于开展全国涉企收费专项检查的通知"/>
      <w:r>
        <w:rPr>
          <w:lang w:eastAsia="zh-CN"/>
        </w:rPr>
        <w:t>国家市场监管总局印发《关于开展全国涉企</w:t>
      </w:r>
      <w:r>
        <w:rPr>
          <w:lang w:eastAsia="zh-CN"/>
        </w:rPr>
        <w:t>收费专项检查的通知》</w:t>
      </w:r>
      <w:bookmarkEnd w:id="14"/>
    </w:p>
    <w:p w:rsidR="00837666" w:rsidRDefault="00AC7A0D">
      <w:pPr>
        <w:pStyle w:val="FirstParagraph"/>
        <w:rPr>
          <w:lang w:eastAsia="zh-CN"/>
        </w:rPr>
      </w:pPr>
      <w:r>
        <w:rPr>
          <w:lang w:eastAsia="zh-CN"/>
        </w:rPr>
        <w:t>近日，国家市场监管总局印发了《关于开展全国涉企收费专项检查的通知》（以下简称《通知》），部署各地于</w:t>
      </w:r>
      <w:r>
        <w:rPr>
          <w:lang w:eastAsia="zh-CN"/>
        </w:rPr>
        <w:t>2018</w:t>
      </w:r>
      <w:r>
        <w:rPr>
          <w:lang w:eastAsia="zh-CN"/>
        </w:rPr>
        <w:t>年</w:t>
      </w:r>
      <w:r>
        <w:rPr>
          <w:lang w:eastAsia="zh-CN"/>
        </w:rPr>
        <w:t>5</w:t>
      </w:r>
      <w:r>
        <w:rPr>
          <w:lang w:eastAsia="zh-CN"/>
        </w:rPr>
        <w:t>月至</w:t>
      </w:r>
      <w:r>
        <w:rPr>
          <w:lang w:eastAsia="zh-CN"/>
        </w:rPr>
        <w:t>11</w:t>
      </w:r>
      <w:r>
        <w:rPr>
          <w:lang w:eastAsia="zh-CN"/>
        </w:rPr>
        <w:t>月开展涉企收费专项检查工作，依法查处各类涉企违规收费行为。</w:t>
      </w:r>
    </w:p>
    <w:p w:rsidR="00837666" w:rsidRDefault="00AC7A0D">
      <w:pPr>
        <w:pStyle w:val="BodyText"/>
        <w:rPr>
          <w:lang w:eastAsia="zh-CN"/>
        </w:rPr>
      </w:pPr>
      <w:r>
        <w:rPr>
          <w:lang w:eastAsia="zh-CN"/>
        </w:rPr>
        <w:t>《通知》要求，各地价格主管部门要重点围绕四个方面开展检查：一是涉企收费目录清单执行情况。要求各地对照涉企收费目录清单，重点查处未按规定进行收费公示、公示内容不规范，继续收取取消、停征、免征的行政事业性收费，自行提高收费标准、延长收费时限、增加收费频次等各类违规收费行为。二是企业反映比较突出的问题。重点查处行政审</w:t>
      </w:r>
      <w:r>
        <w:rPr>
          <w:lang w:eastAsia="zh-CN"/>
        </w:rPr>
        <w:t>批中介服务收费、电子政务平台有关收费和行业协会商会收费等方面的违规收费。三是物流领域相关收费。重点查处铁路、港口、公路等领域擅自设立收费项目、超标准收费、重复收费等问题。四是融资过程相关收费。</w:t>
      </w:r>
      <w:r>
        <w:rPr>
          <w:lang w:eastAsia="zh-CN"/>
        </w:rPr>
        <w:lastRenderedPageBreak/>
        <w:t>重点查处商业银行利用贷款强势地位捆绑强制收费，只收费不服务少服务，将信贷业务中开展的尽职调查、贷款发放、支付管理、贷后管理等应尽的工作内容转变为收费等行为。</w:t>
      </w:r>
    </w:p>
    <w:p w:rsidR="00837666" w:rsidRDefault="00AC7A0D">
      <w:pPr>
        <w:pStyle w:val="BodyText"/>
      </w:pPr>
      <w:hyperlink r:id="rId17">
        <w:r>
          <w:t>h</w:t>
        </w:r>
        <w:r>
          <w:t>ttp://legal.people.com.cn/n1/2018/0529/c42510-30020326.html</w:t>
        </w:r>
      </w:hyperlink>
    </w:p>
    <w:p w:rsidR="00837666" w:rsidRDefault="00AC7A0D">
      <w:pPr>
        <w:pStyle w:val="Heading3"/>
        <w:rPr>
          <w:lang w:eastAsia="zh-CN"/>
        </w:rPr>
      </w:pPr>
      <w:bookmarkStart w:id="15" w:name="工业和信息化部办公厅和财政部联合发布2018年工业转型升级资金工作指南"/>
      <w:r>
        <w:rPr>
          <w:lang w:eastAsia="zh-CN"/>
        </w:rPr>
        <w:t>工业和信息化部办公厅和财政部联合发布</w:t>
      </w:r>
      <w:r>
        <w:rPr>
          <w:lang w:eastAsia="zh-CN"/>
        </w:rPr>
        <w:t>2018</w:t>
      </w:r>
      <w:r>
        <w:rPr>
          <w:lang w:eastAsia="zh-CN"/>
        </w:rPr>
        <w:t>年工业转型升级资金工作指南</w:t>
      </w:r>
      <w:bookmarkEnd w:id="15"/>
    </w:p>
    <w:p w:rsidR="00837666" w:rsidRDefault="00AC7A0D">
      <w:pPr>
        <w:pStyle w:val="FirstParagraph"/>
        <w:rPr>
          <w:lang w:eastAsia="zh-CN"/>
        </w:rPr>
      </w:pPr>
      <w:r>
        <w:rPr>
          <w:lang w:eastAsia="zh-CN"/>
        </w:rPr>
        <w:t>为加快制造强国和网络强国建设，促进工业转型升级，工业和信息化部办公厅、财政部办公厅日前印发《关于发布</w:t>
      </w:r>
      <w:r>
        <w:rPr>
          <w:lang w:eastAsia="zh-CN"/>
        </w:rPr>
        <w:t>2018</w:t>
      </w:r>
      <w:r>
        <w:rPr>
          <w:lang w:eastAsia="zh-CN"/>
        </w:rPr>
        <w:t>年工业转型升级资金工作指南的通知》（以下简称《工作指南》），联合组织开展</w:t>
      </w:r>
      <w:r>
        <w:rPr>
          <w:lang w:eastAsia="zh-CN"/>
        </w:rPr>
        <w:t>2018</w:t>
      </w:r>
      <w:r>
        <w:rPr>
          <w:lang w:eastAsia="zh-CN"/>
        </w:rPr>
        <w:t>年工业强基工程实施方案、绿色制造系统集成、工业互联网创新发展工程及智能制造综合标准化与新模式应用等申报工作。</w:t>
      </w:r>
    </w:p>
    <w:p w:rsidR="00837666" w:rsidRDefault="00AC7A0D">
      <w:pPr>
        <w:pStyle w:val="BodyText"/>
        <w:rPr>
          <w:lang w:eastAsia="zh-CN"/>
        </w:rPr>
      </w:pPr>
      <w:r>
        <w:rPr>
          <w:lang w:eastAsia="zh-CN"/>
        </w:rPr>
        <w:t>《工作指南》指出，重点</w:t>
      </w:r>
      <w:r>
        <w:rPr>
          <w:lang w:eastAsia="zh-CN"/>
        </w:rPr>
        <w:t>方向包括以下四个方面。一是工业强基工程实施方案。围绕《工业强基工程实施指南（</w:t>
      </w:r>
      <w:r>
        <w:rPr>
          <w:lang w:eastAsia="zh-CN"/>
        </w:rPr>
        <w:t>2016—2020</w:t>
      </w:r>
      <w:r>
        <w:rPr>
          <w:lang w:eastAsia="zh-CN"/>
        </w:rPr>
        <w:t>年）》十大领域</w:t>
      </w:r>
      <w:r>
        <w:rPr>
          <w:lang w:eastAsia="zh-CN"/>
        </w:rPr>
        <w:t>“</w:t>
      </w:r>
      <w:r>
        <w:rPr>
          <w:lang w:eastAsia="zh-CN"/>
        </w:rPr>
        <w:t>一揽子</w:t>
      </w:r>
      <w:r>
        <w:rPr>
          <w:lang w:eastAsia="zh-CN"/>
        </w:rPr>
        <w:t>”</w:t>
      </w:r>
      <w:r>
        <w:rPr>
          <w:lang w:eastAsia="zh-CN"/>
        </w:rPr>
        <w:t>突破行动关键瓶颈，核心零部件（元器件）重点支持机器人伺服控制器和驱动器、</w:t>
      </w:r>
      <w:r>
        <w:rPr>
          <w:lang w:eastAsia="zh-CN"/>
        </w:rPr>
        <w:t>5G</w:t>
      </w:r>
      <w:r>
        <w:rPr>
          <w:lang w:eastAsia="zh-CN"/>
        </w:rPr>
        <w:t>通信核心器件、高档数控机床轴承等方面。二是绿色制造系统集成。根据《财政部、工业和信息化部关于组织开展绿色制造系统集成工作的通知》要求，重点在机械、电子、化工、食品、纺织、家电、大型成套装备等行业，围绕绿色设计平台建设、绿色关键工艺突破、绿色供应链系统构建三个方向，推进绿色制造系统集成工作。三是工业互联网创新发展工程及</w:t>
      </w:r>
      <w:r>
        <w:rPr>
          <w:lang w:eastAsia="zh-CN"/>
        </w:rPr>
        <w:t>智能制造综合标准化与新模式应用。包括工业互联网创新发展工程和智能制造综合标准化与新模式应用。四是首台（套）重大技术装备保险补偿。</w:t>
      </w:r>
    </w:p>
    <w:p w:rsidR="00837666" w:rsidRDefault="00AC7A0D">
      <w:pPr>
        <w:pStyle w:val="BodyText"/>
        <w:rPr>
          <w:lang w:eastAsia="zh-CN"/>
        </w:rPr>
      </w:pPr>
      <w:hyperlink r:id="rId18">
        <w:r>
          <w:rPr>
            <w:lang w:eastAsia="zh-CN"/>
          </w:rPr>
          <w:t>http://cyyw.cena.com.cn/2018-05/29/content_387620.htm</w:t>
        </w:r>
      </w:hyperlink>
    </w:p>
    <w:p w:rsidR="00837666" w:rsidRDefault="00AC7A0D">
      <w:pPr>
        <w:pStyle w:val="Heading3"/>
        <w:rPr>
          <w:lang w:eastAsia="zh-CN"/>
        </w:rPr>
      </w:pPr>
      <w:bookmarkStart w:id="16" w:name="最高人民法院等部门将制定人民陪审员参审补助实施办法"/>
      <w:r>
        <w:rPr>
          <w:lang w:eastAsia="zh-CN"/>
        </w:rPr>
        <w:t>最高人民法院等部门将制定人民陪审员参审补助实施办法</w:t>
      </w:r>
      <w:bookmarkEnd w:id="16"/>
    </w:p>
    <w:p w:rsidR="00837666" w:rsidRDefault="00AC7A0D">
      <w:pPr>
        <w:pStyle w:val="FirstParagraph"/>
        <w:rPr>
          <w:lang w:eastAsia="zh-CN"/>
        </w:rPr>
      </w:pPr>
      <w:r>
        <w:rPr>
          <w:lang w:eastAsia="zh-CN"/>
        </w:rPr>
        <w:t>近日，最高人民法院、司法部联合召开视频会议，研究部署《人民陪审员法》实施工作</w:t>
      </w:r>
      <w:r>
        <w:rPr>
          <w:lang w:eastAsia="zh-CN"/>
        </w:rPr>
        <w:t>，最高人民法院、司法部等部门正在研究相关细则，制定陪审员参审补助实施办法，保证人民陪审员从选任到履职全面落地。</w:t>
      </w:r>
    </w:p>
    <w:p w:rsidR="00837666" w:rsidRDefault="00AC7A0D">
      <w:pPr>
        <w:pStyle w:val="BodyText"/>
        <w:rPr>
          <w:lang w:eastAsia="zh-CN"/>
        </w:rPr>
      </w:pPr>
      <w:r>
        <w:rPr>
          <w:lang w:eastAsia="zh-CN"/>
        </w:rPr>
        <w:t>最高人民法院院长周强强调，要加强对人民陪审员的人身安全和住所安全保护，对报复陷害、侮辱诽谤、暴力侵害人民陪审员及其近亲属的，依法追究法律责任。下一步，最高人民法院将就人民陪审员人身和住所安全保障出台相关细则，各级法院要切实抓好贯彻落实，加强对人民陪审员及其近亲属人身和住所安全的保护。周强指出，要强化人民陪审员所在单位的保障责任。如果发现人民陪审员参加审判活动期间，所在单位克扣或者变相克扣其工资、奖</w:t>
      </w:r>
      <w:r>
        <w:rPr>
          <w:lang w:eastAsia="zh-CN"/>
        </w:rPr>
        <w:t>金及其他福利待遇的，人民法院应当根据《人民陪审员法》第二十九条，对相关情况进行审查核实后，及时向人民陪审员所在单位或者主管部门、上级部门提出纠正意见。</w:t>
      </w:r>
    </w:p>
    <w:p w:rsidR="00837666" w:rsidRDefault="00AC7A0D">
      <w:pPr>
        <w:pStyle w:val="BodyText"/>
      </w:pPr>
      <w:hyperlink r:id="rId19">
        <w:r>
          <w:t>http://legal.people.com.cn/n1/2018/0529/c42510-30021662.html</w:t>
        </w:r>
      </w:hyperlink>
    </w:p>
    <w:p w:rsidR="00837666" w:rsidRDefault="00AC7A0D">
      <w:pPr>
        <w:pStyle w:val="Heading2"/>
        <w:rPr>
          <w:lang w:eastAsia="zh-CN"/>
        </w:rPr>
      </w:pPr>
      <w:bookmarkStart w:id="17" w:name="并购"/>
      <w:r>
        <w:rPr>
          <w:lang w:eastAsia="zh-CN"/>
        </w:rPr>
        <w:t>并购</w:t>
      </w:r>
      <w:bookmarkEnd w:id="17"/>
    </w:p>
    <w:p w:rsidR="00837666" w:rsidRDefault="00AC7A0D">
      <w:pPr>
        <w:pStyle w:val="Heading3"/>
        <w:rPr>
          <w:lang w:eastAsia="zh-CN"/>
        </w:rPr>
      </w:pPr>
      <w:bookmarkStart w:id="18" w:name="阿里健康以106亿港元收购天猫医疗器械等类目"/>
      <w:r>
        <w:rPr>
          <w:lang w:eastAsia="zh-CN"/>
        </w:rPr>
        <w:t>阿里健康以</w:t>
      </w:r>
      <w:r>
        <w:rPr>
          <w:lang w:eastAsia="zh-CN"/>
        </w:rPr>
        <w:t>106</w:t>
      </w:r>
      <w:r>
        <w:rPr>
          <w:lang w:eastAsia="zh-CN"/>
        </w:rPr>
        <w:t>亿港元收购天猫医疗器械等类目</w:t>
      </w:r>
      <w:bookmarkEnd w:id="18"/>
    </w:p>
    <w:p w:rsidR="00837666" w:rsidRDefault="00AC7A0D">
      <w:pPr>
        <w:pStyle w:val="FirstParagraph"/>
        <w:rPr>
          <w:lang w:eastAsia="zh-CN"/>
        </w:rPr>
      </w:pPr>
      <w:r>
        <w:rPr>
          <w:lang w:eastAsia="zh-CN"/>
        </w:rPr>
        <w:t>阿里健康于</w:t>
      </w:r>
      <w:r>
        <w:rPr>
          <w:lang w:eastAsia="zh-CN"/>
        </w:rPr>
        <w:t>2018</w:t>
      </w:r>
      <w:r>
        <w:rPr>
          <w:lang w:eastAsia="zh-CN"/>
        </w:rPr>
        <w:t>年</w:t>
      </w:r>
      <w:r>
        <w:rPr>
          <w:lang w:eastAsia="zh-CN"/>
        </w:rPr>
        <w:t>5</w:t>
      </w:r>
      <w:r>
        <w:rPr>
          <w:lang w:eastAsia="zh-CN"/>
        </w:rPr>
        <w:t>月</w:t>
      </w:r>
      <w:r>
        <w:rPr>
          <w:lang w:eastAsia="zh-CN"/>
        </w:rPr>
        <w:t>2</w:t>
      </w:r>
      <w:r>
        <w:rPr>
          <w:lang w:eastAsia="zh-CN"/>
        </w:rPr>
        <w:t>9</w:t>
      </w:r>
      <w:r>
        <w:rPr>
          <w:lang w:eastAsia="zh-CN"/>
        </w:rPr>
        <w:t>日早晨发布公告宣布，正式与阿里巴巴集团签署协议，以大约</w:t>
      </w:r>
      <w:r>
        <w:rPr>
          <w:lang w:eastAsia="zh-CN"/>
        </w:rPr>
        <w:t>18.28</w:t>
      </w:r>
      <w:r>
        <w:rPr>
          <w:lang w:eastAsia="zh-CN"/>
        </w:rPr>
        <w:t>亿阿里健康股份，即</w:t>
      </w:r>
      <w:r>
        <w:rPr>
          <w:lang w:eastAsia="zh-CN"/>
        </w:rPr>
        <w:t>106</w:t>
      </w:r>
      <w:r>
        <w:rPr>
          <w:lang w:eastAsia="zh-CN"/>
        </w:rPr>
        <w:t>亿港元的价格收购天猫医疗器械及保健用品、成人用品、医疗和健康服务等业务。</w:t>
      </w:r>
    </w:p>
    <w:p w:rsidR="00837666" w:rsidRDefault="00AC7A0D">
      <w:pPr>
        <w:pStyle w:val="BodyText"/>
        <w:rPr>
          <w:lang w:eastAsia="zh-CN"/>
        </w:rPr>
      </w:pPr>
      <w:r>
        <w:rPr>
          <w:lang w:eastAsia="zh-CN"/>
        </w:rPr>
        <w:t>阿里健康表示，相信收购目标业务将能够进一步确保阿里健康发展为阿里巴巴集团旗下的医药保健旗舰平台，可以将更广泛的电商商家纳入到医药保健线上社群从而丰富生态，并与本公司的现有保健品和服务业务、智慧医疗及保健管理服务、产品追溯平台服务这三大业务板块形成有机互补；及获得更稳定的可持续收入增长。目前，阿里健康电商业务板块包含阿里健康自营、天猫医药类目代运营</w:t>
      </w:r>
      <w:r>
        <w:rPr>
          <w:lang w:eastAsia="zh-CN"/>
        </w:rPr>
        <w:t>服务以及医药</w:t>
      </w:r>
      <w:r>
        <w:rPr>
          <w:lang w:eastAsia="zh-CN"/>
        </w:rPr>
        <w:t>O2O</w:t>
      </w:r>
      <w:r>
        <w:rPr>
          <w:lang w:eastAsia="zh-CN"/>
        </w:rPr>
        <w:t>一套完整的体系。自从</w:t>
      </w:r>
      <w:r>
        <w:rPr>
          <w:lang w:eastAsia="zh-CN"/>
        </w:rPr>
        <w:t>2016</w:t>
      </w:r>
      <w:r>
        <w:rPr>
          <w:lang w:eastAsia="zh-CN"/>
        </w:rPr>
        <w:t>年</w:t>
      </w:r>
      <w:r>
        <w:rPr>
          <w:lang w:eastAsia="zh-CN"/>
        </w:rPr>
        <w:t>9</w:t>
      </w:r>
      <w:r>
        <w:rPr>
          <w:lang w:eastAsia="zh-CN"/>
        </w:rPr>
        <w:t>月开始代运营天猫医药类目业务以来，该业务成为天猫上增速最快的业务板块之一。</w:t>
      </w:r>
    </w:p>
    <w:p w:rsidR="00837666" w:rsidRDefault="00AC7A0D">
      <w:pPr>
        <w:pStyle w:val="BodyText"/>
      </w:pPr>
      <w:hyperlink r:id="rId20">
        <w:r>
          <w:t>http://company.stcn.com/2018/0529/14279849.shtml</w:t>
        </w:r>
      </w:hyperlink>
    </w:p>
    <w:p w:rsidR="00837666" w:rsidRDefault="00AC7A0D">
      <w:pPr>
        <w:pStyle w:val="Heading3"/>
      </w:pPr>
      <w:bookmarkStart w:id="19" w:name="思维列控拟15.3亿增持蓝信科技51股权"/>
      <w:r>
        <w:t>思维列控拟</w:t>
      </w:r>
      <w:r>
        <w:t>15.3</w:t>
      </w:r>
      <w:r>
        <w:t>亿增持蓝信科技</w:t>
      </w:r>
      <w:r>
        <w:t>51%</w:t>
      </w:r>
      <w:r>
        <w:t>股权</w:t>
      </w:r>
      <w:bookmarkEnd w:id="19"/>
    </w:p>
    <w:p w:rsidR="00837666" w:rsidRDefault="00AC7A0D">
      <w:pPr>
        <w:pStyle w:val="FirstParagraph"/>
        <w:rPr>
          <w:lang w:eastAsia="zh-CN"/>
        </w:rPr>
      </w:pPr>
      <w:r>
        <w:rPr>
          <w:lang w:eastAsia="zh-CN"/>
        </w:rPr>
        <w:t>思维列控近日发布重组预案公告称，公司拟以</w:t>
      </w:r>
      <w:r>
        <w:rPr>
          <w:lang w:eastAsia="zh-CN"/>
        </w:rPr>
        <w:t>31.91</w:t>
      </w:r>
      <w:r>
        <w:rPr>
          <w:lang w:eastAsia="zh-CN"/>
        </w:rPr>
        <w:t>元</w:t>
      </w:r>
      <w:r>
        <w:rPr>
          <w:lang w:eastAsia="zh-CN"/>
        </w:rPr>
        <w:t>/</w:t>
      </w:r>
      <w:r>
        <w:rPr>
          <w:lang w:eastAsia="zh-CN"/>
        </w:rPr>
        <w:t>股发行</w:t>
      </w:r>
      <w:r>
        <w:rPr>
          <w:lang w:eastAsia="zh-CN"/>
        </w:rPr>
        <w:t>3077.41</w:t>
      </w:r>
      <w:r>
        <w:rPr>
          <w:lang w:eastAsia="zh-CN"/>
        </w:rPr>
        <w:t>万股，并支付</w:t>
      </w:r>
      <w:r>
        <w:rPr>
          <w:lang w:eastAsia="zh-CN"/>
        </w:rPr>
        <w:t>5.48</w:t>
      </w:r>
      <w:r>
        <w:rPr>
          <w:lang w:eastAsia="zh-CN"/>
        </w:rPr>
        <w:t>亿元现金，合计作价</w:t>
      </w:r>
      <w:r>
        <w:rPr>
          <w:lang w:eastAsia="zh-CN"/>
        </w:rPr>
        <w:t>15.30</w:t>
      </w:r>
      <w:r>
        <w:rPr>
          <w:lang w:eastAsia="zh-CN"/>
        </w:rPr>
        <w:t>亿元购买赵建州、西藏蓝信合计持有的蓝信科技</w:t>
      </w:r>
      <w:r>
        <w:rPr>
          <w:lang w:eastAsia="zh-CN"/>
        </w:rPr>
        <w:t>51%</w:t>
      </w:r>
      <w:r>
        <w:rPr>
          <w:lang w:eastAsia="zh-CN"/>
        </w:rPr>
        <w:t>股权。本次交易完成后，思维列控将持有蓝信科技</w:t>
      </w:r>
      <w:r>
        <w:rPr>
          <w:lang w:eastAsia="zh-CN"/>
        </w:rPr>
        <w:t>100%</w:t>
      </w:r>
      <w:r>
        <w:rPr>
          <w:lang w:eastAsia="zh-CN"/>
        </w:rPr>
        <w:t>的股权。上市公司将实现在高铁领域的重要突破，竞争实力和持续盈利能力将得到进一步加强。</w:t>
      </w:r>
    </w:p>
    <w:p w:rsidR="00837666" w:rsidRDefault="00AC7A0D">
      <w:pPr>
        <w:pStyle w:val="BodyText"/>
        <w:rPr>
          <w:lang w:eastAsia="zh-CN"/>
        </w:rPr>
      </w:pPr>
      <w:r>
        <w:rPr>
          <w:lang w:eastAsia="zh-CN"/>
        </w:rPr>
        <w:t>思维列控表示，公司自成立以来一直致力于中国列车运行控制系统的自主研发、升级及产业化。公司与蓝信科技均位于郑州高新区，均从事铁路安全领域业务，对彼此业务资质、经营优势及市场地位充分认可，尤其是蓝信科技核心业</w:t>
      </w:r>
      <w:r>
        <w:rPr>
          <w:lang w:eastAsia="zh-CN"/>
        </w:rPr>
        <w:t>务立足高铁领域，是上市公司高铁战略落地的加速器。双方在业务、技术研发、客户资源、生产运营等方面协同效应显著，可围绕</w:t>
      </w:r>
      <w:r>
        <w:rPr>
          <w:lang w:eastAsia="zh-CN"/>
        </w:rPr>
        <w:t>“</w:t>
      </w:r>
      <w:r>
        <w:rPr>
          <w:lang w:eastAsia="zh-CN"/>
        </w:rPr>
        <w:t>高铁</w:t>
      </w:r>
      <w:r>
        <w:rPr>
          <w:lang w:eastAsia="zh-CN"/>
        </w:rPr>
        <w:t>+</w:t>
      </w:r>
      <w:r>
        <w:rPr>
          <w:lang w:eastAsia="zh-CN"/>
        </w:rPr>
        <w:t>既有线</w:t>
      </w:r>
      <w:r>
        <w:rPr>
          <w:lang w:eastAsia="zh-CN"/>
        </w:rPr>
        <w:t>”</w:t>
      </w:r>
      <w:r>
        <w:rPr>
          <w:lang w:eastAsia="zh-CN"/>
        </w:rPr>
        <w:t>、</w:t>
      </w:r>
      <w:r>
        <w:rPr>
          <w:lang w:eastAsia="zh-CN"/>
        </w:rPr>
        <w:t>“</w:t>
      </w:r>
      <w:r>
        <w:rPr>
          <w:lang w:eastAsia="zh-CN"/>
        </w:rPr>
        <w:t>控制</w:t>
      </w:r>
      <w:r>
        <w:rPr>
          <w:lang w:eastAsia="zh-CN"/>
        </w:rPr>
        <w:t>+</w:t>
      </w:r>
      <w:r>
        <w:rPr>
          <w:lang w:eastAsia="zh-CN"/>
        </w:rPr>
        <w:t>监测</w:t>
      </w:r>
      <w:r>
        <w:rPr>
          <w:lang w:eastAsia="zh-CN"/>
        </w:rPr>
        <w:t>”</w:t>
      </w:r>
      <w:r>
        <w:rPr>
          <w:lang w:eastAsia="zh-CN"/>
        </w:rPr>
        <w:t>、</w:t>
      </w:r>
      <w:r>
        <w:rPr>
          <w:lang w:eastAsia="zh-CN"/>
        </w:rPr>
        <w:t>“</w:t>
      </w:r>
      <w:r>
        <w:rPr>
          <w:lang w:eastAsia="zh-CN"/>
        </w:rPr>
        <w:t>机务</w:t>
      </w:r>
      <w:r>
        <w:rPr>
          <w:lang w:eastAsia="zh-CN"/>
        </w:rPr>
        <w:t>+</w:t>
      </w:r>
      <w:r>
        <w:rPr>
          <w:lang w:eastAsia="zh-CN"/>
        </w:rPr>
        <w:t>电务</w:t>
      </w:r>
      <w:r>
        <w:rPr>
          <w:lang w:eastAsia="zh-CN"/>
        </w:rPr>
        <w:t>”</w:t>
      </w:r>
      <w:r>
        <w:rPr>
          <w:lang w:eastAsia="zh-CN"/>
        </w:rPr>
        <w:t>、</w:t>
      </w:r>
      <w:r>
        <w:rPr>
          <w:lang w:eastAsia="zh-CN"/>
        </w:rPr>
        <w:t>“</w:t>
      </w:r>
      <w:r>
        <w:rPr>
          <w:lang w:eastAsia="zh-CN"/>
        </w:rPr>
        <w:t>车载</w:t>
      </w:r>
      <w:r>
        <w:rPr>
          <w:lang w:eastAsia="zh-CN"/>
        </w:rPr>
        <w:t>+</w:t>
      </w:r>
      <w:r>
        <w:rPr>
          <w:lang w:eastAsia="zh-CN"/>
        </w:rPr>
        <w:t>地面</w:t>
      </w:r>
      <w:r>
        <w:rPr>
          <w:lang w:eastAsia="zh-CN"/>
        </w:rPr>
        <w:t>”</w:t>
      </w:r>
      <w:r>
        <w:rPr>
          <w:lang w:eastAsia="zh-CN"/>
        </w:rPr>
        <w:t>、</w:t>
      </w:r>
      <w:r>
        <w:rPr>
          <w:lang w:eastAsia="zh-CN"/>
        </w:rPr>
        <w:t>“</w:t>
      </w:r>
      <w:r>
        <w:rPr>
          <w:lang w:eastAsia="zh-CN"/>
        </w:rPr>
        <w:t>数据资源</w:t>
      </w:r>
      <w:r>
        <w:rPr>
          <w:lang w:eastAsia="zh-CN"/>
        </w:rPr>
        <w:t>+</w:t>
      </w:r>
      <w:r>
        <w:rPr>
          <w:lang w:eastAsia="zh-CN"/>
        </w:rPr>
        <w:t>智能分析</w:t>
      </w:r>
      <w:r>
        <w:rPr>
          <w:lang w:eastAsia="zh-CN"/>
        </w:rPr>
        <w:t>”</w:t>
      </w:r>
      <w:r>
        <w:rPr>
          <w:lang w:eastAsia="zh-CN"/>
        </w:rPr>
        <w:t>等领域开展深度合作，实现良好的产业协同，对各自长远发展及上市公司整体价值的持续提升具有重要意义。</w:t>
      </w:r>
    </w:p>
    <w:p w:rsidR="00837666" w:rsidRDefault="00AC7A0D">
      <w:pPr>
        <w:pStyle w:val="BodyText"/>
      </w:pPr>
      <w:hyperlink r:id="rId21">
        <w:r>
          <w:t>http://company.stcn.com/2018/0529/1427</w:t>
        </w:r>
        <w:r>
          <w:t>9736.shtml</w:t>
        </w:r>
      </w:hyperlink>
    </w:p>
    <w:p w:rsidR="00837666" w:rsidRDefault="00AC7A0D">
      <w:pPr>
        <w:pStyle w:val="Heading3"/>
      </w:pPr>
      <w:bookmarkStart w:id="20" w:name="大富科技拟收购百立丰51股权"/>
      <w:r>
        <w:t>大富科技拟收购百立丰</w:t>
      </w:r>
      <w:r>
        <w:t>51%</w:t>
      </w:r>
      <w:r>
        <w:t>股权</w:t>
      </w:r>
      <w:bookmarkEnd w:id="20"/>
    </w:p>
    <w:p w:rsidR="00837666" w:rsidRDefault="00AC7A0D">
      <w:pPr>
        <w:pStyle w:val="FirstParagraph"/>
        <w:rPr>
          <w:lang w:eastAsia="zh-CN"/>
        </w:rPr>
      </w:pPr>
      <w:r>
        <w:rPr>
          <w:lang w:eastAsia="zh-CN"/>
        </w:rPr>
        <w:t>近日，大富科技披露重组进展，公司与百立丰的主要股东签署框架协议，拟现金收购百立丰</w:t>
      </w:r>
      <w:r>
        <w:rPr>
          <w:lang w:eastAsia="zh-CN"/>
        </w:rPr>
        <w:t>51%</w:t>
      </w:r>
      <w:r>
        <w:rPr>
          <w:lang w:eastAsia="zh-CN"/>
        </w:rPr>
        <w:t>的股权，百立丰</w:t>
      </w:r>
      <w:r>
        <w:rPr>
          <w:lang w:eastAsia="zh-CN"/>
        </w:rPr>
        <w:t>100%</w:t>
      </w:r>
      <w:r>
        <w:rPr>
          <w:lang w:eastAsia="zh-CN"/>
        </w:rPr>
        <w:t>股权的交易价格预估值为</w:t>
      </w:r>
      <w:r>
        <w:rPr>
          <w:lang w:eastAsia="zh-CN"/>
        </w:rPr>
        <w:t>17</w:t>
      </w:r>
      <w:r>
        <w:rPr>
          <w:lang w:eastAsia="zh-CN"/>
        </w:rPr>
        <w:t>亿元。</w:t>
      </w:r>
    </w:p>
    <w:p w:rsidR="00837666" w:rsidRDefault="00AC7A0D">
      <w:pPr>
        <w:pStyle w:val="BodyText"/>
        <w:rPr>
          <w:lang w:eastAsia="zh-CN"/>
        </w:rPr>
      </w:pPr>
      <w:r>
        <w:rPr>
          <w:lang w:eastAsia="zh-CN"/>
        </w:rPr>
        <w:t>大富科技表示，本次收购百立丰，就是公司在</w:t>
      </w:r>
      <w:r>
        <w:rPr>
          <w:lang w:eastAsia="zh-CN"/>
        </w:rPr>
        <w:t>5G</w:t>
      </w:r>
      <w:r>
        <w:rPr>
          <w:lang w:eastAsia="zh-CN"/>
        </w:rPr>
        <w:t>全产业发展的重要布局，旨在借助其在智能终端精密金属结构件、高端硅胶结构件、芯片、屏幕、摄像机等领域的优势进一步强化智能终端业务。正是基于对大富科技产业链布局的认可，百立丰计划亿元增持大富科技。据公告显示，百立丰承诺，自大富科技足额支付现金对价后的</w:t>
      </w:r>
      <w:r>
        <w:rPr>
          <w:lang w:eastAsia="zh-CN"/>
        </w:rPr>
        <w:t>3</w:t>
      </w:r>
      <w:r>
        <w:rPr>
          <w:lang w:eastAsia="zh-CN"/>
        </w:rPr>
        <w:t>个自然月内，将全部所得交</w:t>
      </w:r>
      <w:r>
        <w:rPr>
          <w:lang w:eastAsia="zh-CN"/>
        </w:rPr>
        <w:t>易对价税后实际所得金额的</w:t>
      </w:r>
      <w:r>
        <w:rPr>
          <w:lang w:eastAsia="zh-CN"/>
        </w:rPr>
        <w:t>80%</w:t>
      </w:r>
      <w:r>
        <w:rPr>
          <w:lang w:eastAsia="zh-CN"/>
        </w:rPr>
        <w:t>通过二级市场增持大富科技。目前，百立丰形成了以智能终端为基础纵向布局产业链上游面板、内存、芯片等核心资源，横向拓展智能硬件、智能家居、软件研发等生态链系统。</w:t>
      </w:r>
    </w:p>
    <w:p w:rsidR="00837666" w:rsidRDefault="00AC7A0D">
      <w:pPr>
        <w:pStyle w:val="BodyText"/>
      </w:pPr>
      <w:hyperlink r:id="rId22">
        <w:r>
          <w:t>http://company.stcn.com/2018/0524/14269530.shtml</w:t>
        </w:r>
      </w:hyperlink>
    </w:p>
    <w:p w:rsidR="00837666" w:rsidRDefault="00AC7A0D">
      <w:pPr>
        <w:pStyle w:val="Heading3"/>
      </w:pPr>
      <w:bookmarkStart w:id="21" w:name="必康股份收购桑尼赛尔30股权加速布局生物医药领域"/>
      <w:r>
        <w:t>必康股份收购桑尼赛尔</w:t>
      </w:r>
      <w:r>
        <w:t>30%</w:t>
      </w:r>
      <w:r>
        <w:t>股权，加速布局生物医药领域</w:t>
      </w:r>
      <w:bookmarkEnd w:id="21"/>
    </w:p>
    <w:p w:rsidR="00837666" w:rsidRDefault="00AC7A0D">
      <w:pPr>
        <w:pStyle w:val="FirstParagraph"/>
        <w:rPr>
          <w:lang w:eastAsia="zh-CN"/>
        </w:rPr>
      </w:pPr>
      <w:r>
        <w:rPr>
          <w:lang w:eastAsia="zh-CN"/>
        </w:rPr>
        <w:t>必康股份发布公告称，公司全资子公司陕</w:t>
      </w:r>
      <w:r>
        <w:rPr>
          <w:lang w:eastAsia="zh-CN"/>
        </w:rPr>
        <w:t>西必康拟以自有资金人民币</w:t>
      </w:r>
      <w:r>
        <w:rPr>
          <w:lang w:eastAsia="zh-CN"/>
        </w:rPr>
        <w:t>1,200</w:t>
      </w:r>
      <w:r>
        <w:rPr>
          <w:lang w:eastAsia="zh-CN"/>
        </w:rPr>
        <w:t>万元对西安桑尼赛尔生物医药有限公司（以下简称</w:t>
      </w:r>
      <w:r>
        <w:rPr>
          <w:lang w:eastAsia="zh-CN"/>
        </w:rPr>
        <w:t>“</w:t>
      </w:r>
      <w:r>
        <w:rPr>
          <w:lang w:eastAsia="zh-CN"/>
        </w:rPr>
        <w:t>桑尼赛尔</w:t>
      </w:r>
      <w:r>
        <w:rPr>
          <w:lang w:eastAsia="zh-CN"/>
        </w:rPr>
        <w:t>”</w:t>
      </w:r>
      <w:r>
        <w:rPr>
          <w:lang w:eastAsia="zh-CN"/>
        </w:rPr>
        <w:t>）增资并收购其</w:t>
      </w:r>
      <w:r>
        <w:rPr>
          <w:lang w:eastAsia="zh-CN"/>
        </w:rPr>
        <w:t>30%</w:t>
      </w:r>
      <w:r>
        <w:rPr>
          <w:lang w:eastAsia="zh-CN"/>
        </w:rPr>
        <w:t>股权。其中</w:t>
      </w:r>
      <w:r>
        <w:rPr>
          <w:lang w:eastAsia="zh-CN"/>
        </w:rPr>
        <w:t>1,000</w:t>
      </w:r>
      <w:r>
        <w:rPr>
          <w:lang w:eastAsia="zh-CN"/>
        </w:rPr>
        <w:t>万元用于增资，</w:t>
      </w:r>
      <w:r>
        <w:rPr>
          <w:lang w:eastAsia="zh-CN"/>
        </w:rPr>
        <w:t>200</w:t>
      </w:r>
      <w:r>
        <w:rPr>
          <w:lang w:eastAsia="zh-CN"/>
        </w:rPr>
        <w:t>万元用于股权转让。本次收购完成后，桑尼赛尔将成为陕西必康参股子公司。</w:t>
      </w:r>
    </w:p>
    <w:p w:rsidR="00837666" w:rsidRDefault="00AC7A0D">
      <w:pPr>
        <w:pStyle w:val="BodyText"/>
        <w:rPr>
          <w:lang w:eastAsia="zh-CN"/>
        </w:rPr>
      </w:pPr>
      <w:r>
        <w:rPr>
          <w:lang w:eastAsia="zh-CN"/>
        </w:rPr>
        <w:t>桑尼赛尔研发的通用性</w:t>
      </w:r>
      <w:r>
        <w:rPr>
          <w:lang w:eastAsia="zh-CN"/>
        </w:rPr>
        <w:t>CAR-T</w:t>
      </w:r>
      <w:r>
        <w:rPr>
          <w:lang w:eastAsia="zh-CN"/>
        </w:rPr>
        <w:t>细胞疗法在临床癌症治疗方面具有巨大潜力，其团队不仅针对性地解决了治疗过程中存在的临床隐患，在克服排异反应方面也拥有领先的技术。通过本次投资，必康股份将进一步加强在生物医药领域的战略布局。有分析人士指出，桑尼赛尔具备更符合市场需求的</w:t>
      </w:r>
      <w:r>
        <w:rPr>
          <w:lang w:eastAsia="zh-CN"/>
        </w:rPr>
        <w:t>CAR-T</w:t>
      </w:r>
      <w:r>
        <w:rPr>
          <w:lang w:eastAsia="zh-CN"/>
        </w:rPr>
        <w:t>细胞免疫疗法和前沿的</w:t>
      </w:r>
      <w:r>
        <w:rPr>
          <w:lang w:eastAsia="zh-CN"/>
        </w:rPr>
        <w:t>C</w:t>
      </w:r>
      <w:r>
        <w:rPr>
          <w:lang w:eastAsia="zh-CN"/>
        </w:rPr>
        <w:t>AR—T</w:t>
      </w:r>
      <w:r>
        <w:rPr>
          <w:lang w:eastAsia="zh-CN"/>
        </w:rPr>
        <w:t>细胞免疫疗法，将有助于形成必康股份在生物医药领域的差异化竞争力，在中医药业务板块外，构建未来综合竞争优势与新的利润增长点。</w:t>
      </w:r>
    </w:p>
    <w:p w:rsidR="00837666" w:rsidRDefault="00AC7A0D">
      <w:pPr>
        <w:pStyle w:val="BodyText"/>
      </w:pPr>
      <w:hyperlink r:id="rId23">
        <w:r>
          <w:t>https://finance.qq.com/a/20180530/037318.htm</w:t>
        </w:r>
      </w:hyperlink>
    </w:p>
    <w:p w:rsidR="00837666" w:rsidRDefault="00AC7A0D">
      <w:pPr>
        <w:pStyle w:val="DisclaimerBold"/>
        <w:rPr>
          <w:lang w:eastAsia="zh-CN"/>
        </w:rPr>
      </w:pPr>
      <w:r>
        <w:rPr>
          <w:lang w:eastAsia="zh-CN"/>
        </w:rPr>
        <w:t>此法讯仅为提供相关资料信息之用，其内容并</w:t>
      </w:r>
    </w:p>
    <w:p w:rsidR="00837666" w:rsidRDefault="00AC7A0D">
      <w:pPr>
        <w:pStyle w:val="Disclaimer"/>
        <w:rPr>
          <w:lang w:eastAsia="zh-CN"/>
        </w:rPr>
      </w:pPr>
      <w:r>
        <w:rPr>
          <w:lang w:eastAsia="zh-CN"/>
        </w:rPr>
        <w:t>不构成法律建议及个案的法律分析。</w:t>
      </w:r>
    </w:p>
    <w:p w:rsidR="00837666" w:rsidRDefault="00AC7A0D">
      <w:pPr>
        <w:pStyle w:val="Disclaimer"/>
        <w:rPr>
          <w:lang w:eastAsia="zh-CN"/>
        </w:rPr>
      </w:pPr>
      <w:r>
        <w:rPr>
          <w:lang w:eastAsia="zh-CN"/>
        </w:rPr>
        <w:t>此法讯的发送并不是为了在易周律师行与用户或浏览者之间建立一种律师与客户之关系。</w:t>
      </w:r>
    </w:p>
    <w:p w:rsidR="00837666" w:rsidRDefault="00AC7A0D">
      <w:pPr>
        <w:pStyle w:val="Disclaimer"/>
        <w:rPr>
          <w:lang w:eastAsia="zh-CN"/>
        </w:rPr>
      </w:pPr>
      <w:r>
        <w:rPr>
          <w:lang w:eastAsia="zh-CN"/>
        </w:rPr>
        <w:t>易周律</w:t>
      </w:r>
      <w:r>
        <w:rPr>
          <w:lang w:eastAsia="zh-CN"/>
        </w:rPr>
        <w:t>师行并不对可从互联网获得的任何第三方内容负责。</w:t>
      </w:r>
    </w:p>
    <w:p w:rsidR="00837666" w:rsidRDefault="00AC7A0D">
      <w:pPr>
        <w:pStyle w:val="Disclaimer"/>
        <w:rPr>
          <w:lang w:eastAsia="zh-CN"/>
        </w:rPr>
      </w:pPr>
      <w:r>
        <w:rPr>
          <w:lang w:eastAsia="zh-CN"/>
        </w:rPr>
        <w:t>如你不希望再收到易周法讯，请发送电邮至</w:t>
      </w:r>
      <w:r>
        <w:rPr>
          <w:lang w:eastAsia="zh-CN"/>
        </w:rPr>
        <w:t xml:space="preserve">  </w:t>
      </w:r>
      <w:hyperlink r:id="rId24">
        <w:r>
          <w:rPr>
            <w:lang w:eastAsia="zh-CN"/>
          </w:rPr>
          <w:t>unsubscribe@charltonslaw.com</w:t>
        </w:r>
      </w:hyperlink>
    </w:p>
    <w:p w:rsidR="00837666" w:rsidRDefault="00AC7A0D">
      <w:pPr>
        <w:pStyle w:val="BlackStrips"/>
      </w:pPr>
      <w:r>
        <w:lastRenderedPageBreak/>
        <w:t xml:space="preserve">Charltons - </w:t>
      </w:r>
      <w:proofErr w:type="spellStart"/>
      <w:r>
        <w:t>法讯</w:t>
      </w:r>
      <w:proofErr w:type="spellEnd"/>
      <w:r>
        <w:t xml:space="preserve"> - </w:t>
      </w:r>
      <w:r>
        <w:t>中国</w:t>
      </w:r>
      <w:r>
        <w:t xml:space="preserve"> - 2018</w:t>
      </w:r>
      <w:r>
        <w:t>年</w:t>
      </w:r>
      <w:r>
        <w:t>6</w:t>
      </w:r>
      <w:r>
        <w:t>月</w:t>
      </w:r>
      <w:r>
        <w:t>1</w:t>
      </w:r>
      <w:r>
        <w:t>日</w:t>
      </w:r>
    </w:p>
    <w:sectPr w:rsidR="00837666">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C7A0D">
      <w:pPr>
        <w:spacing w:after="0"/>
      </w:pPr>
      <w:r>
        <w:separator/>
      </w:r>
    </w:p>
  </w:endnote>
  <w:endnote w:type="continuationSeparator" w:id="0">
    <w:p w:rsidR="00000000" w:rsidRDefault="00AC7A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666" w:rsidRDefault="00AC7A0D">
      <w:r>
        <w:separator/>
      </w:r>
    </w:p>
  </w:footnote>
  <w:footnote w:type="continuationSeparator" w:id="0">
    <w:p w:rsidR="00837666" w:rsidRDefault="00AC7A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4983C8"/>
    <w:multiLevelType w:val="multilevel"/>
    <w:tmpl w:val="9AFC32E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4E29B3"/>
    <w:rsid w:val="00590D07"/>
    <w:rsid w:val="00784D58"/>
    <w:rsid w:val="00837666"/>
    <w:rsid w:val="008D6863"/>
    <w:rsid w:val="00AC7A0D"/>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267"/>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ltonslaw.com.cn/zhong-guo-yin-bao-jian-hui-zheng-shi-fa-bu-shang-ye-yin-hang-liu-dong-xing-feng-xian-guan-li-ban-fa" TargetMode="External"/><Relationship Id="rId13" Type="http://schemas.openxmlformats.org/officeDocument/2006/relationships/hyperlink" Target="http://xw.sinoins.com/2018-05/31/content_262667.htm" TargetMode="External"/><Relationship Id="rId18" Type="http://schemas.openxmlformats.org/officeDocument/2006/relationships/hyperlink" Target="http://cyyw.cena.com.cn/2018-05/29/content_387620.ht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company.stcn.com/2018/0529/14279736.shtml" TargetMode="External"/><Relationship Id="rId7" Type="http://schemas.openxmlformats.org/officeDocument/2006/relationships/endnotes" Target="endnotes.xml"/><Relationship Id="rId12" Type="http://schemas.openxmlformats.org/officeDocument/2006/relationships/hyperlink" Target="http://www.szse.cn/main/aboutus/bsyw/39779627.shtml" TargetMode="External"/><Relationship Id="rId17" Type="http://schemas.openxmlformats.org/officeDocument/2006/relationships/hyperlink" Target="http://legal.people.com.cn/n1/2018/0529/c42510-30020326.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yyw.cena.com.cn/2018-05/29/content_387614.htm" TargetMode="External"/><Relationship Id="rId20" Type="http://schemas.openxmlformats.org/officeDocument/2006/relationships/hyperlink" Target="http://company.stcn.com/2018/0529/14279849.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brc.gov.cn/chinese/newShouDoc/C2BA2A5272944ABB815FE47E59876D6A.html" TargetMode="External"/><Relationship Id="rId24" Type="http://schemas.openxmlformats.org/officeDocument/2006/relationships/hyperlink" Target="mailto:unsubscribe@charltonslaw.com?subject=unsubscribe%20-Hong%20Kong%20Law-" TargetMode="External"/><Relationship Id="rId5" Type="http://schemas.openxmlformats.org/officeDocument/2006/relationships/webSettings" Target="webSettings.xml"/><Relationship Id="rId15" Type="http://schemas.openxmlformats.org/officeDocument/2006/relationships/hyperlink" Target="http://www.gov.cn/xinwen/2018-05/27/content_5293833.htm" TargetMode="External"/><Relationship Id="rId23" Type="http://schemas.openxmlformats.org/officeDocument/2006/relationships/hyperlink" Target="https://finance.qq.com/a/20180530/037318.htm" TargetMode="External"/><Relationship Id="rId10" Type="http://schemas.openxmlformats.org/officeDocument/2006/relationships/hyperlink" Target="http://www.szse.cn/main/aboutus/bsyw/39779715.shtml" TargetMode="External"/><Relationship Id="rId19" Type="http://schemas.openxmlformats.org/officeDocument/2006/relationships/hyperlink" Target="http://legal.people.com.cn/n1/2018/0529/c42510-30021662.html" TargetMode="External"/><Relationship Id="rId4" Type="http://schemas.openxmlformats.org/officeDocument/2006/relationships/settings" Target="settings.xml"/><Relationship Id="rId9" Type="http://schemas.openxmlformats.org/officeDocument/2006/relationships/hyperlink" Target="http://www.xinhuanet.com/money/2018-05/28/c_129881290.htm" TargetMode="External"/><Relationship Id="rId14" Type="http://schemas.openxmlformats.org/officeDocument/2006/relationships/hyperlink" Target="http://www.gov.cn/xinwen/2018-05/29/content_5294479.htm" TargetMode="External"/><Relationship Id="rId22" Type="http://schemas.openxmlformats.org/officeDocument/2006/relationships/hyperlink" Target="http://company.stcn.com/2018/0524/14269530.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1282</Words>
  <Characters>7310</Characters>
  <Application>Microsoft Office Word</Application>
  <DocSecurity>0</DocSecurity>
  <Lines>60</Lines>
  <Paragraphs>17</Paragraphs>
  <ScaleCrop>false</ScaleCrop>
  <Company>C</Company>
  <LinksUpToDate>false</LinksUpToDate>
  <CharactersWithSpaces>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2018-06-01T03:07:00Z</dcterms:created>
  <dcterms:modified xsi:type="dcterms:W3CDTF">2018-06-01T04:30:00Z</dcterms:modified>
</cp:coreProperties>
</file>