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- 2018年6月8日</w:t>
      </w:r>
    </w:p>
    <w:p>
      <w:pPr>
        <w:pStyle w:val="ReadOnline"/>
      </w:pPr>
      <w:hyperlink r:id="rId9">
        <w:r>
          <w:rPr/>
          <w:t>online version</w:t>
        </w:r>
      </w:hyperlink>
    </w:p>
    <w:p>
      <w:pPr>
        <w:pStyle w:val="Title"/>
      </w:pPr>
      <w:r>
        <w:t>中国银保监会出台银行业金融机构联合授信管理办法</w:t>
      </w:r>
    </w:p>
    <w:p>
      <w:pPr>
        <w:pStyle w:val="Heading2"/>
      </w:pPr>
      <w:bookmarkStart w:id="21" w:name="资本市场"/>
      <w:r>
        <w:t xml:space="preserve">资本市场</w:t>
      </w:r>
      <w:bookmarkEnd w:id="21"/>
    </w:p>
    <w:p>
      <w:pPr>
        <w:pStyle w:val="Heading3"/>
      </w:pPr>
      <w:bookmarkStart w:id="22" w:name="中国银保监会出台银行业金融机构联合授信管理办法"/>
      <w:r>
        <w:t xml:space="preserve">中国银保监会出台银行业金融机构联合授信管理办法</w:t>
      </w:r>
      <w:bookmarkEnd w:id="22"/>
    </w:p>
    <w:p>
      <w:pPr>
        <w:pStyle w:val="FirstParagraph"/>
      </w:pPr>
      <w:r>
        <w:t xml:space="preserve">为抑制多头融资、过度融资行为，有效防控重大信用风险，中国银保监会近日印发《银行业金融机构联合授信管理办法（试行）》（以下简称《办法》），并部署开展试点工作。</w:t>
      </w:r>
    </w:p>
    <w:p>
      <w:pPr>
        <w:pStyle w:val="TextBody"/>
      </w:pPr>
      <w:r>
        <w:t xml:space="preserve">《办法》规定，在3家以上银行业金融机构有融资余额，且融资余额合计在50亿元以上的企业，银行业金融机构应建立联合授信机制。对在3家以上的银行业金融机构有融资余额，且融资余额合计在20亿元至50亿元之间的企业，银行业金融机构可自愿建立联合授信机制。《办法》要求，符合组建条件企业的债权银行业金融机构应组建联合授信委员会。联合授信委员会根据企业经营和财务情况测算其承债能力，与企业协商一致后共同确认联合授信额度，并监测联合授信额度使用情况。对处于预警状态企业的新增融资，要求银行业金融机构采取更加审慎严格的信贷审批标准、风险管控措施和风险缓释手段。</w:t>
      </w:r>
    </w:p>
    <w:p>
      <w:pPr>
        <w:pStyle w:val="TextBody"/>
      </w:pPr>
      <w:hyperlink r:id="rId23">
        <w:r>
          <w:rPr>
            <w:rStyle w:val="Hyperlink"/>
          </w:rPr>
          <w:t xml:space="preserve">http://www.xinhuanet.com/fortune/2018-06/01/c_1122925837.htm</w:t>
        </w:r>
      </w:hyperlink>
    </w:p>
    <w:p>
      <w:pPr>
        <w:pStyle w:val="Heading3"/>
      </w:pPr>
      <w:bookmarkStart w:id="24" w:name="中国人民银行中国证监会进一步规范货币市场基金互联网销售赎回相关服务"/>
      <w:r>
        <w:t xml:space="preserve">中国人民银行、中国证监会进一步规范货币市场基金互联网销售赎回相关服务</w:t>
      </w:r>
      <w:bookmarkEnd w:id="24"/>
    </w:p>
    <w:p>
      <w:pPr>
        <w:pStyle w:val="FirstParagraph"/>
      </w:pPr>
      <w:r>
        <w:t xml:space="preserve">中国人民银行与中国证监会日前联合发布《关于进一步规范货币市场基金互联网销售赎回相关服务的指导意见》（以下简称《指导意见》）。《指导意见》提出，对T+0赎回提现实施限额管理，并强调持牌经营，禁止除持牌商业银行外的其他机构或个人为“T+0”赎回提现业务提供垫支。</w:t>
      </w:r>
    </w:p>
    <w:p>
      <w:pPr>
        <w:pStyle w:val="TextBody"/>
      </w:pPr>
      <w:r>
        <w:t xml:space="preserve">此次发布的《指导意见》主要从五个方面对货币基金的销售赎回提出要求，对T+0赎回提现实施限额管理，并且强调持牌经营，禁止没有相关业务资质的机构或个人以任何方式为T+0赎回提现业务提供垫支。证监会新闻发言人常德鹏认为，货币市场基金互联网销售过程中应当严格落实“三强化、六严禁”的原则要求，强化执牌经营要求，严禁非持牌机构开展基金销售活动，严禁其留存投资者基金销售信息，严禁基金销售结算资金用于T+0赎回提现业务，严禁对基金实施歧视性、排他性、捆绑性销售。 对T+0赎回提现实施限额管理。对单个投资者持有的单只货币市场基金，设定在单一基金销售机构单日不高于1万元的T+0赎回提现额度上限，投资者按合同约定的正常赎回不受影响。</w:t>
      </w:r>
    </w:p>
    <w:p>
      <w:pPr>
        <w:pStyle w:val="TextBody"/>
      </w:pPr>
      <w:hyperlink r:id="rId25">
        <w:r>
          <w:rPr>
            <w:rStyle w:val="Hyperlink"/>
          </w:rPr>
          <w:t xml:space="preserve">http://www.xinhuanet.com/fortune/2018-06/03/c_1122928658.htm</w:t>
        </w:r>
      </w:hyperlink>
    </w:p>
    <w:p>
      <w:pPr>
        <w:pStyle w:val="Heading3"/>
      </w:pPr>
      <w:bookmarkStart w:id="26" w:name="上海证券交易所发布关于中国铁路建设债券上市交易有关事项的通知"/>
      <w:r>
        <w:t xml:space="preserve">上海证券交易所发布《关于中国铁路建设债券上市交易有关事项的通知》</w:t>
      </w:r>
      <w:bookmarkEnd w:id="26"/>
    </w:p>
    <w:p>
      <w:pPr>
        <w:pStyle w:val="FirstParagraph"/>
      </w:pPr>
      <w:r>
        <w:t xml:space="preserve">为落实中国铁路总公司与上海证券交易所战略合作协议，做好中国铁路建设债券跨市场发行上市工作，拓宽铁道债投资主体，优化交易所债券市场结构，改善铁道债二级市场流动性，提升交易所债券市场服务实体经济能力，上交所发布了《关于中国铁路建设债券上市交易有关事项的通知》（以下简称《通知》），对铁道债在上交所的发行、上市流通、信息披露及持续管理等事项做出了具体规定。</w:t>
      </w:r>
    </w:p>
    <w:p>
      <w:pPr>
        <w:pStyle w:val="TextBody"/>
      </w:pPr>
      <w:r>
        <w:t xml:space="preserve">《通知》一是明确了上市交易安排，规定铁道债适用《上海证券交易所交易规则》、《上海证券交易所债券交易实施细则》等业务规则，采取竞价、报价、询价和协议交易方式，公众投资者和合格投资者均可参与交易，上市后可进行质押式回购并适用政府支持债券的回购折扣系数。二是规定了存续期的信息披露事项及披露具体要求，要求发行人披露年度财务报告、募集说明书约定披露事项及可能影响债务偿还能力的重大事项等事项，并对披露地点和披露时效做出安排。三是提出持续管理要求，明确了发行人持续期涉及含权条款的公告要求。四是规定了铁道债的登记、存管、结算及兑息兑付等事宜。五是明确对铁道债发行上市服务暂不收取费用。</w:t>
      </w:r>
    </w:p>
    <w:p>
      <w:pPr>
        <w:pStyle w:val="TextBody"/>
      </w:pPr>
      <w:hyperlink r:id="rId27">
        <w:r>
          <w:rPr>
            <w:rStyle w:val="Hyperlink"/>
          </w:rPr>
          <w:t xml:space="preserve">http://www.sse.com.cn/aboutus/mediacenter/hotandd/c/c_20180601_4565736.shtml</w:t>
        </w:r>
      </w:hyperlink>
    </w:p>
    <w:p>
      <w:pPr>
        <w:pStyle w:val="Heading3"/>
      </w:pPr>
      <w:bookmarkStart w:id="28" w:name="深圳证券交易所与吉林省达成战略合作支持新一轮东北振兴"/>
      <w:r>
        <w:t xml:space="preserve">深圳证券交易所与吉林省达成战略合作，支持新一轮东北振兴</w:t>
      </w:r>
      <w:bookmarkEnd w:id="28"/>
    </w:p>
    <w:p>
      <w:pPr>
        <w:pStyle w:val="FirstParagraph"/>
      </w:pPr>
      <w:r>
        <w:t xml:space="preserve">近日，深圳证券交易所与吉林省在深圳共同举办战略合作签约仪式。这是深交所强化与地方政府合作，发挥资本市场平台作用，服务地方经济转型升级、促进区域协调发展的又一重要成果。</w:t>
      </w:r>
    </w:p>
    <w:p>
      <w:pPr>
        <w:pStyle w:val="TextBody"/>
      </w:pPr>
      <w:r>
        <w:t xml:space="preserve">深交所与吉林省一直保持着密切沟通和良好合作，特别是近年来，双方合作进程不断加快、内容不断深化，多项合作取得阶段性成果。根据协议，双方将在现有合作基础上，将合作范围扩展至拟上市企业培育、上市公司监管协作、固定收益产品发行、区域性股权市场建设、投资者宣传教育、人才交流培训等多个方面，通过深交所全流程、多维度的综合服务，助力吉林省加快经济结构优化和创新驱动发展步伐，共同推进东北亚区域性金融服务中心建设。</w:t>
      </w:r>
    </w:p>
    <w:p>
      <w:pPr>
        <w:pStyle w:val="TextBody"/>
      </w:pPr>
      <w:hyperlink r:id="rId29">
        <w:r>
          <w:rPr>
            <w:rStyle w:val="Hyperlink"/>
          </w:rPr>
          <w:t xml:space="preserve">http://www.szse.cn/main/aboutus/bsyw/39779760.shtml</w:t>
        </w:r>
      </w:hyperlink>
    </w:p>
    <w:p>
      <w:pPr>
        <w:pStyle w:val="Heading2"/>
      </w:pPr>
      <w:bookmarkStart w:id="30" w:name="保险"/>
      <w:r>
        <w:t xml:space="preserve">保险</w:t>
      </w:r>
      <w:bookmarkEnd w:id="30"/>
    </w:p>
    <w:p>
      <w:pPr>
        <w:pStyle w:val="Heading3"/>
      </w:pPr>
      <w:bookmarkStart w:id="31" w:name="中国银保监会拟推保险实名为投保人设立惟一账户"/>
      <w:r>
        <w:t xml:space="preserve">中国银保监会拟推保险实名，为投保人设立惟一账户</w:t>
      </w:r>
      <w:bookmarkEnd w:id="31"/>
    </w:p>
    <w:p>
      <w:pPr>
        <w:pStyle w:val="FirstParagraph"/>
      </w:pPr>
      <w:r>
        <w:t xml:space="preserve">2018年6月4日，中国银保监会发布公告表示已制定《保险实名登记管理办法（征求意见稿）》（以下简称《办法》），并社会公开征求意见。《办法》显示，银保监会拟为每一投保人设立对应惟一保险账户。而保险账户则是指保险实名查验登记平台为投保人开立的用于记录其实名信息、保险消费信息的专用账户。</w:t>
      </w:r>
    </w:p>
    <w:p>
      <w:pPr>
        <w:pStyle w:val="TextBody"/>
      </w:pPr>
      <w:r>
        <w:t xml:space="preserve">《办法》中提到，银保监会将委托并指导第三方机构承担保险实名查验登记平台的建设和运行管理。目前银保监会在《办法》中虽并未指明第三方机构为哪一家，但从行业发展来看，惟一保险账户的设立，不仅可促进保险业进一步回归保障属性，服务实体经济，维护个人金融安全，并通过公共数据的联动，支持保险产业转型升级，同时还能提升监管“穿透”能力，实时应对现代金融风险的突发性及传播快速性，以大数据多维度分析为基础，防范金融风险。</w:t>
      </w:r>
    </w:p>
    <w:p>
      <w:pPr>
        <w:pStyle w:val="TextBody"/>
      </w:pPr>
      <w:hyperlink r:id="rId32">
        <w:r>
          <w:rPr>
            <w:rStyle w:val="Hyperlink"/>
          </w:rPr>
          <w:t xml:space="preserve">http://www.chinaforex.com.cn/index.php/cms/item-view-id-46908.shtml</w:t>
        </w:r>
      </w:hyperlink>
    </w:p>
    <w:p>
      <w:pPr>
        <w:pStyle w:val="Heading3"/>
      </w:pPr>
      <w:bookmarkStart w:id="33" w:name="中国银行保险监督管理委员会发布关于保险资金参与长租市场有关事项的通知"/>
      <w:r>
        <w:t xml:space="preserve">中国银行保险监督管理委员会发布《关于保险资金参与长租市场有关事项的通知》</w:t>
      </w:r>
      <w:bookmarkEnd w:id="33"/>
    </w:p>
    <w:p>
      <w:pPr>
        <w:pStyle w:val="FirstParagraph"/>
      </w:pPr>
      <w:r>
        <w:t xml:space="preserve">为加快建立多主体供应、多渠道保障、租购并举的住房制度，中国银行保险监督管理委员会近日发布《关于保险资金参与长租市场有关事项的通知》（以下简称《通知》）。</w:t>
      </w:r>
    </w:p>
    <w:p>
      <w:pPr>
        <w:pStyle w:val="TextBody"/>
      </w:pPr>
      <w:r>
        <w:t xml:space="preserve">《通知》着重从以下几个方面明确了保险资金参与长租市场的有关要求：一是明确参与方式与区位限制。保险公司通过直接投资、保险资产管理机构通过发起设立债权投资计划、股权投资计划、资产支持计划、保险私募基金等方式间接参与长租市场。二是明确产品设立条件。针对投资长租项目的债权投资计划和股权投资计划分别设置了设立条件。三是规范资金管理。要求保险机构督促各类主体规范项目建设管理和资金划拨，实行资金专户管理和资金进出的全流程监控，确保保险资金封闭运行、专款专用。四是明确投资的风险管理要求。保险机构应当建立专属岗位，负责投资项目的投后管理，并建立全程管理制度，做好关键结点的风险防范。五是优化产品注册机制，对于投资租赁住房项目的保险资产管理产品适用注册绿色通道。</w:t>
      </w:r>
    </w:p>
    <w:p>
      <w:pPr>
        <w:pStyle w:val="TextBody"/>
      </w:pPr>
      <w:hyperlink r:id="rId34">
        <w:r>
          <w:rPr>
            <w:rStyle w:val="Hyperlink"/>
          </w:rPr>
          <w:t xml:space="preserve">http://www.cbrc.gov.cn/chinese/newShouDoc/B3B3F3688D0549D9A2EC945DD9FFC7AF.html</w:t>
        </w:r>
      </w:hyperlink>
    </w:p>
    <w:p>
      <w:pPr>
        <w:pStyle w:val="Heading2"/>
      </w:pPr>
      <w:bookmarkStart w:id="35" w:name="税收"/>
      <w:r>
        <w:t xml:space="preserve">税收</w:t>
      </w:r>
      <w:bookmarkEnd w:id="35"/>
    </w:p>
    <w:p>
      <w:pPr>
        <w:pStyle w:val="Heading3"/>
      </w:pPr>
      <w:bookmarkStart w:id="36" w:name="职务科技成果转化奖金享个税优惠"/>
      <w:r>
        <w:t xml:space="preserve">职务科技成果转化奖金享个税优惠</w:t>
      </w:r>
      <w:bookmarkEnd w:id="36"/>
    </w:p>
    <w:p>
      <w:pPr>
        <w:pStyle w:val="FirstParagraph"/>
      </w:pPr>
      <w:r>
        <w:t xml:space="preserve">财政部、国家税务总局、科技部联合发布通知，为进一步支持国家大众创业、万众创新战略的实施，促进科技成果转化，2018年7月1日起科技人员取得职务科技成果转化现金奖励，个人所得税可享优惠。</w:t>
      </w:r>
    </w:p>
    <w:p>
      <w:pPr>
        <w:pStyle w:val="TextBody"/>
      </w:pPr>
      <w:r>
        <w:t xml:space="preserve">通知明确，依法批准设立的非营利性研究开发机构和高等学校根据《中华人民共和国促进科技成果转化法》规定，从职务科技成果转化收入中给予科技人员的现金奖励，可减按50%计入科技人员当月“工资、薪金所得”，依法缴纳个人所得税。非营利性科研机构和高校包括国家设立的科研机构和高校、民办非营利性科研机构和高校。非营利性科研机构和高校转化科技成果，应当签订技术合同，并根据《技术合同认定登记管理办法》，在技术合同登记机构进行审核登记，并取得技术合同认定登记证明。</w:t>
      </w:r>
    </w:p>
    <w:p>
      <w:pPr>
        <w:pStyle w:val="TextBody"/>
      </w:pPr>
      <w:hyperlink r:id="rId37">
        <w:r>
          <w:rPr>
            <w:rStyle w:val="Hyperlink"/>
          </w:rPr>
          <w:t xml:space="preserve">http://www.ctax.org.cn/csxw/tpxw/201806/t20180604_1077122.shtml</w:t>
        </w:r>
      </w:hyperlink>
    </w:p>
    <w:p>
      <w:pPr>
        <w:pStyle w:val="Heading2"/>
      </w:pPr>
      <w:bookmarkStart w:id="38" w:name="知识产权"/>
      <w:r>
        <w:t xml:space="preserve">知识产权</w:t>
      </w:r>
      <w:bookmarkEnd w:id="38"/>
    </w:p>
    <w:p>
      <w:pPr>
        <w:pStyle w:val="Heading3"/>
      </w:pPr>
      <w:bookmarkStart w:id="39" w:name="最高人民法院关于审理专利授权确权行政案件若干问题的规定一公开征求意见稿征求意见"/>
      <w:r>
        <w:t xml:space="preserve">《最高人民法院关于审理专利授权确权行政案件若干问题的规定（一）》（公开征求意见稿）征求意见</w:t>
      </w:r>
      <w:bookmarkEnd w:id="39"/>
    </w:p>
    <w:p>
      <w:pPr>
        <w:pStyle w:val="FirstParagraph"/>
      </w:pPr>
      <w:r>
        <w:t xml:space="preserve">最高人民法院将于近日公布《最高人民法院关于审理专利授权确权行政案件若干问题的规定（一）》（公开征求意见稿），向社会公开征求意见和建议。征求期为1个月，请社会各界人士于2018年7月1日前反馈修改意见。</w:t>
      </w:r>
    </w:p>
    <w:p>
      <w:pPr>
        <w:pStyle w:val="TextBody"/>
      </w:pPr>
      <w:r>
        <w:t xml:space="preserve">针对近年来专利授权确权行政案件审判实践中出现的主要问题，最高人民法院在深入调研、多方征求意见的基础上，起草了《最高人民法院关于审理专利授权确权行政案件若干问题的规定（一）》（公开征求意见稿）。为了更广泛地听取广大民众的意见，使司法解释更加符合立法原意，该司法解释征求意见稿在最高人民法院网和中国法院网进行公布，公开征求意见。该司法解释内容涉及专利授权确权行政案件的审理范围、权利要求解释、授权确权实体法律规定的适用、判决方式、证据规则等。</w:t>
      </w:r>
    </w:p>
    <w:p>
      <w:pPr>
        <w:pStyle w:val="TextBody"/>
      </w:pPr>
      <w:hyperlink r:id="rId40">
        <w:r>
          <w:rPr>
            <w:rStyle w:val="Hyperlink"/>
          </w:rPr>
          <w:t xml:space="preserve">https://www.chinacourt.org/article/detail/2018/06/id/3324334.shtml</w:t>
        </w:r>
      </w:hyperlink>
    </w:p>
    <w:p>
      <w:pPr>
        <w:pStyle w:val="Heading2"/>
      </w:pPr>
      <w:bookmarkStart w:id="41" w:name="行业"/>
      <w:r>
        <w:t xml:space="preserve">行业</w:t>
      </w:r>
      <w:bookmarkEnd w:id="41"/>
    </w:p>
    <w:p>
      <w:pPr>
        <w:pStyle w:val="Heading3"/>
      </w:pPr>
      <w:bookmarkStart w:id="42" w:name="国家三部委2018年暂不安排普通光伏电站指标"/>
      <w:r>
        <w:t xml:space="preserve">国家三部委：2018年暂不安排普通光伏电站指标</w:t>
      </w:r>
      <w:bookmarkEnd w:id="42"/>
    </w:p>
    <w:p>
      <w:pPr>
        <w:pStyle w:val="FirstParagraph"/>
      </w:pPr>
      <w:r>
        <w:t xml:space="preserve">日前，国家发展改革委、财政部、国家能源局联合印发了《关于2018年光伏发电有关事项的通知》（以下简称《通知》）。《通知》明确，今年暂不安排需要国家补贴的普通光伏电站建设。</w:t>
      </w:r>
    </w:p>
    <w:p>
      <w:pPr>
        <w:pStyle w:val="TextBody"/>
      </w:pPr>
      <w:r>
        <w:t xml:space="preserve">《通知》要求，根据行业发展实际，暂不安排2018年普通光伏电站建设规模。在国家未下发文件启动普通电站建设工作前，各地不得以任何形式安排需国家补贴的普通电站建设。对于分布式光伏项目，2018年安排1000万千瓦左右建设规模，5月31日前并网的，纳入中央财政补贴范围，2018年内建设投产的其它项目由地方依法予以支持。对于光伏扶贫项目，各地要在严格审核的前提下，及时上报项目计划，国家能源局将会同国务院扶贫办审核通过后及时下达。</w:t>
      </w:r>
    </w:p>
    <w:p>
      <w:pPr>
        <w:pStyle w:val="TextBody"/>
      </w:pPr>
      <w:hyperlink r:id="rId43">
        <w:r>
          <w:rPr>
            <w:rStyle w:val="Hyperlink"/>
          </w:rPr>
          <w:t xml:space="preserve">http://www.chinanews.com/ny/2018/06-02/8528679.shtml</w:t>
        </w:r>
      </w:hyperlink>
    </w:p>
    <w:p>
      <w:pPr>
        <w:pStyle w:val="Heading3"/>
      </w:pPr>
      <w:bookmarkStart w:id="44" w:name="国务院办公厅印发关于加强行政规范性文件制定和监督管理工作的通知"/>
      <w:r>
        <w:t xml:space="preserve">国务院办公厅印发《关于加强行政规范性文件制定和监督管理工作的通知》</w:t>
      </w:r>
      <w:bookmarkEnd w:id="44"/>
    </w:p>
    <w:p>
      <w:pPr>
        <w:pStyle w:val="FirstParagraph"/>
      </w:pPr>
      <w:r>
        <w:t xml:space="preserve">日前，国务院办公厅印发《关于加强行政规范性文件制定和监督管理工作的通知》（以下简称《通知》），就加强行政规范性文件制定和监督管理工作提出明确要求。</w:t>
      </w:r>
    </w:p>
    <w:p>
      <w:pPr>
        <w:pStyle w:val="TextBody"/>
      </w:pPr>
      <w:r>
        <w:t xml:space="preserve">《通知》提出，要严格依法行政、切实防止乱发文件。一是严禁越权发文。坚持法定职责必须为、法无授权不可为，严格按照法定权限履行职责，严禁以部门内设机构名义制发行政规范性文件。严格落实权责清单制度，行政规范性文件不得增加法律、法规规定之外的行政权力事项或者减少法定职责；不得设定行政许可、行政处罚、行政强制等事项，增加办理行政许可事项的条件，规定出具循环证明、重复证明、无谓证明的内容等。二是严控发文数量。严禁重复发文，对内容相近、能归并的尽量归并，可发可不发、没有实质性内容的文件一律不发，严禁照抄照搬照转上级文件，以文件“落实”文件。</w:t>
      </w:r>
    </w:p>
    <w:p>
      <w:pPr>
        <w:pStyle w:val="TextBody"/>
      </w:pPr>
      <w:hyperlink r:id="rId45">
        <w:r>
          <w:rPr>
            <w:rStyle w:val="Hyperlink"/>
          </w:rPr>
          <w:t xml:space="preserve">http://www.xinhuanet.com/politics/2018-05/31/c_1122919360.htm</w:t>
        </w:r>
      </w:hyperlink>
    </w:p>
    <w:p>
      <w:pPr>
        <w:pStyle w:val="Heading3"/>
      </w:pPr>
      <w:bookmarkStart w:id="46" w:name="国家发改委等四部委发文加强核电运行安全管理"/>
      <w:r>
        <w:t xml:space="preserve">国家发改委等四部委发文加强核电运行安全管理</w:t>
      </w:r>
      <w:bookmarkEnd w:id="46"/>
    </w:p>
    <w:p>
      <w:pPr>
        <w:pStyle w:val="FirstParagraph"/>
      </w:pPr>
      <w:r>
        <w:t xml:space="preserve">国家发改委、能源局、生态环境部、国防科工局联合印发《关于进一步加强核电运行安全管理的指导意见》（以下简称《指导意见》），《指导意见》提出，核电运行安全始终处于受控状态，运行安全水平始终保持国际前列并持续提升。核电企业安全管理体系更加完善，安全生产责任制全面落实，安全管理水平持续提升。政府安全管理能力不断提高，核电行业安全管理、核安全监管、核应急响应、核安保能力进一步增强。核电安全得到更加充分、全面、有效的保障。</w:t>
      </w:r>
    </w:p>
    <w:p>
      <w:pPr>
        <w:pStyle w:val="TextBody"/>
      </w:pPr>
      <w:r>
        <w:t xml:space="preserve">《指导意见》提出，制定核安全文化建设指导方案和评价指标体系。相关部门会同有关方面，研究制定核安全文化建设指导方案，指导规范企业核安全文化建设活动，将核安全文化的原则和属性转化为具体要求，进一步落实到核电厂安全管理工作中。研究制订定性与定量相结合的评价指标体系，实现核安全文化健康状态可检查、可量化、可评价。核电厂要定期开展核安全文化自评估和同行评估活动，及时查找弱项短板，借鉴良好实践，有针对性地提升核安全文化水平。</w:t>
      </w:r>
    </w:p>
    <w:p>
      <w:pPr>
        <w:pStyle w:val="TextBody"/>
      </w:pPr>
      <w:hyperlink r:id="rId47">
        <w:r>
          <w:rPr>
            <w:rStyle w:val="Hyperlink"/>
          </w:rPr>
          <w:t xml:space="preserve">http://news.cnstock.com/news,bwkx-201805-4227979.htm</w:t>
        </w:r>
      </w:hyperlink>
    </w:p>
    <w:p>
      <w:pPr>
        <w:pStyle w:val="Heading3"/>
      </w:pPr>
      <w:bookmarkStart w:id="48" w:name="国家市场监督管理总局等七部门明确加强网约车行业事中事后联合监管"/>
      <w:r>
        <w:t xml:space="preserve">国家市场监督管理总局等七部门明确加强网约车行业事中事后联合监管</w:t>
      </w:r>
      <w:bookmarkEnd w:id="48"/>
    </w:p>
    <w:p>
      <w:pPr>
        <w:pStyle w:val="FirstParagraph"/>
      </w:pPr>
      <w:r>
        <w:t xml:space="preserve">近日，交通运输部、中央网信办、工业和信息化部、公安部、中国人民银行、税务总局和国家市场监督管理总局等七部门联合印发《关于加强网络预约出租汽车行业事中事后联合监管有关工作的通知》（以下简称《通知》），明确了网约车行业事中事后联合监管工作流程。</w:t>
      </w:r>
    </w:p>
    <w:p>
      <w:pPr>
        <w:pStyle w:val="TextBody"/>
      </w:pPr>
      <w:r>
        <w:t xml:space="preserve">《通知》要求，各级交通运输、网信、通信、公安、人民银行、税务、工商和市场监管等部门要建立网约车行业联合监管机制。针对未取得网约车经营许可从事网约车经营、线上线下车辆人员不一致、信息泄露、不依法纳税、不正当竞争、非法经营资金支付结算等违法违规行为，各相关管理部门可开展联合约谈。《通知》提出，要加强网约车行业事中事后联合监管应急响应和处置，探索利用互联网思维创新监管方式，对网约车平台公司的行政处罚行为通过信用系统进行公告，利用信息化手段实现部门间和各部门内部信息互通、资源共享，探索建立政府部门、企业、从业人员、乘客及行业协会共同参与的多方协同治理机制。</w:t>
      </w:r>
    </w:p>
    <w:p>
      <w:pPr>
        <w:pStyle w:val="TextBody"/>
      </w:pPr>
      <w:hyperlink r:id="rId49">
        <w:r>
          <w:rPr>
            <w:rStyle w:val="Hyperlink"/>
          </w:rPr>
          <w:t xml:space="preserve">http://www.chinalawinfo.com/News/NewsFullText.aspx?NewsId=91315&amp;NewsType=1</w:t>
        </w:r>
      </w:hyperlink>
    </w:p>
    <w:p>
      <w:pPr>
        <w:pStyle w:val="Heading2"/>
      </w:pPr>
      <w:bookmarkStart w:id="50" w:name="并购"/>
      <w:r>
        <w:t xml:space="preserve">并购</w:t>
      </w:r>
      <w:bookmarkEnd w:id="50"/>
    </w:p>
    <w:p>
      <w:pPr>
        <w:pStyle w:val="Heading3"/>
      </w:pPr>
      <w:bookmarkStart w:id="51" w:name="南通锻压5.2亿收购云视广告"/>
      <w:r>
        <w:t xml:space="preserve">南通锻压5.2亿收购云视广告</w:t>
      </w:r>
      <w:bookmarkEnd w:id="51"/>
    </w:p>
    <w:p>
      <w:pPr>
        <w:pStyle w:val="FirstParagraph"/>
      </w:pPr>
      <w:r>
        <w:t xml:space="preserve">南通锻压近日公告，拟以发行股份及支付现金的方式向飞科投资、云煜投资购买其合计持有的云视广告100%股权，标的资产初步作价5.20亿元。此前，南通锻压已先后通过收购橄榄叶科技100%股权、亿家晶视70%股权，形成了传统装备制造业和现代广告服务业双轮驱动的经营模式。公司表示，收购完成后，上市公司将充分发挥标的公司与上市公司现有广告业资产之间的战略协同效应。</w:t>
      </w:r>
    </w:p>
    <w:p>
      <w:pPr>
        <w:pStyle w:val="TextBody"/>
      </w:pPr>
      <w:r>
        <w:t xml:space="preserve">南通锻压表示，公司已相继通过收购橄榄叶科技100%股权、亿家晶视70%股权，形成了传统装备制造业和现代广告服务业双轮驱动的经营模式。广告业务成为上市公司的营业收入和利润的重要来源。本次交易完成后，上市公司将充分发挥标的公司与上市公司现有广告业资产之间的战略协同效应。其中，云视广告侧重于营销策划、IP内容定制，亿家晶视侧重于商务楼宇视频媒体的广告投放，橄榄叶科技及其全资子公司为聚网络侧重于互联网广告投放，三者在业务层面具有很强的互补性。通过本次交易，有利于延伸上市公司在广告业务领域的服务链条，进一步深化上市公司在现代广告服务业的业务布局。</w:t>
      </w:r>
    </w:p>
    <w:p>
      <w:pPr>
        <w:pStyle w:val="TextBody"/>
      </w:pPr>
      <w:hyperlink r:id="rId52">
        <w:r>
          <w:rPr>
            <w:rStyle w:val="Hyperlink"/>
          </w:rPr>
          <w:t xml:space="preserve">http://company.stcn.com/2018/0604/14293134.shtml</w:t>
        </w:r>
      </w:hyperlink>
    </w:p>
    <w:p>
      <w:pPr>
        <w:pStyle w:val="Heading3"/>
      </w:pPr>
      <w:bookmarkStart w:id="53" w:name="上海电气拟购江苏中能51股权"/>
      <w:r>
        <w:t xml:space="preserve">上海电气拟购江苏中能51%股权</w:t>
      </w:r>
      <w:bookmarkEnd w:id="53"/>
    </w:p>
    <w:p>
      <w:pPr>
        <w:pStyle w:val="FirstParagraph"/>
      </w:pPr>
      <w:r>
        <w:t xml:space="preserve">上海电气2018年6月6日晚公告，公司正筹划收购保利协鑫能源下属江苏中能51%股权，交易方式初步确定为公司发行股份及支付现金购买资产，2018年6月6日，上海电气和协鑫能源均已停牌。</w:t>
      </w:r>
    </w:p>
    <w:p>
      <w:pPr>
        <w:pStyle w:val="TextBody"/>
      </w:pPr>
      <w:r>
        <w:t xml:space="preserve">天眼查系统显示，江苏中能是保利协鑫能源全资控股的高纯多晶硅生产企业，中国矿业大学校企合作单位，是世界上单体投资规模最大的多晶硅生产基地。保利协鑫能源是中国首家突破年产万吨级以上多晶硅产能和产量的企业，是全球最大多晶硅生产企业之一，也是全球硅片产能最大的企业。去年12月20日，保利协鑫能源曾发布公告称，若干潜在投资者已表示有兴趣投资于公司之光伏材料业务，公司正与潜在投资者初步商议，尚未达成任何实质性条款。另外，公司也正考虑将光伏材料业务分拆及在深交所或上交所独立上市的可能性。公司已委任中信里昂证券资本市场有限公司作为建议分拆的财务顾问。</w:t>
      </w:r>
    </w:p>
    <w:p>
      <w:pPr>
        <w:pStyle w:val="TextBody"/>
      </w:pPr>
      <w:hyperlink r:id="rId54">
        <w:r>
          <w:rPr>
            <w:rStyle w:val="Hyperlink"/>
          </w:rPr>
          <w:t xml:space="preserve">http://company.stcn.com/2018/0607/14302109.shtml</w:t>
        </w:r>
      </w:hyperlink>
    </w:p>
    <w:p>
      <w:pPr>
        <w:pStyle w:val="Heading3"/>
      </w:pPr>
      <w:bookmarkStart w:id="55" w:name="东湖高新溢价收购亏损新三板企业"/>
      <w:r>
        <w:t xml:space="preserve">东湖高新溢价收购亏损新三板企业</w:t>
      </w:r>
      <w:bookmarkEnd w:id="55"/>
    </w:p>
    <w:p>
      <w:pPr>
        <w:pStyle w:val="FirstParagraph"/>
      </w:pPr>
      <w:r>
        <w:t xml:space="preserve">东湖高新2018年6月5日晚公告称，拟以总价约6亿元收购新三板挂牌公司泰欣环境100%的股权。泰欣环境2016年和2017年均为亏损状态，本次收购的溢价率高达1370.01%。另外，本次收购交易对象之一的多福商贸与上市公司存在关联关系。</w:t>
      </w:r>
    </w:p>
    <w:p>
      <w:pPr>
        <w:pStyle w:val="TextBody"/>
      </w:pPr>
      <w:r>
        <w:t xml:space="preserve">东湖高新表示，通过并购泰欣环境进行产业整合，进入国家政策鼓励的垃圾焚烧发电烟气治理领域。依托泰欣环境在垃圾焚烧发电领域烟气脱硝系统设计能力、行业经验积淀、技术积累和客户声誉，结合公司自身烟气综合治理业务的BOOM、BOT项目管理经验，公司环保业务将得到跨越式的发展，行业竞争地位不断增强。公开信息显示，泰欣环境于2016年11月2日挂牌新三板。目前，公司主营业务为烟气脱硝、脱硫、垃圾渗滤液回喷等与环境治理相关的烟气净化系统设计、系统设备集成及相关环保设备的销售、安装与调试等，下游客户包括垃圾焚烧厂、火电厂、造纸厂、水泥厂、石灰窑、石油化工等企业。</w:t>
      </w:r>
    </w:p>
    <w:p>
      <w:pPr>
        <w:pStyle w:val="TextBody"/>
      </w:pPr>
      <w:hyperlink r:id="rId56">
        <w:r>
          <w:rPr>
            <w:rStyle w:val="Hyperlink"/>
          </w:rPr>
          <w:t xml:space="preserve">http://sanban.stcn.com/2018/0606/14299493.shtml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- 2018年6月8日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5e64985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2" Type="http://schemas.openxmlformats.org/officeDocument/2006/relationships/hyperlink" Target="http://company.stcn.com/2018/0604/14293134.shtml" TargetMode="External"/><Relationship Id="rId54" Type="http://schemas.openxmlformats.org/officeDocument/2006/relationships/hyperlink" Target="http://company.stcn.com/2018/0607/14302109.shtml" TargetMode="External"/><Relationship Id="rId47" Type="http://schemas.openxmlformats.org/officeDocument/2006/relationships/hyperlink" Target="http://news.cnstock.com/news,bwkx-201805-4227979.htm" TargetMode="External"/><Relationship Id="rId56" Type="http://schemas.openxmlformats.org/officeDocument/2006/relationships/hyperlink" Target="http://sanban.stcn.com/2018/0606/14299493.shtml" TargetMode="External"/><Relationship Id="rId34" Type="http://schemas.openxmlformats.org/officeDocument/2006/relationships/hyperlink" Target="http://www.cbrc.gov.cn/chinese/newShouDoc/B3B3F3688D0549D9A2EC945DD9FFC7AF.html" TargetMode="External"/><Relationship Id="rId32" Type="http://schemas.openxmlformats.org/officeDocument/2006/relationships/hyperlink" Target="http://www.chinaforex.com.cn/index.php/cms/item-view-id-46908.shtml" TargetMode="External"/><Relationship Id="rId49" Type="http://schemas.openxmlformats.org/officeDocument/2006/relationships/hyperlink" Target="http://www.chinalawinfo.com/News/NewsFullText.aspx?NewsId=91315&amp;NewsType=1" TargetMode="External"/><Relationship Id="rId43" Type="http://schemas.openxmlformats.org/officeDocument/2006/relationships/hyperlink" Target="http://www.chinanews.com/ny/2018/06-02/8528679.shtml" TargetMode="External"/><Relationship Id="rId37" Type="http://schemas.openxmlformats.org/officeDocument/2006/relationships/hyperlink" Target="http://www.ctax.org.cn/csxw/tpxw/201806/t20180604_1077122.shtml" TargetMode="External"/><Relationship Id="rId27" Type="http://schemas.openxmlformats.org/officeDocument/2006/relationships/hyperlink" Target="http://www.sse.com.cn/aboutus/mediacenter/hotandd/c/c_20180601_4565736.shtml" TargetMode="External"/><Relationship Id="rId29" Type="http://schemas.openxmlformats.org/officeDocument/2006/relationships/hyperlink" Target="http://www.szse.cn/main/aboutus/bsyw/39779760.shtml" TargetMode="External"/><Relationship Id="rId23" Type="http://schemas.openxmlformats.org/officeDocument/2006/relationships/hyperlink" Target="http://www.xinhuanet.com/fortune/2018-06/01/c_1122925837.htm" TargetMode="External"/><Relationship Id="rId25" Type="http://schemas.openxmlformats.org/officeDocument/2006/relationships/hyperlink" Target="http://www.xinhuanet.com/fortune/2018-06/03/c_1122928658.htm" TargetMode="External"/><Relationship Id="rId45" Type="http://schemas.openxmlformats.org/officeDocument/2006/relationships/hyperlink" Target="http://www.xinhuanet.com/politics/2018-05/31/c_1122919360.htm" TargetMode="External"/><Relationship Id="rId40" Type="http://schemas.openxmlformats.org/officeDocument/2006/relationships/hyperlink" Target="https://www.chinacourt.org/article/detail/2018/06/id/3324334.shtml" TargetMode="External"/><Relationship Id="rId9" Type="http://schemas.openxmlformats.org/officeDocument/2006/relationships/hyperlink" Target="http://www.charltonslaw.com.cn/zhong-guo-yin-bao-jian-hui-chu-tai-yin-hang-ye-jin-rong-ji-gou-lian-he-shou-xin-guan-li-ban-fa"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2" Type="http://schemas.openxmlformats.org/officeDocument/2006/relationships/hyperlink" Target="http://company.stcn.com/2018/0604/14293134.shtml" TargetMode="External"/><Relationship Id="rId54" Type="http://schemas.openxmlformats.org/officeDocument/2006/relationships/hyperlink" Target="http://company.stcn.com/2018/0607/14302109.shtml" TargetMode="External"/><Relationship Id="rId47" Type="http://schemas.openxmlformats.org/officeDocument/2006/relationships/hyperlink" Target="http://news.cnstock.com/news,bwkx-201805-4227979.htm" TargetMode="External"/><Relationship Id="rId56" Type="http://schemas.openxmlformats.org/officeDocument/2006/relationships/hyperlink" Target="http://sanban.stcn.com/2018/0606/14299493.shtml" TargetMode="External"/><Relationship Id="rId34" Type="http://schemas.openxmlformats.org/officeDocument/2006/relationships/hyperlink" Target="http://www.cbrc.gov.cn/chinese/newShouDoc/B3B3F3688D0549D9A2EC945DD9FFC7AF.html" TargetMode="External"/><Relationship Id="rId32" Type="http://schemas.openxmlformats.org/officeDocument/2006/relationships/hyperlink" Target="http://www.chinaforex.com.cn/index.php/cms/item-view-id-46908.shtml" TargetMode="External"/><Relationship Id="rId49" Type="http://schemas.openxmlformats.org/officeDocument/2006/relationships/hyperlink" Target="http://www.chinalawinfo.com/News/NewsFullText.aspx?NewsId=91315&amp;NewsType=1" TargetMode="External"/><Relationship Id="rId43" Type="http://schemas.openxmlformats.org/officeDocument/2006/relationships/hyperlink" Target="http://www.chinanews.com/ny/2018/06-02/8528679.shtml" TargetMode="External"/><Relationship Id="rId37" Type="http://schemas.openxmlformats.org/officeDocument/2006/relationships/hyperlink" Target="http://www.ctax.org.cn/csxw/tpxw/201806/t20180604_1077122.shtml" TargetMode="External"/><Relationship Id="rId27" Type="http://schemas.openxmlformats.org/officeDocument/2006/relationships/hyperlink" Target="http://www.sse.com.cn/aboutus/mediacenter/hotandd/c/c_20180601_4565736.shtml" TargetMode="External"/><Relationship Id="rId29" Type="http://schemas.openxmlformats.org/officeDocument/2006/relationships/hyperlink" Target="http://www.szse.cn/main/aboutus/bsyw/39779760.shtml" TargetMode="External"/><Relationship Id="rId23" Type="http://schemas.openxmlformats.org/officeDocument/2006/relationships/hyperlink" Target="http://www.xinhuanet.com/fortune/2018-06/01/c_1122925837.htm" TargetMode="External"/><Relationship Id="rId25" Type="http://schemas.openxmlformats.org/officeDocument/2006/relationships/hyperlink" Target="http://www.xinhuanet.com/fortune/2018-06/03/c_1122928658.htm" TargetMode="External"/><Relationship Id="rId45" Type="http://schemas.openxmlformats.org/officeDocument/2006/relationships/hyperlink" Target="http://www.xinhuanet.com/politics/2018-05/31/c_1122919360.htm" TargetMode="External"/><Relationship Id="rId40" Type="http://schemas.openxmlformats.org/officeDocument/2006/relationships/hyperlink" Target="https://www.chinacourt.org/article/detail/2018/06/id/3324334.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2018-06-08T04:13:46Z</dcterms:created>
  <dcterms:modified xsi:type="dcterms:W3CDTF">2018-06-08T04:13:46Z</dcterms:modified>
</cp:coreProperties>
</file>