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omments.xml" ContentType="application/vnd.openxmlformats-officedocument.wordprocessingml.comment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4"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BlackStrips"/>
      </w:pPr>
      <w:r>
        <w:t>Charltons - 法讯 - 中国 - 2018年6月16日</w:t>
      </w:r>
    </w:p>
    <w:p>
      <w:pPr>
        <w:pStyle w:val="ReadOnline"/>
      </w:pPr>
      <w:hyperlink r:id="rId9">
        <w:r>
          <w:rPr/>
          <w:t>online version</w:t>
        </w:r>
      </w:hyperlink>
    </w:p>
    <w:p>
      <w:pPr>
        <w:pStyle w:val="Title"/>
      </w:pPr>
      <w:r>
        <w:t>中国证监会发布《存托凭证发行与交易管理办法（试行）》等规章及规范性文件</w:t>
      </w:r>
    </w:p>
    <w:p>
      <w:pPr>
        <w:pStyle w:val="Heading2"/>
      </w:pPr>
      <w:bookmarkStart w:id="21" w:name="简介"/>
      <w:r>
        <w:t xml:space="preserve">简介</w:t>
      </w:r>
      <w:bookmarkEnd w:id="21"/>
    </w:p>
    <w:p>
      <w:pPr>
        <w:pStyle w:val="FirstParagraph"/>
      </w:pPr>
      <w:r>
        <w:t xml:space="preserve">中国证监会发布《存托凭证发行与交易管理办法（试行）》等规章及规范性文件；国家税务总局通知要求全面推行行政执法公示制度；华达科技拟收购恒义股份51%股权</w:t>
      </w:r>
    </w:p>
    <w:p>
      <w:pPr>
        <w:pStyle w:val="Heading2"/>
      </w:pPr>
      <w:bookmarkStart w:id="22" w:name="资本市场"/>
      <w:r>
        <w:t xml:space="preserve">资本市场</w:t>
      </w:r>
      <w:bookmarkEnd w:id="22"/>
    </w:p>
    <w:p>
      <w:pPr>
        <w:pStyle w:val="Heading3"/>
      </w:pPr>
      <w:bookmarkStart w:id="23" w:name="中国证监会发布存托凭证发行与交易管理办法试行等规章及规范性文件"/>
      <w:r>
        <w:t xml:space="preserve">中国证监会发布《存托凭证发行与交易管理办法（试行）》等规章及规范性文件</w:t>
      </w:r>
      <w:bookmarkEnd w:id="23"/>
    </w:p>
    <w:p>
      <w:pPr>
        <w:pStyle w:val="FirstParagraph"/>
      </w:pPr>
      <w:r>
        <w:t xml:space="preserve">近日，中国证监会正式发布《存托凭证发行与交易管理办法（试行）》（以下简称《管理办法》），修改并发布《首次公开发行股票并上市管理办法》（以下简称《首发办法》）《首次公开发行股票并在创业板上市管理办法》（以下简称《创业板首发办法》）。</w:t>
      </w:r>
    </w:p>
    <w:p>
      <w:pPr>
        <w:pStyle w:val="TextBody"/>
      </w:pPr>
      <w:r>
        <w:t xml:space="preserve">另外，中国证监会还同时发布了《试点创新企业境内发行股票或存托凭证并上市监管工作实施办法》、《中国证监会科技创新咨询委员会工作规则（试行）》、《公开发行证券的公司信息披露编报规则第23号——试点红筹企业公开发行存托凭证招股说明书内容与格式指引》、《公开发行证券的公司信息披露内容与格式准则第40号——试点红筹企业公开发行存托凭证并上市申请文件》、《保荐创新企业境内发行股票或存托凭证尽职调查工作实施规定》和《公开发行证券的公司信息披露编报规则第22号——创新试点红筹企业财务报告信息特别规定（试行）》，自公布之日起施行。《管理办法》明确了存托凭证的法律适用和基本监管原则，对存托凭证的发行、上市、交易、信息披露制度等作出了具体安排。修改后的《首发办法》和《创业板首发办法》，明确规定符合条件的创新试点企业不再适用有关盈利及不存在未弥补亏损的发行条件。</w:t>
      </w:r>
    </w:p>
    <w:p>
      <w:pPr>
        <w:pStyle w:val="TextBody"/>
      </w:pPr>
      <w:hyperlink r:id="rId24">
        <w:r>
          <w:rPr>
            <w:rStyle w:val="Hyperlink"/>
          </w:rPr>
          <w:t xml:space="preserve">http://www.csrc.gov.cn/pub/newsite/zjhxwfb/xwdd/201806/t20180606_339319.html</w:t>
        </w:r>
      </w:hyperlink>
    </w:p>
    <w:p>
      <w:pPr>
        <w:pStyle w:val="Heading3"/>
      </w:pPr>
      <w:bookmarkStart w:id="25" w:name="中国证监会和香港证监会举行第六次两地执法合作工作会议"/>
      <w:r>
        <w:t xml:space="preserve">中国证监会和香港证监会举行第六次两地执法合作工作会议</w:t>
      </w:r>
      <w:bookmarkEnd w:id="25"/>
    </w:p>
    <w:p>
      <w:pPr>
        <w:pStyle w:val="FirstParagraph"/>
      </w:pPr>
      <w:r>
        <w:t xml:space="preserve">根据内地与香港资本市场跨境执法合作机制安排，中国证监会和香港证监会于2018年6月11日召开了第六次执法合作工作会议，通报两地近期执法工作进展情况，研究双方加强线索发现、信息通报、执法协同、培训交流的相关工作。</w:t>
      </w:r>
    </w:p>
    <w:p>
      <w:pPr>
        <w:pStyle w:val="TextBody"/>
      </w:pPr>
      <w:r>
        <w:t xml:space="preserve">会议通报了近期两地执法合作情况，就进一步强化执法合作机制进行了深入探讨。一是完善跨境违法违规线索发现机制，加大跨境操纵市场等违法线索的发现力度。二是细化涉及两地上市证券（A+H股）的查处通报和执法衔接机制，做好信息沟通、调查协同、经验总结等有关工作。三是强化两地执法经验交流和人员联合培训，为提升两地执法人员跨境执法合作水平提供有力支持。会议认为，加强内地和香港证券期货执法合作是打击跨境操纵市场等违法行为的重要机制，是维护两地股票市场交易互联互通机制平稳运行的重要保障，是促进内地与香港资本市场双向开放与健康发展的重要基础。</w:t>
      </w:r>
    </w:p>
    <w:p>
      <w:pPr>
        <w:pStyle w:val="TextBody"/>
      </w:pPr>
      <w:hyperlink r:id="rId26">
        <w:r>
          <w:rPr>
            <w:rStyle w:val="Hyperlink"/>
          </w:rPr>
          <w:t xml:space="preserve">http://www.csrc.gov.cn/pub/newsite/zjhxwfb/xwdd/201806/t20180613_339798.html</w:t>
        </w:r>
      </w:hyperlink>
    </w:p>
    <w:p>
      <w:pPr>
        <w:pStyle w:val="Heading3"/>
      </w:pPr>
      <w:bookmarkStart w:id="27" w:name="深圳证券交易所深证成指中小板指创业板指深证100等指数调整样本股"/>
      <w:r>
        <w:t xml:space="preserve">深圳证券交易所：深证成指、中小板指、创业板指、深证100等指数调整样本股</w:t>
      </w:r>
      <w:bookmarkEnd w:id="27"/>
    </w:p>
    <w:p>
      <w:pPr>
        <w:pStyle w:val="FirstParagraph"/>
      </w:pPr>
      <w:r>
        <w:t xml:space="preserve">深圳证券交易所（以下简称“深交所”）和深圳证券信息有限公司日前宣布，根据指数编制规则，对深证成指、深证100、中小板指、创业板指、中小创新等深证系列指数实施样本股定期调整。本次样本股调整将于2018年7月的第一个交易日正式实施。</w:t>
      </w:r>
    </w:p>
    <w:p>
      <w:pPr>
        <w:pStyle w:val="TextBody"/>
      </w:pPr>
      <w:r>
        <w:t xml:space="preserve">经过本次调整，深证成指对深市A股的总市值覆盖率和自由流通市值覆盖率分别达到63%和64%，市场代表性进一步提升。深证成指中主板、中小板、创业板样本股权重占比分别为42:40:18，贴近深交所多层次市场实际板块分布；深证100的对应比例为52:36:12, 统领三大板块优秀上市公司。数据显示，本次样本股调整后，深市核心指数的产业分布和行业结构进一步凸显深圳市场对于新兴产业和新经济的表征作用和服务能力。深证成指、深证100和中小板指的战略性新兴产业样本股权重分别达到56%、59%和62%，创业板指的相应比例更是高达80%。</w:t>
      </w:r>
    </w:p>
    <w:p>
      <w:pPr>
        <w:pStyle w:val="TextBody"/>
      </w:pPr>
      <w:hyperlink r:id="rId28">
        <w:r>
          <w:rPr>
            <w:rStyle w:val="Hyperlink"/>
          </w:rPr>
          <w:t xml:space="preserve">http://www.szse.cn/main/aboutus/bsyw/39779885.shtml</w:t>
        </w:r>
      </w:hyperlink>
    </w:p>
    <w:p>
      <w:pPr>
        <w:pStyle w:val="Heading3"/>
      </w:pPr>
      <w:bookmarkStart w:id="29" w:name="上海证券交易所与卢森堡证券交易所启动绿色债券信息通"/>
      <w:r>
        <w:t xml:space="preserve">上海证券交易所与卢森堡证券交易所启动绿色债券信息通</w:t>
      </w:r>
      <w:bookmarkEnd w:id="29"/>
    </w:p>
    <w:p>
      <w:pPr>
        <w:pStyle w:val="FirstParagraph"/>
      </w:pPr>
      <w:r>
        <w:t xml:space="preserve">近日，值世界交易所联合会董事会及资本市场发展高峰论坛于上海召开之际，上海证券交易所与卢森堡证券交易所举办合作协议签署仪式，正式启动绿色债券信息通，为资本市场跨境绿色金融合作提供了新的典范。</w:t>
      </w:r>
    </w:p>
    <w:p>
      <w:pPr>
        <w:pStyle w:val="TextBody"/>
      </w:pPr>
      <w:r>
        <w:t xml:space="preserve">上交所与卢交所均为行业领先的可持续发展证券交易所。2017年6月起，上证绿色债券系列指数在卢交所同步展示，成为两所绿色金融合作的良好开端。此次绿色债券信息通更进一步，将上交所绿色债券具体信息在卢交所官网及其环保金融交易所等信息平台展示，为国际投资者获取相关信息提供了高效透明的渠道，便利国际投资者配置优质的人民币绿色资产，进一步引导国际资本流向绿色产业。第一批纳入信息通的均为在上交所公开发行并上市交易的绿色公司债券，共计18只，总金额231亿元，涉及发行人包括三峡集团、华电集团、华能新能源、北控水务、中节能风电、龙源电力等优质企业。</w:t>
      </w:r>
    </w:p>
    <w:p>
      <w:pPr>
        <w:pStyle w:val="TextBody"/>
      </w:pPr>
      <w:hyperlink r:id="rId30">
        <w:r>
          <w:rPr>
            <w:rStyle w:val="Hyperlink"/>
          </w:rPr>
          <w:t xml:space="preserve">http://www.sse.com.cn/aboutus/mediacenter/hotandd/c/c_20180608_4570259.shtml</w:t>
        </w:r>
      </w:hyperlink>
    </w:p>
    <w:p>
      <w:pPr>
        <w:pStyle w:val="Heading2"/>
      </w:pPr>
      <w:bookmarkStart w:id="31" w:name="保险"/>
      <w:r>
        <w:t xml:space="preserve">保险</w:t>
      </w:r>
      <w:bookmarkEnd w:id="31"/>
    </w:p>
    <w:p>
      <w:pPr>
        <w:pStyle w:val="Heading3"/>
      </w:pPr>
      <w:bookmarkStart w:id="32" w:name="年7月1日起实行养老保险基金中央调剂制度"/>
      <w:r>
        <w:t xml:space="preserve">2018年7月1日起实行养老保险基金中央调剂制度</w:t>
      </w:r>
      <w:bookmarkEnd w:id="32"/>
    </w:p>
    <w:p>
      <w:pPr>
        <w:pStyle w:val="FirstParagraph"/>
      </w:pPr>
      <w:r>
        <w:t xml:space="preserve">国务院日前印发《关于建立企业职工基本养老保险基金中央调剂制度的通知》（以下简称《通知》），决定建立养老保险基金中央调剂制度，自2018年7月1日起实施。</w:t>
      </w:r>
    </w:p>
    <w:p>
      <w:pPr>
        <w:pStyle w:val="TextBody"/>
      </w:pPr>
      <w:r>
        <w:t xml:space="preserve">《通知》明确，建立养老保险基金中央调剂制度的主要内容是，在现行企业职工基本养老保险省级统筹基础上，建立养老保险中央调剂基金，对各省份养老保险基金进行适度调剂，确保基本养老金按时足额发放。一是中央调剂基金由各省份养老保险基金上解的资金构成，按照各省份职工平均工资的90%和在职应参保人数作为计算上解额的基数，上解比例从3%起步，逐步提高。二是中央调剂基金实行以收定支，当年筹集的资金按照人均定额拨付的办法全部拨付地方。三是中央调剂基金纳入中央级社会保障基金财政专户，实行收支两条线管理，专款专用，不得用于平衡财政预算。四是现行中央财政补助政策和补助方式不变，省级政府要切实承担确保基本养老金按时足额发放和弥补养老保险基金缺口的主体责任。</w:t>
      </w:r>
    </w:p>
    <w:p>
      <w:pPr>
        <w:pStyle w:val="TextBody"/>
      </w:pPr>
      <w:hyperlink r:id="rId33">
        <w:r>
          <w:rPr>
            <w:rStyle w:val="Hyperlink"/>
          </w:rPr>
          <w:t xml:space="preserve">http://xw.sinoins.com/2018-06/14/content_263897.htm</w:t>
        </w:r>
      </w:hyperlink>
    </w:p>
    <w:p>
      <w:pPr>
        <w:pStyle w:val="Heading2"/>
      </w:pPr>
      <w:bookmarkStart w:id="34" w:name="税收"/>
      <w:r>
        <w:t xml:space="preserve">税收</w:t>
      </w:r>
      <w:bookmarkEnd w:id="34"/>
    </w:p>
    <w:p>
      <w:pPr>
        <w:pStyle w:val="Heading3"/>
      </w:pPr>
      <w:bookmarkStart w:id="35" w:name="国家税务总局通知要求全面推行行政执法公示制度"/>
      <w:r>
        <w:t xml:space="preserve">国家税务总局通知要求全面推行行政执法公示制度</w:t>
      </w:r>
      <w:bookmarkEnd w:id="35"/>
    </w:p>
    <w:p>
      <w:pPr>
        <w:pStyle w:val="FirstParagraph"/>
      </w:pPr>
      <w:r>
        <w:t xml:space="preserve">国家税务总局近日发布通知，要求进一步做好政务公开工作，部署了持续加大主动公开力度，着力加强政策解读和舆情回应，着力提升纳税服务工作质效等多方面任务。通知要求全面推行行政执法公示制度，加强事前公开、规范事中公示、推动事后公开，使税收执法过程和结果更加公开透明，更好接受纳税人和社会公众监督。</w:t>
      </w:r>
    </w:p>
    <w:p>
      <w:pPr>
        <w:pStyle w:val="TextBody"/>
      </w:pPr>
      <w:r>
        <w:t xml:space="preserve">通知要求，开展办税服务信息检查，重点查看公开的办税服务信息是否准确规范、与实际工作是否一致等，发现问题及时督促整改。清理并公开纳税人办税需要提供的各类证照、证明材料，没有法律法规依据的一律取消。进一步规范和完善办税指南，办税指南之外不得增加其他要求。办税条件发生变化的事项，应在完成审批程序后1个工作日内公开变更后的相关信息和具体实施时间。推广使用统一的12366税收知识库，统一纳税人咨询答复口径，方便纳税人办税。</w:t>
      </w:r>
    </w:p>
    <w:p>
      <w:pPr>
        <w:pStyle w:val="TextBody"/>
      </w:pPr>
      <w:hyperlink r:id="rId36">
        <w:r>
          <w:rPr>
            <w:rStyle w:val="Hyperlink"/>
          </w:rPr>
          <w:t xml:space="preserve">http://www.gov.cn/xinwen/2018-06/11/content_5297593.htm</w:t>
        </w:r>
      </w:hyperlink>
    </w:p>
    <w:p>
      <w:pPr>
        <w:pStyle w:val="Heading3"/>
      </w:pPr>
      <w:bookmarkStart w:id="37" w:name="企业所得税税前扣除凭证管理办法发布2018年7月起施行"/>
      <w:r>
        <w:t xml:space="preserve">企业所得税税前扣除凭证管理办法发布，2018年7月起施行</w:t>
      </w:r>
      <w:bookmarkEnd w:id="37"/>
    </w:p>
    <w:p>
      <w:pPr>
        <w:pStyle w:val="FirstParagraph"/>
      </w:pPr>
      <w:r>
        <w:t xml:space="preserve">近日，国家税务总局发布了《企业所得税税前扣除凭证管理办法》（以下简称《办法》），《办法》自2018年7月1日起施行。</w:t>
      </w:r>
    </w:p>
    <w:p>
      <w:pPr>
        <w:pStyle w:val="TextBody"/>
      </w:pPr>
      <w:r>
        <w:t xml:space="preserve">《办法》从统一认识、易于判断、利于操作出发，对税前扣除凭证的相关概念、适用范围、管理原则、种类、基本情形税务处理、特殊情形税务处理等予以明确。与此同时，《办法》始终贯穿了“放管结合，优化服务”的理念，对于深入贯彻税务系统“放管服”改革精神将起到积极促进作用。一是《办法》明确收款凭证、内部凭证、分割单等也可以作为税前扣除凭证，将减轻纳税人的办税负担。二是《办法》在税前扣除凭证的种类、填写内容、取得时间、补开、换开要求等方面进行了详细的规定，有利于企业加强自身财务管理和内控管理，减少税收风险。三是针对企业未取得外部凭证或者取得不合规外部凭证的情形，《办法》规定了补救措施，保障了纳税人合法权益。</w:t>
      </w:r>
    </w:p>
    <w:p>
      <w:pPr>
        <w:pStyle w:val="TextBody"/>
      </w:pPr>
      <w:hyperlink r:id="rId38">
        <w:r>
          <w:rPr>
            <w:rStyle w:val="Hyperlink"/>
          </w:rPr>
          <w:t xml:space="preserve">http://www.ctax.org.cn/csyw/201806/t20180614_1077519.shtml</w:t>
        </w:r>
      </w:hyperlink>
    </w:p>
    <w:p>
      <w:pPr>
        <w:pStyle w:val="Heading2"/>
      </w:pPr>
      <w:bookmarkStart w:id="39" w:name="行业"/>
      <w:r>
        <w:t xml:space="preserve">行业</w:t>
      </w:r>
      <w:bookmarkEnd w:id="39"/>
    </w:p>
    <w:p>
      <w:pPr>
        <w:pStyle w:val="Heading3"/>
      </w:pPr>
      <w:bookmarkStart w:id="40" w:name="交通运输部发布外国航空运输企业常驻代表机构审批管理办法"/>
      <w:r>
        <w:t xml:space="preserve">交通运输部发布《外国航空运输企业常驻代表机构审批管理办法》</w:t>
      </w:r>
      <w:bookmarkEnd w:id="40"/>
    </w:p>
    <w:p>
      <w:pPr>
        <w:pStyle w:val="FirstParagraph"/>
      </w:pPr>
      <w:r>
        <w:t xml:space="preserve">日前，交通运输部发布《外国航空运输企业常驻代表机构审批管理办法》（以下简称《办法》），规范对外国航企常驻代表机构的管理，《办法》将于9月1日起施行。</w:t>
      </w:r>
    </w:p>
    <w:p>
      <w:pPr>
        <w:pStyle w:val="TextBody"/>
      </w:pPr>
      <w:r>
        <w:t xml:space="preserve">《办法》明确，中国民用航空局受理代表机构设立、延期、变更、撤销的申请或者备案，中国民用航空地区管理局负责本辖区内代表机构的监督管理。外国航空运输企业申请在我国境内设立代表机构，应当在我国工商行政管理部门办理登记手续，并经民航局批准。民航局对代表机构的批准实行互惠对等的原则。根据《办法》，外国航空运输企业或代表机构未按规定履行法律责任的，民航局将给以相应处罚。对代表机构的撤销许可、行政处罚、行政强制等处理措施及其执行情况记入守法信用信息记录。</w:t>
      </w:r>
    </w:p>
    <w:p>
      <w:pPr>
        <w:pStyle w:val="TextBody"/>
      </w:pPr>
      <w:hyperlink r:id="rId41">
        <w:r>
          <w:rPr>
            <w:rStyle w:val="Hyperlink"/>
          </w:rPr>
          <w:t xml:space="preserve">http://www.gov.cn/xinwen/2018-06/11/content_5297809.htm</w:t>
        </w:r>
      </w:hyperlink>
    </w:p>
    <w:p>
      <w:pPr>
        <w:pStyle w:val="Heading3"/>
      </w:pPr>
      <w:bookmarkStart w:id="42" w:name="山东省高级人民法院出台意见全力服务保障新旧动能转换重大工程"/>
      <w:r>
        <w:t xml:space="preserve">山东省高级人民法院出台意见：全力服务保障新旧动能转换重大工程</w:t>
      </w:r>
      <w:bookmarkEnd w:id="42"/>
    </w:p>
    <w:p>
      <w:pPr>
        <w:pStyle w:val="FirstParagraph"/>
      </w:pPr>
      <w:r>
        <w:t xml:space="preserve">近日，山东省高级人民法院召开新闻发布会，发布《关于依法服务保障新旧动能转换重大工程的实施意见》（以下简称《意见》），并通报10起依法服务保障新旧动能转换重大工程典型案例。《意见》从产业转型升级、金融行业发展、科技创新、对外开放、生态环境保护、营商环境营造、工作机制完善等方面，提出了服务保障新旧动能转换重大工程的30条具体措施。</w:t>
      </w:r>
    </w:p>
    <w:p>
      <w:pPr>
        <w:pStyle w:val="TextBody"/>
      </w:pPr>
      <w:r>
        <w:t xml:space="preserve">《意见》指出，要依法服务保障产业转型升级，妥善审理涉及“十强”产业案件，准确判定交易合同性质效力，依法处置“僵尸企业”，完善破产案件审判机制，促进生产要素重组，激发市场活力。要依法促进金融健康良性发展，妥善审理金融纠纷案件、民间借贷案件，完善金融案件审判机制，服务市场发展需求。《意见》强调，要依法服务保障对外开放，依法审理涉外投资贸易、涉“一带一路”建设、涉经略海洋战略等有关案件，完善涉外审判和海事海商审判机制，营造更加开放、公平、便利的外商投资环境。要依法保护生态环境，妥善审理环境犯罪与环境行政案件，推进生态恢复性司法建设，实现对生态环境的强有力保护。</w:t>
      </w:r>
    </w:p>
    <w:p>
      <w:pPr>
        <w:pStyle w:val="TextBody"/>
      </w:pPr>
      <w:hyperlink r:id="rId43">
        <w:r>
          <w:rPr>
            <w:rStyle w:val="Hyperlink"/>
          </w:rPr>
          <w:t xml:space="preserve">http://www.court.gov.cn/zixun-xiangqing-100722.html</w:t>
        </w:r>
      </w:hyperlink>
    </w:p>
    <w:p>
      <w:pPr>
        <w:pStyle w:val="Heading3"/>
      </w:pPr>
      <w:bookmarkStart w:id="44" w:name="国家发展改革委与中国建设银行签署关于共同发起设立战略性新兴产业发展基金的战略合作备忘录"/>
      <w:r>
        <w:t xml:space="preserve">国家发展改革委与中国建设银行签署关于共同发起设立战略性新兴产业发展基金的战略合作备忘录</w:t>
      </w:r>
      <w:bookmarkEnd w:id="44"/>
    </w:p>
    <w:p>
      <w:pPr>
        <w:pStyle w:val="FirstParagraph"/>
      </w:pPr>
      <w:r>
        <w:t xml:space="preserve">为全面落实《中华人民共和国国民经济和社会发展第十三个五年规划纲要》和《“十三五”国家战略性新兴产业发展规划》，加快建设实体经济、科技创新、现代金融、人力资源协同发展的产业体系，培育发展新动能，强化金融支撑战略性新兴产业发展的能力，国家发展改革委副主任林念修与中国建设银行行长王祖继近日签署了《关于共同发起设立战略性新兴产业发展基金的战略合作备忘录》。</w:t>
      </w:r>
    </w:p>
    <w:p>
      <w:pPr>
        <w:pStyle w:val="TextBody"/>
      </w:pPr>
      <w:r>
        <w:t xml:space="preserve">国家发展改革委与中国建设银行将建立战略合作机制，以支持战略性新兴产业发展壮大为目标，共同发起设立国家级战略性新兴产业发展基金，并通过设立子基金等方式进一步吸引社会资金，基金目标规模约3000亿元。基金具体将投向新一代信息技术、高端装备、新材料、生物、新能源汽车、新能源、节能环保和数字创意等战略性新兴产业领域，支持战略性新兴产业重大工程建设，突出先导性和支柱性，优先培育和大力发展一批战略性新兴产业集群，构建产业体系新支柱。</w:t>
      </w:r>
    </w:p>
    <w:p>
      <w:pPr>
        <w:pStyle w:val="TextBody"/>
      </w:pPr>
      <w:hyperlink r:id="rId45">
        <w:r>
          <w:rPr>
            <w:rStyle w:val="Hyperlink"/>
          </w:rPr>
          <w:t xml:space="preserve">http://www.gov.cn/xinwen/2018-06/13/content_5298312.htm</w:t>
        </w:r>
      </w:hyperlink>
    </w:p>
    <w:p>
      <w:pPr>
        <w:pStyle w:val="Heading2"/>
      </w:pPr>
      <w:bookmarkStart w:id="46" w:name="并购"/>
      <w:r>
        <w:t xml:space="preserve">并购</w:t>
      </w:r>
      <w:bookmarkEnd w:id="46"/>
    </w:p>
    <w:p>
      <w:pPr>
        <w:pStyle w:val="Heading3"/>
      </w:pPr>
      <w:bookmarkStart w:id="47" w:name="华达科技拟收购恒义股份51股权"/>
      <w:r>
        <w:t xml:space="preserve">华达科技拟收购恒义股份51%股权</w:t>
      </w:r>
      <w:bookmarkEnd w:id="47"/>
    </w:p>
    <w:p>
      <w:pPr>
        <w:pStyle w:val="FirstParagraph"/>
      </w:pPr>
      <w:r>
        <w:t xml:space="preserve">2018年6月11日晚，华达科技公告称，公司拟支付现金2.4735亿元收购鞠小平、万小民、泰州平安思享企业管理中心（有限合伙）、郑欣荣及邹占伟持有的恒义股份合计51%的股份。据悉，这是华达科技2017年1月上市以来的首个收购举措。</w:t>
      </w:r>
    </w:p>
    <w:p>
      <w:pPr>
        <w:pStyle w:val="TextBody"/>
      </w:pPr>
      <w:r>
        <w:t xml:space="preserve">根据华达科技披露的信息，恒义股份在今年前5个月实现营业收入1.62亿元，实现净利润2456.5万元，即前5个月实现的净利润接近了去年全年。据恒义股份人士介绍，公司的电池箱产品在上半年进入了批量供货阶段，主要配套上汽荣威纯电动车。恒义股份未来三年业绩达标的一个重要前提在于，该公司新能源汽车零部件业务的持续开拓和增长。在华达科技总经理葛江宏看来，恒义股份拥有26项发明专利，在新能源汽车零部件领域已经累积了7年的技术，且相关产线布局完成，批量供货的效应已经显现，预计未来增长潜力较大。</w:t>
      </w:r>
    </w:p>
    <w:p>
      <w:pPr>
        <w:pStyle w:val="TextBody"/>
      </w:pPr>
      <w:hyperlink r:id="rId48">
        <w:r>
          <w:rPr>
            <w:rStyle w:val="Hyperlink"/>
          </w:rPr>
          <w:t xml:space="preserve">http://company.stcn.com/2018/0613/14313083.shtml</w:t>
        </w:r>
      </w:hyperlink>
    </w:p>
    <w:p>
      <w:pPr>
        <w:pStyle w:val="Heading3"/>
      </w:pPr>
      <w:bookmarkStart w:id="49" w:name="长春一东拟9亿收购控股股东资产"/>
      <w:r>
        <w:t xml:space="preserve">长春一东拟9亿收购控股股东资产</w:t>
      </w:r>
      <w:bookmarkEnd w:id="49"/>
    </w:p>
    <w:p>
      <w:pPr>
        <w:pStyle w:val="FirstParagraph"/>
      </w:pPr>
      <w:r>
        <w:t xml:space="preserve">长春一东2018年6月12日晚披露重大资产重组预案，拟通过发行股份及支付现金的方式，分别作价5.87亿元、3.07亿元，购买东光集团、王雪梅等所持大华机械100%股权，拟购买东光集团、一汽资管理、雷岩投资等所持蓬翔汽车100%股权。另外，长春一东还拟募集总额不超过5.76亿元的配套资金。</w:t>
      </w:r>
    </w:p>
    <w:p>
      <w:pPr>
        <w:pStyle w:val="TextBody"/>
      </w:pPr>
      <w:r>
        <w:t xml:space="preserve">作为本次交易的重要对手，东光集团直接持有上市公司32.07%的股份，为上市公司控股股东；中国兵器通过东北工业集团有限公司和中兵投资管理有限责任公司持有东光集团100%股权，间接控制上市公司32.07%股权，为上市公司实际控制人。据悉，大华机械主要从事飞轮、齿圈等产品，蓬翔汽车主要从事车桥、矿用车及专用车改装等业务。大华机械的相关产品和上市公司的离合器产品在功能上能够有效结合，形成模块化供货能力。尤其值得一提的是，大华机械拥有强大的海外市场销售渠道，此次收购完成后将极大提升长春一东的海外市场开拓能力，推动上市公司建设成为具有全球知名度的汽车零部件产业集团。</w:t>
      </w:r>
    </w:p>
    <w:p>
      <w:pPr>
        <w:pStyle w:val="TextBody"/>
      </w:pPr>
      <w:hyperlink r:id="rId50">
        <w:r>
          <w:rPr>
            <w:rStyle w:val="Hyperlink"/>
          </w:rPr>
          <w:t xml:space="preserve">http://company.stcn.com/2018/0613/14312951.shtml</w:t>
        </w:r>
      </w:hyperlink>
    </w:p>
    <w:p>
      <w:pPr>
        <w:pStyle w:val="Heading3"/>
      </w:pPr>
      <w:bookmarkStart w:id="51" w:name="正平股份拟4.35亿元收购科盛环保"/>
      <w:r>
        <w:t xml:space="preserve">正平股份拟4.35亿元收购科盛环保</w:t>
      </w:r>
      <w:bookmarkEnd w:id="51"/>
    </w:p>
    <w:p>
      <w:pPr>
        <w:pStyle w:val="FirstParagraph"/>
      </w:pPr>
      <w:r>
        <w:t xml:space="preserve">2018年6月11日晚间，正平股份发布公告称，上市公司拟以发行股份及支付现金的方式购买曹惠忠等11位交易对方合计持有的科盛环保100%股权，同时拟采取询价方式向不超过10名符合条件的特定投资者非公开发行股份募集配套资金。</w:t>
      </w:r>
    </w:p>
    <w:p>
      <w:pPr>
        <w:pStyle w:val="TextBody"/>
      </w:pPr>
      <w:r>
        <w:t xml:space="preserve">公告显示，科盛环保100%股权的交易价格初步定为4.35亿元，正平股份将向交易对方发行股份2315.59万股及支付现金1.31亿元，向交易对方支付交易对价。其中，股份支付比例为70%，现金支付比例为30%。正平股份董秘马富昕表示，重组成功后，将有利于正平股份拓展在生态保护和环境治理等专业领域中的业务布局，推动公司产业优化及升级，培育和发展公司未来在生态保护和环境治理等方面的业务能力，提升公司持续盈利能力。</w:t>
      </w:r>
    </w:p>
    <w:p>
      <w:pPr>
        <w:pStyle w:val="TextBody"/>
      </w:pPr>
      <w:hyperlink r:id="rId52">
        <w:r>
          <w:rPr>
            <w:rStyle w:val="Hyperlink"/>
          </w:rPr>
          <w:t xml:space="preserve">http://company.stcn.com/2018/0612/14310814.shtml</w:t>
        </w:r>
      </w:hyperlink>
    </w:p>
    <w:p>
      <w:pPr>
        <w:pStyle w:val="Heading3"/>
      </w:pPr>
      <w:bookmarkStart w:id="53" w:name="世纪华通拟收购盛跃网络盛大游戏借道回归a股"/>
      <w:r>
        <w:t xml:space="preserve">世纪华通拟收购盛跃网络，盛大游戏借道回归A股</w:t>
      </w:r>
      <w:bookmarkEnd w:id="53"/>
    </w:p>
    <w:p>
      <w:pPr>
        <w:pStyle w:val="FirstParagraph"/>
      </w:pPr>
      <w:r>
        <w:t xml:space="preserve">世纪华通2018年6月11日晚公告称，拟收购标的资产为盛跃网络科技（上海）有限公司（以下简称“盛跃网络”）100%股权。值得注意的是，盛跃网络是盛大游戏的运营实体。通过此次世纪华通控股股东履行注入资产承诺，盛大游戏将迎来回归A股市场。</w:t>
      </w:r>
    </w:p>
    <w:p>
      <w:pPr>
        <w:pStyle w:val="TextBody"/>
      </w:pPr>
      <w:r>
        <w:t xml:space="preserve">世纪华通表示，拟通过发行股份方式购买盛跃网络，股份发行价格经交易各方协商后确定，拟设置盛跃网络业绩承诺及补偿安排。盛跃网络为知名游戏厂商盛大游戏的运营实体。公开资料显示，盛大游戏是全球领先网络游戏开发商、运营商和发行商，拥有2000多名游戏研发、运维人员。自成立以来，盛大游戏先后推出70多款网络游戏，承载超过18亿注册用户。2016年，盛大游戏实现营收38.6亿元，同比增17.6%，净利润16.2亿元，同比增长113%。</w:t>
      </w:r>
    </w:p>
    <w:p>
      <w:pPr>
        <w:pStyle w:val="TextBody"/>
      </w:pPr>
      <w:hyperlink r:id="rId54">
        <w:r>
          <w:rPr>
            <w:rStyle w:val="Hyperlink"/>
          </w:rPr>
          <w:t xml:space="preserve">http://company.stcn.com/2018/0612/14310719.shtml</w:t>
        </w:r>
      </w:hyperlink>
    </w:p>
    <w:p>
      <w:pPr>
        <w:pStyle w:val="DisclaimerBold"/>
      </w:pPr>
      <w:r>
        <w:t>此法讯仅为提供相关资料信息之用，其内容并</w:t>
      </w:r>
    </w:p>
    <w:p>
      <w:pPr>
        <w:pStyle w:val="Disclaimer"/>
      </w:pPr>
      <w:r>
        <w:t>不构成法律建议及个案的法律分析。</w:t>
      </w:r>
    </w:p>
    <w:p>
      <w:pPr>
        <w:pStyle w:val="Disclaimer"/>
      </w:pPr>
      <w:r>
        <w:t>此法讯的发送并不是为了在易周律师行与用户或浏览者之间建立一种律师与客户之关系。</w:t>
      </w:r>
    </w:p>
    <w:p>
      <w:pPr>
        <w:pStyle w:val="Disclaimer"/>
      </w:pPr>
      <w:r>
        <w:t>易周律师行并不对可从互联网获得的任何第三方内容负责。</w:t>
      </w:r>
    </w:p>
    <w:p>
      <w:pPr>
        <w:pStyle w:val="Disclaimer"/>
      </w:pPr>
      <w:r>
        <w:t xml:space="preserve">如你不希望再收到易周法讯，请发送电邮至  </w:t>
      </w:r>
      <w:hyperlink r:id="rId10">
        <w:r>
          <w:rPr/>
          <w:t>unsubscribe@charltonslaw.com</w:t>
        </w:r>
      </w:hyperlink>
    </w:p>
    <w:p>
      <w:pPr>
        <w:pStyle w:val="BlackStrips"/>
      </w:pPr>
      <w:r>
        <w:t>Charltons - 法讯 - 中国 - 2018年6月16日</w:t>
      </w:r>
    </w:p>
    <w:sectPr>
      <w:type w:val="nextPage"/>
      <w:pgSz w:w="11906" w:h="16838"/>
      <w:pgMar w:left="864" w:right="864" w:header="0" w:top="864" w:footer="0" w:bottom="864" w:gutter="0"/>
      <w:pgNumType w:fmt="decimal"/>
      <w:formProt w:val="false"/>
      <w:textDirection w:val="lrTb"/>
      <w:docGrid w:type="default" w:linePitch="240" w:charSpace="429496115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mbria">
    <w:charset w:val="01"/>
    <w:family w:val="roman"/>
    <w:pitch w:val="variable"/>
  </w:font>
  <w:font w:name="Calibri">
    <w:charset w:val="01"/>
    <w:family w:val="roman"/>
    <w:pitch w:val="variable"/>
  </w:font>
  <w:font w:name="Consolas">
    <w:charset w:val="01"/>
    <w:family w:val="roman"/>
    <w:pitch w:val="variable"/>
  </w:font>
  <w:font w:name="Liberation Sans">
    <w:altName w:val="Arial"/>
    <w:charset w:val="01"/>
    <w:family w:val="roman"/>
    <w:pitch w:val="variable"/>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1abbca86"/>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mbria" w:hAnsi="Cambria" w:eastAsia="Cambria" w:cs="" w:asciiTheme="minorHAnsi" w:cstheme="minorBidi" w:eastAsiaTheme="minorHAnsi" w:hAnsiTheme="minorHAnsi"/>
        <w:szCs w:val="24"/>
        <w:lang w:val="en-US" w:eastAsia="en-US" w:bidi="ar-SA"/>
      </w:rPr>
    </w:rPrDefault>
    <w:pPrDefault>
      <w:pPr/>
    </w:pPrDefault>
  </w:docDefaults>
  <w:latentStyles w:defLockedState="0" w:defUIPriority="0" w:defSemiHidden="0" w:defUnhideWhenUsed="0" w:defQFormat="0" w:count="276"/>
  <w:style w:type="paragraph" w:styleId="Normal" w:default="1">
    <w:name w:val="Normal"/>
    <w:qFormat/>
    <w:pPr>
      <w:widowControl/>
      <w:bidi w:val="0"/>
      <w:spacing w:before="0" w:after="200"/>
      <w:jc w:val="left"/>
    </w:pPr>
    <w:rPr>
      <w:rFonts w:ascii="Cambria" w:hAnsi="Cambria" w:eastAsia="Cambria" w:cs="" w:asciiTheme="minorHAnsi" w:cstheme="minorBidi" w:eastAsiaTheme="minorHAnsi" w:hAnsiTheme="minorHAnsi"/>
      <w:color w:val="00000A"/>
      <w:sz w:val="24"/>
      <w:szCs w:val="24"/>
      <w:lang w:val="en-US" w:eastAsia="en-US" w:bidi="ar-SA"/>
    </w:rPr>
  </w:style>
  <w:style w:type="paragraph" w:styleId="Heading1">
    <w:name w:val="Heading 1"/>
    <w:basedOn w:val="Normal"/>
    <w:uiPriority w:val="9"/>
    <w:qFormat/>
    <w:pPr>
      <w:keepNext/>
      <w:keepLines/>
      <w:bidi w:val="0"/>
      <w:spacing w:before="480" w:after="0"/>
      <w:jc w:val="left"/>
      <w:outlineLvl w:val="0"/>
    </w:pPr>
    <w:rPr>
      <w:rFonts w:ascii="Calibri" w:hAnsi="Calibri" w:eastAsia="" w:cs="" w:asciiTheme="majorHAnsi" w:cstheme="majorBidi" w:eastAsiaTheme="majorEastAsia" w:hAnsiTheme="majorHAnsi"/>
      <w:b/>
      <w:bCs/>
      <w:color w:val="C0143C" w:themeShade="b5"/>
      <w:sz w:val="32"/>
      <w:szCs w:val="32"/>
    </w:rPr>
  </w:style>
  <w:style w:type="paragraph" w:styleId="Heading2">
    <w:name w:val="Heading 2"/>
    <w:basedOn w:val="Normal"/>
    <w:uiPriority w:val="9"/>
    <w:unhideWhenUsed/>
    <w:qFormat/>
    <w:pPr>
      <w:keepNext/>
      <w:keepLines/>
      <w:bidi w:val="0"/>
      <w:spacing w:before="200" w:after="0"/>
      <w:jc w:val="left"/>
      <w:outlineLvl w:val="1"/>
    </w:pPr>
    <w:rPr>
      <w:rFonts w:ascii="Calibri" w:hAnsi="Calibri" w:eastAsia="" w:cs="" w:asciiTheme="majorHAnsi" w:cstheme="majorBidi" w:eastAsiaTheme="majorEastAsia" w:hAnsiTheme="majorHAnsi"/>
      <w:b/>
      <w:bCs/>
      <w:color w:val="C0143C"/>
      <w:sz w:val="32"/>
      <w:szCs w:val="32"/>
    </w:rPr>
  </w:style>
  <w:style w:type="paragraph" w:styleId="Heading3">
    <w:name w:val="Heading 3"/>
    <w:basedOn w:val="Normal"/>
    <w:uiPriority w:val="9"/>
    <w:unhideWhenUsed/>
    <w:qFormat/>
    <w:pPr>
      <w:keepNext/>
      <w:keepLines/>
      <w:bidi w:val="0"/>
      <w:spacing w:before="200" w:after="0"/>
      <w:jc w:val="left"/>
      <w:outlineLvl w:val="2"/>
    </w:pPr>
    <w:rPr>
      <w:rFonts w:ascii="Calibri" w:hAnsi="Calibri" w:eastAsia="" w:cs="" w:asciiTheme="majorHAnsi" w:cstheme="majorBidi" w:eastAsiaTheme="majorEastAsia" w:hAnsiTheme="majorHAnsi"/>
      <w:b/>
      <w:bCs/>
      <w:color w:val="C0143C"/>
      <w:sz w:val="28"/>
      <w:szCs w:val="28"/>
    </w:rPr>
  </w:style>
  <w:style w:type="paragraph" w:styleId="Heading4">
    <w:name w:val="Heading 4"/>
    <w:basedOn w:val="Normal"/>
    <w:uiPriority w:val="9"/>
    <w:unhideWhenUsed/>
    <w:qFormat/>
    <w:pPr>
      <w:keepNext/>
      <w:keepLines/>
      <w:bidi w:val="0"/>
      <w:spacing w:before="200" w:after="0"/>
      <w:jc w:val="left"/>
      <w:outlineLvl w:val="3"/>
    </w:pPr>
    <w:rPr>
      <w:rFonts w:ascii="Calibri" w:hAnsi="Calibri" w:eastAsia="" w:cs="" w:asciiTheme="majorHAnsi" w:cstheme="majorBidi" w:eastAsiaTheme="majorEastAsia" w:hAnsiTheme="majorHAnsi"/>
      <w:b/>
      <w:bCs/>
      <w:color w:val="C0143C"/>
      <w:sz w:val="24"/>
      <w:szCs w:val="24"/>
    </w:rPr>
  </w:style>
  <w:style w:type="paragraph" w:styleId="Heading5">
    <w:name w:val="Heading 5"/>
    <w:basedOn w:val="Normal"/>
    <w:uiPriority w:val="9"/>
    <w:unhideWhenUsed/>
    <w:qFormat/>
    <w:pPr>
      <w:keepNext/>
      <w:keepLines/>
      <w:bidi w:val="0"/>
      <w:spacing w:before="200" w:after="0"/>
      <w:jc w:val="left"/>
      <w:outlineLvl w:val="4"/>
    </w:pPr>
    <w:rPr>
      <w:rFonts w:ascii="Calibri" w:hAnsi="Calibri" w:eastAsia="" w:cs="" w:asciiTheme="majorHAnsi" w:cstheme="majorBidi" w:eastAsiaTheme="majorEastAsia" w:hAnsiTheme="majorHAnsi"/>
      <w:i/>
      <w:iCs/>
      <w:color w:val="C0143C"/>
      <w:sz w:val="24"/>
      <w:szCs w:val="24"/>
    </w:rPr>
  </w:style>
  <w:style w:type="paragraph" w:styleId="Heading6">
    <w:name w:val="Heading 6"/>
    <w:basedOn w:val="Normal"/>
    <w:uiPriority w:val="9"/>
    <w:unhideWhenUsed/>
    <w:qFormat/>
    <w:pPr>
      <w:keepNext/>
      <w:keepLines/>
      <w:bidi w:val="0"/>
      <w:spacing w:before="200" w:after="0"/>
      <w:jc w:val="left"/>
      <w:outlineLvl w:val="5"/>
    </w:pPr>
    <w:rPr>
      <w:rFonts w:ascii="Calibri" w:hAnsi="Calibri" w:eastAsia="" w:cs="" w:asciiTheme="majorHAnsi" w:cstheme="majorBidi" w:eastAsiaTheme="majorEastAsia" w:hAnsiTheme="majorHAnsi"/>
      <w:color w:val="C0143C"/>
      <w:sz w:val="24"/>
      <w:szCs w:val="24"/>
    </w:rPr>
  </w:style>
  <w:style w:type="character" w:styleId="DefaultParagraphFont" w:default="1">
    <w:name w:val="Default Paragraph Font"/>
    <w:semiHidden/>
    <w:unhideWhenUsed/>
    <w:qFormat/>
    <w:rPr/>
  </w:style>
  <w:style w:type="character" w:styleId="BodyTextChar" w:customStyle="1">
    <w:name w:val="Body Text Char"/>
    <w:basedOn w:val="DefaultParagraphFont"/>
    <w:link w:val="BodyText"/>
    <w:qFormat/>
    <w:rPr/>
  </w:style>
  <w:style w:type="character" w:styleId="VerbatimChar" w:customStyle="1">
    <w:name w:val="Verbatim Char"/>
    <w:basedOn w:val="BodyTextChar"/>
    <w:qFormat/>
    <w:rPr>
      <w:rFonts w:ascii="Consolas" w:hAnsi="Consolas"/>
      <w:sz w:val="22"/>
    </w:rPr>
  </w:style>
  <w:style w:type="character" w:styleId="FootnoteAnchor">
    <w:name w:val="Footnote Anchor"/>
    <w:basedOn w:val="BodyTextChar"/>
    <w:rPr>
      <w:vertAlign w:val="superscript"/>
    </w:rPr>
  </w:style>
  <w:style w:type="character" w:styleId="InternetLink">
    <w:name w:val="Internet Link"/>
    <w:basedOn w:val="BodyTextChar"/>
    <w:rPr>
      <w:color w:val="C0143C"/>
    </w:rPr>
  </w:style>
  <w:style w:type="paragraph" w:styleId="Heading">
    <w:name w:val="Heading"/>
    <w:basedOn w:val="Normal"/>
    <w:next w:val="TextBody"/>
    <w:qFormat/>
    <w:pPr>
      <w:keepNext/>
      <w:spacing w:before="240" w:after="120"/>
    </w:pPr>
    <w:rPr>
      <w:rFonts w:ascii="Liberation Sans" w:hAnsi="Liberation Sans" w:eastAsia="Microsoft YaHei" w:cs="Arial Unicode MS"/>
      <w:sz w:val="28"/>
      <w:szCs w:val="28"/>
    </w:rPr>
  </w:style>
  <w:style w:type="paragraph" w:styleId="TextBody">
    <w:name w:val="Body Text"/>
    <w:basedOn w:val="Normal"/>
    <w:link w:val="BodyTextChar"/>
    <w:qFormat/>
    <w:pPr>
      <w:bidi w:val="0"/>
      <w:spacing w:before="180" w:after="180"/>
      <w:jc w:val="both"/>
    </w:pPr>
    <w:rPr/>
  </w:style>
  <w:style w:type="paragraph" w:styleId="List">
    <w:name w:val="List"/>
    <w:basedOn w:val="TextBody"/>
    <w:pPr/>
    <w:rPr>
      <w:rFonts w:cs="Arial Unicode MS"/>
    </w:rPr>
  </w:style>
  <w:style w:type="paragraph" w:styleId="Caption">
    <w:name w:val="Caption"/>
    <w:basedOn w:val="Normal"/>
    <w:link w:val="BodyTextChar"/>
    <w:qFormat/>
    <w:pPr>
      <w:spacing w:before="0" w:after="120"/>
    </w:pPr>
    <w:rPr>
      <w:i/>
    </w:rPr>
  </w:style>
  <w:style w:type="paragraph" w:styleId="Index">
    <w:name w:val="Index"/>
    <w:basedOn w:val="Normal"/>
    <w:qFormat/>
    <w:pPr>
      <w:suppressLineNumbers/>
    </w:pPr>
    <w:rPr>
      <w:rFonts w:cs="Arial Unicode MS"/>
    </w:rPr>
  </w:style>
  <w:style w:type="paragraph" w:styleId="FirstParagraph" w:customStyle="1">
    <w:name w:val="First Paragraph"/>
    <w:basedOn w:val="TextBody"/>
    <w:qFormat/>
    <w:pPr/>
    <w:rPr/>
  </w:style>
  <w:style w:type="paragraph" w:styleId="Compact" w:customStyle="1">
    <w:name w:val="Compact"/>
    <w:basedOn w:val="TextBody"/>
    <w:qFormat/>
    <w:pPr>
      <w:spacing w:before="36" w:after="36"/>
    </w:pPr>
    <w:rPr/>
  </w:style>
  <w:style w:type="paragraph" w:styleId="Title">
    <w:name w:val="Title"/>
    <w:basedOn w:val="Normal"/>
    <w:qFormat/>
    <w:pPr>
      <w:keepNext/>
      <w:keepLines/>
      <w:bidi w:val="0"/>
      <w:spacing w:before="480" w:after="240"/>
      <w:jc w:val="left"/>
    </w:pPr>
    <w:rPr>
      <w:rFonts w:ascii="Calibri" w:hAnsi="Calibri" w:eastAsia="" w:cs="" w:asciiTheme="majorHAnsi" w:cstheme="majorBidi" w:eastAsiaTheme="majorEastAsia" w:hAnsiTheme="majorHAnsi"/>
      <w:b/>
      <w:bCs/>
      <w:color w:val="C0143C" w:themeShade="b5"/>
      <w:sz w:val="36"/>
      <w:szCs w:val="36"/>
    </w:rPr>
  </w:style>
  <w:style w:type="paragraph" w:styleId="Subtitle">
    <w:name w:val="Subtitle"/>
    <w:basedOn w:val="Title"/>
    <w:qFormat/>
    <w:pPr>
      <w:keepNext/>
      <w:keepLines/>
      <w:spacing w:before="240" w:after="240"/>
      <w:jc w:val="center"/>
    </w:pPr>
    <w:rPr>
      <w:sz w:val="30"/>
      <w:szCs w:val="30"/>
    </w:rPr>
  </w:style>
  <w:style w:type="paragraph" w:styleId="Author" w:customStyle="1">
    <w:name w:val="Author"/>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Date">
    <w:name w:val="Date"/>
    <w:qFormat/>
    <w:pPr>
      <w:keepNext/>
      <w:keepLines/>
      <w:widowControl/>
      <w:bidi w:val="0"/>
      <w:jc w:val="center"/>
    </w:pPr>
    <w:rPr>
      <w:rFonts w:ascii="Cambria" w:hAnsi="Cambria" w:eastAsia="Cambria" w:cs="" w:asciiTheme="minorHAnsi" w:cstheme="minorBidi" w:eastAsiaTheme="minorHAnsi" w:hAnsiTheme="minorHAnsi"/>
      <w:color w:val="00000A"/>
      <w:sz w:val="24"/>
      <w:szCs w:val="24"/>
      <w:lang w:val="en-US" w:eastAsia="en-US" w:bidi="ar-SA"/>
    </w:rPr>
  </w:style>
  <w:style w:type="paragraph" w:styleId="Abstract" w:customStyle="1">
    <w:name w:val="Abstract"/>
    <w:basedOn w:val="Normal"/>
    <w:qFormat/>
    <w:pPr>
      <w:keepNext/>
      <w:keepLines/>
      <w:spacing w:before="300" w:after="300"/>
    </w:pPr>
    <w:rPr>
      <w:sz w:val="20"/>
      <w:szCs w:val="20"/>
    </w:rPr>
  </w:style>
  <w:style w:type="paragraph" w:styleId="Bibliography">
    <w:name w:val="Bibliography"/>
    <w:basedOn w:val="Normal"/>
    <w:qFormat/>
    <w:pPr/>
    <w:rPr/>
  </w:style>
  <w:style w:type="paragraph" w:styleId="BlockText">
    <w:name w:val="Block Text"/>
    <w:basedOn w:val="TextBody"/>
    <w:uiPriority w:val="9"/>
    <w:unhideWhenUsed/>
    <w:qFormat/>
    <w:pPr>
      <w:spacing w:before="100" w:after="100"/>
      <w:ind w:hanging="0"/>
    </w:pPr>
    <w:rPr>
      <w:rFonts w:ascii="Calibri" w:hAnsi="Calibri" w:eastAsia="" w:cs="" w:asciiTheme="majorHAnsi" w:cstheme="majorBidi" w:eastAsiaTheme="majorEastAsia" w:hAnsiTheme="majorHAnsi"/>
      <w:bCs/>
      <w:sz w:val="20"/>
      <w:szCs w:val="20"/>
    </w:rPr>
  </w:style>
  <w:style w:type="paragraph" w:styleId="Footnote">
    <w:name w:val="Footnote Text"/>
    <w:basedOn w:val="Normal"/>
    <w:uiPriority w:val="9"/>
    <w:unhideWhenUsed/>
    <w:qFormat/>
    <w:pPr/>
    <w:rPr/>
  </w:style>
  <w:style w:type="paragraph" w:styleId="DefinitionTerm" w:customStyle="1">
    <w:name w:val="Definition Term"/>
    <w:basedOn w:val="Normal"/>
    <w:qFormat/>
    <w:pPr>
      <w:keepNext/>
      <w:keepLines/>
      <w:spacing w:before="0" w:after="0"/>
    </w:pPr>
    <w:rPr>
      <w:b/>
    </w:rPr>
  </w:style>
  <w:style w:type="paragraph" w:styleId="Definition" w:customStyle="1">
    <w:name w:val="Definition"/>
    <w:basedOn w:val="Normal"/>
    <w:qFormat/>
    <w:pPr/>
    <w:rPr/>
  </w:style>
  <w:style w:type="paragraph" w:styleId="TableCaption" w:customStyle="1">
    <w:name w:val="Table Caption"/>
    <w:basedOn w:val="Caption"/>
    <w:qFormat/>
    <w:pPr>
      <w:keepNext/>
    </w:pPr>
    <w:rPr/>
  </w:style>
  <w:style w:type="paragraph" w:styleId="ImageCaption" w:customStyle="1">
    <w:name w:val="Image Caption"/>
    <w:basedOn w:val="Caption"/>
    <w:qFormat/>
    <w:pPr/>
    <w:rPr/>
  </w:style>
  <w:style w:type="paragraph" w:styleId="Figure" w:customStyle="1">
    <w:name w:val="Figure"/>
    <w:basedOn w:val="Normal"/>
    <w:qFormat/>
    <w:pPr/>
    <w:rPr/>
  </w:style>
  <w:style w:type="paragraph" w:styleId="FigurewithCaption" w:customStyle="1">
    <w:name w:val="Figure with Caption"/>
    <w:basedOn w:val="Figure"/>
    <w:qFormat/>
    <w:pPr>
      <w:keepNext/>
    </w:pPr>
    <w:rPr/>
  </w:style>
  <w:style w:type="paragraph" w:styleId="TOCHeading">
    <w:name w:val="TOC Heading"/>
    <w:basedOn w:val="Heading1"/>
    <w:uiPriority w:val="39"/>
    <w:unhideWhenUsed/>
    <w:qFormat/>
    <w:pPr>
      <w:bidi w:val="0"/>
      <w:spacing w:lineRule="auto" w:line="259" w:before="240" w:after="0"/>
      <w:jc w:val="left"/>
    </w:pPr>
    <w:rPr>
      <w:rFonts w:ascii="Calibri" w:hAnsi="Calibri" w:eastAsia="" w:cs="" w:asciiTheme="majorHAnsi" w:cstheme="majorBidi" w:eastAsiaTheme="majorEastAsia" w:hAnsiTheme="majorHAnsi"/>
      <w:b w:val="false"/>
      <w:bCs w:val="false"/>
      <w:color w:val="C0143C" w:themeShade="bf"/>
    </w:rPr>
  </w:style>
  <w:style w:type="paragraph" w:styleId="Disclaimer">
    <w:name w:val="Disclaimer"/>
    <w:basedOn w:val="Normal"/>
    <w:qFormat/>
    <w:pPr>
      <w:pBdr>
        <w:top w:val="single" w:sz="2" w:space="1" w:color="000001"/>
        <w:left w:val="single" w:sz="2" w:space="1" w:color="000001"/>
        <w:bottom w:val="single" w:sz="2" w:space="1" w:color="000001"/>
        <w:right w:val="single" w:sz="2" w:space="1" w:color="000001"/>
      </w:pBdr>
      <w:shd w:val="clear" w:fill="DDDDDD"/>
      <w:bidi w:val="0"/>
      <w:spacing w:before="101" w:after="101"/>
      <w:jc w:val="both"/>
    </w:pPr>
    <w:rPr/>
  </w:style>
  <w:style w:type="paragraph" w:styleId="BlackStrips">
    <w:name w:val="Black Strips"/>
    <w:basedOn w:val="Normal"/>
    <w:qFormat/>
    <w:pPr>
      <w:shd w:val="clear" w:fill="000000"/>
      <w:bidi w:val="0"/>
      <w:jc w:val="center"/>
    </w:pPr>
    <w:rPr>
      <w:color w:val="FFFFFF"/>
    </w:rPr>
  </w:style>
  <w:style w:type="paragraph" w:styleId="DisclaimerBold">
    <w:name w:val="Disclaimer Bold"/>
    <w:basedOn w:val="Disclaimer"/>
    <w:qFormat/>
    <w:pPr>
      <w:shd w:val="clear" w:fill="DDDDDD"/>
      <w:bidi w:val="0"/>
      <w:jc w:val="left"/>
    </w:pPr>
    <w:rPr>
      <w:b/>
    </w:rPr>
  </w:style>
  <w:style w:type="paragraph" w:styleId="ReadOnline">
    <w:name w:val="Read Online"/>
    <w:basedOn w:val="Normal"/>
    <w:qFormat/>
    <w:pPr>
      <w:bidi w:val="0"/>
      <w:jc w:val="center"/>
    </w:pPr>
    <w:rPr>
      <w:sz w:val="28"/>
      <w:u w:val="single"/>
    </w:rPr>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standalone='yes'?>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openxmlformats.org/officeDocument/2006/relationships/footnotes" Target="footnotes.xml"/><Relationship Id="rId8" Type="http://schemas.openxmlformats.org/officeDocument/2006/relationships/comments" Target="comments.xml"/><Relationship Id="rId54" Type="http://schemas.openxmlformats.org/officeDocument/2006/relationships/hyperlink" Target="http://company.stcn.com/2018/0612/14310719.shtml" TargetMode="External"/><Relationship Id="rId52" Type="http://schemas.openxmlformats.org/officeDocument/2006/relationships/hyperlink" Target="http://company.stcn.com/2018/0612/14310814.shtml" TargetMode="External"/><Relationship Id="rId50" Type="http://schemas.openxmlformats.org/officeDocument/2006/relationships/hyperlink" Target="http://company.stcn.com/2018/0613/14312951.shtml" TargetMode="External"/><Relationship Id="rId48" Type="http://schemas.openxmlformats.org/officeDocument/2006/relationships/hyperlink" Target="http://company.stcn.com/2018/0613/14313083.shtml" TargetMode="External"/><Relationship Id="rId43" Type="http://schemas.openxmlformats.org/officeDocument/2006/relationships/hyperlink" Target="http://www.court.gov.cn/zixun-xiangqing-100722.html" TargetMode="External"/><Relationship Id="rId24" Type="http://schemas.openxmlformats.org/officeDocument/2006/relationships/hyperlink" Target="http://www.csrc.gov.cn/pub/newsite/zjhxwfb/xwdd/201806/t20180606_339319.html" TargetMode="External"/><Relationship Id="rId26" Type="http://schemas.openxmlformats.org/officeDocument/2006/relationships/hyperlink" Target="http://www.csrc.gov.cn/pub/newsite/zjhxwfb/xwdd/201806/t20180613_339798.html" TargetMode="External"/><Relationship Id="rId38" Type="http://schemas.openxmlformats.org/officeDocument/2006/relationships/hyperlink" Target="http://www.ctax.org.cn/csyw/201806/t20180614_1077519.shtml" TargetMode="External"/><Relationship Id="rId36" Type="http://schemas.openxmlformats.org/officeDocument/2006/relationships/hyperlink" Target="http://www.gov.cn/xinwen/2018-06/11/content_5297593.htm" TargetMode="External"/><Relationship Id="rId41" Type="http://schemas.openxmlformats.org/officeDocument/2006/relationships/hyperlink" Target="http://www.gov.cn/xinwen/2018-06/11/content_5297809.htm" TargetMode="External"/><Relationship Id="rId45" Type="http://schemas.openxmlformats.org/officeDocument/2006/relationships/hyperlink" Target="http://www.gov.cn/xinwen/2018-06/13/content_5298312.htm" TargetMode="External"/><Relationship Id="rId30" Type="http://schemas.openxmlformats.org/officeDocument/2006/relationships/hyperlink" Target="http://www.sse.com.cn/aboutus/mediacenter/hotandd/c/c_20180608_4570259.shtml" TargetMode="External"/><Relationship Id="rId28" Type="http://schemas.openxmlformats.org/officeDocument/2006/relationships/hyperlink" Target="http://www.szse.cn/main/aboutus/bsyw/39779885.shtml" TargetMode="External"/><Relationship Id="rId33" Type="http://schemas.openxmlformats.org/officeDocument/2006/relationships/hyperlink" Target="http://xw.sinoins.com/2018-06/14/content_263897.htm" TargetMode="External"/><Relationship Id="rId9" Type="http://schemas.openxmlformats.org/officeDocument/2006/relationships/hyperlink" Target="http://www.charltonslaw.com.cn/zhong-guo-zheng-jian-hui-fa-bu-cun-tuo-ping-zheng-fa-xing-yu-jiao-yi-guan-li-ban-fa-shi-xing-deng-gui-zhang-ji-gui-fan-xing-wen-jian" TargetMode="External"/><Relationship Id="rId10" Type="http://schemas.openxmlformats.org/officeDocument/2006/relationships/hyperlink" Target="mailto:unsubscribe@charltonslaw.com?subject=unsubscribe -Hong Kong Law-" TargetMode="External"/></Relationships>
</file>

<file path=word/_rels/footnotes.xml.rels><?xml version='1.0' encoding='UTF-8' standalone='yes'?>
<Relationships xmlns="http://schemas.openxmlformats.org/package/2006/relationships"><Relationship Id="rId54" Type="http://schemas.openxmlformats.org/officeDocument/2006/relationships/hyperlink" Target="http://company.stcn.com/2018/0612/14310719.shtml" TargetMode="External"/><Relationship Id="rId52" Type="http://schemas.openxmlformats.org/officeDocument/2006/relationships/hyperlink" Target="http://company.stcn.com/2018/0612/14310814.shtml" TargetMode="External"/><Relationship Id="rId50" Type="http://schemas.openxmlformats.org/officeDocument/2006/relationships/hyperlink" Target="http://company.stcn.com/2018/0613/14312951.shtml" TargetMode="External"/><Relationship Id="rId48" Type="http://schemas.openxmlformats.org/officeDocument/2006/relationships/hyperlink" Target="http://company.stcn.com/2018/0613/14313083.shtml" TargetMode="External"/><Relationship Id="rId43" Type="http://schemas.openxmlformats.org/officeDocument/2006/relationships/hyperlink" Target="http://www.court.gov.cn/zixun-xiangqing-100722.html" TargetMode="External"/><Relationship Id="rId24" Type="http://schemas.openxmlformats.org/officeDocument/2006/relationships/hyperlink" Target="http://www.csrc.gov.cn/pub/newsite/zjhxwfb/xwdd/201806/t20180606_339319.html" TargetMode="External"/><Relationship Id="rId26" Type="http://schemas.openxmlformats.org/officeDocument/2006/relationships/hyperlink" Target="http://www.csrc.gov.cn/pub/newsite/zjhxwfb/xwdd/201806/t20180613_339798.html" TargetMode="External"/><Relationship Id="rId38" Type="http://schemas.openxmlformats.org/officeDocument/2006/relationships/hyperlink" Target="http://www.ctax.org.cn/csyw/201806/t20180614_1077519.shtml" TargetMode="External"/><Relationship Id="rId36" Type="http://schemas.openxmlformats.org/officeDocument/2006/relationships/hyperlink" Target="http://www.gov.cn/xinwen/2018-06/11/content_5297593.htm" TargetMode="External"/><Relationship Id="rId41" Type="http://schemas.openxmlformats.org/officeDocument/2006/relationships/hyperlink" Target="http://www.gov.cn/xinwen/2018-06/11/content_5297809.htm" TargetMode="External"/><Relationship Id="rId45" Type="http://schemas.openxmlformats.org/officeDocument/2006/relationships/hyperlink" Target="http://www.gov.cn/xinwen/2018-06/13/content_5298312.htm" TargetMode="External"/><Relationship Id="rId30" Type="http://schemas.openxmlformats.org/officeDocument/2006/relationships/hyperlink" Target="http://www.sse.com.cn/aboutus/mediacenter/hotandd/c/c_20180608_4570259.shtml" TargetMode="External"/><Relationship Id="rId28" Type="http://schemas.openxmlformats.org/officeDocument/2006/relationships/hyperlink" Target="http://www.szse.cn/main/aboutus/bsyw/39779885.shtml" TargetMode="External"/><Relationship Id="rId33" Type="http://schemas.openxmlformats.org/officeDocument/2006/relationships/hyperlink" Target="http://xw.sinoins.com/2018-06/14/content_263897.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Application>LibreOffice/5.3.2.2$MacOSX_X86_64 LibreOffice_project/6cd4f1ef626f15116896b1d8e1398b56da0d0ee1</Application>
  <Pages>1</Pages>
  <Words>2</Words>
  <Characters>11</Characters>
  <CharactersWithSpaces>12</CharactersWithSpaces>
  <Paragraphs>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2018-06-15T08:29:55Z</dcterms:created>
  <dcterms:modified xsi:type="dcterms:W3CDTF">2018-06-15T08:29:55Z</dcterms:modified>
</cp:coreProperties>
</file>