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- 2018年7月13日</w:t>
      </w:r>
    </w:p>
    <w:p>
      <w:pPr>
        <w:pStyle w:val="ReadOnline"/>
      </w:pPr>
      <w:hyperlink r:id="rId9">
        <w:r>
          <w:rPr/>
          <w:t>online version</w:t>
        </w:r>
      </w:hyperlink>
    </w:p>
    <w:p>
      <w:pPr>
        <w:pStyle w:val="Title"/>
      </w:pPr>
      <w:r>
        <w:t>中国证监会：期货业继续强监管，异常交易将受重点监控</w:t>
      </w:r>
    </w:p>
    <w:p>
      <w:pPr>
        <w:pStyle w:val="Heading2"/>
      </w:pPr>
      <w:bookmarkStart w:id="21" w:name="资本市场"/>
      <w:r>
        <w:t xml:space="preserve">资本市场</w:t>
      </w:r>
      <w:bookmarkEnd w:id="21"/>
    </w:p>
    <w:p>
      <w:pPr>
        <w:pStyle w:val="Heading3"/>
      </w:pPr>
      <w:bookmarkStart w:id="22" w:name="中国证监会期货业继续强监管异常交易将受重点监控"/>
      <w:r>
        <w:t xml:space="preserve">中国证监会：期货业继续强监管，异常交易将受重点监控</w:t>
      </w:r>
      <w:bookmarkEnd w:id="22"/>
    </w:p>
    <w:p>
      <w:pPr>
        <w:pStyle w:val="FirstParagraph"/>
      </w:pPr>
      <w:r>
        <w:t xml:space="preserve">日前，中国证监会在其官网发布了《关于进一步加强期货经营机构客户交易终端信息采集有关事项的公告》征求意见稿（以下简称《征求意见稿》）。业内人士认为，《征求意见稿》有助于防范不公平的交易以及扰乱市场的行为。</w:t>
      </w:r>
    </w:p>
    <w:p>
      <w:pPr>
        <w:pStyle w:val="TextBody"/>
      </w:pPr>
      <w:r>
        <w:t xml:space="preserve">《征求意见稿》中提到，期货公司应对其交易、结算软件及客户使用的交易终端软件进行认证管理，确保软件具备真实、准确、完整地采集和报送客户交易终端信息的功能。客户交易终端软件不能通过接入认证管理的，应拒绝其交易。沪上某大型期货公司相关负责人表示，《征求意见稿》对客户使用的交易终端软件和期货公司均提出了更高的要求，因为以往期货公司交易软件经常采集到的是中间设备信息，而不是客户交易终端信息。</w:t>
      </w:r>
    </w:p>
    <w:p>
      <w:pPr>
        <w:pStyle w:val="TextBody"/>
      </w:pPr>
      <w:hyperlink r:id="rId23">
        <w:r>
          <w:rPr>
            <w:rStyle w:val="Hyperlink"/>
          </w:rPr>
          <w:t xml:space="preserve">http://www.xinhuanet.com/money/2018-07/11/c_129911272.htm</w:t>
        </w:r>
      </w:hyperlink>
    </w:p>
    <w:p>
      <w:pPr>
        <w:pStyle w:val="Heading3"/>
      </w:pPr>
      <w:bookmarkStart w:id="24" w:name="完善国有金融资本管理指导意见公布"/>
      <w:r>
        <w:t xml:space="preserve">完善国有金融资本管理指导意见公布</w:t>
      </w:r>
      <w:bookmarkEnd w:id="24"/>
    </w:p>
    <w:p>
      <w:pPr>
        <w:pStyle w:val="FirstParagraph"/>
      </w:pPr>
      <w:r>
        <w:t xml:space="preserve">中共中央、国务院日前公布了关于完善国有金融资本管理的指导意见。意见提出了完善国有金融资本管理的主要目标是：建立健全国有金融资本管理的“四梁八柱”，优化国有金融资本战略布局，理顺国有金融资本管理体制，增强国有金融机构活力与控制力，促进国有金融资本保值增值，更好地实现服务实体经济、防控金融风险、深化金融改革三大基本任务。使国有金融资本管理的法律法规更加健全，资本布局更加合理，资本管理更加完善，国有金融机构党的建设更加强化。</w:t>
      </w:r>
    </w:p>
    <w:p>
      <w:pPr>
        <w:pStyle w:val="TextBody"/>
      </w:pPr>
      <w:r>
        <w:t xml:space="preserve">意见还对完善国有金融资本管理体制、优化国有金融资本管理制度、促进国有金融机构持续健康经营、加强党对国有金融机构的领导、协同推进强化落实等方面的工作提出了具体要求。意见指出，国有金融资本是推进国家现代化、维护国家金融安全的重要保障，是我们党和国家事业发展的重要物质基础和政治基础。国有金融机构是服务实体经济、防控金融风险、深化金融改革的重要支柱，是促进经济和金融良性循环健康发展的重要力量。当前国有金融资本管理还存在职责分散、权责不明、授权不清、布局不优，以及配置效率有待提高、法治建设不到位等矛盾和问题，需要进一步完善国有金融资本体制机制，优化管理制度。</w:t>
      </w:r>
    </w:p>
    <w:p>
      <w:pPr>
        <w:pStyle w:val="TextBody"/>
      </w:pPr>
      <w:hyperlink r:id="rId25">
        <w:r>
          <w:rPr>
            <w:rStyle w:val="Hyperlink"/>
          </w:rPr>
          <w:t xml:space="preserve">http://www.ce.cn/xwzx/gnsz/gdxw/201807/09/t20180709_29667509.shtml</w:t>
        </w:r>
      </w:hyperlink>
    </w:p>
    <w:p>
      <w:pPr>
        <w:pStyle w:val="Heading3"/>
      </w:pPr>
      <w:bookmarkStart w:id="26" w:name="外国投资者参与a股交易范围进一步放开中国证监会就相关账户管理制度修改正式向社会公开征求意见"/>
      <w:r>
        <w:t xml:space="preserve">外国投资者参与A股交易范围进一步放开，中国证监会就相关账户管理制度修改正式向社会公开征求意见</w:t>
      </w:r>
      <w:bookmarkEnd w:id="26"/>
    </w:p>
    <w:p>
      <w:pPr>
        <w:pStyle w:val="FirstParagraph"/>
      </w:pPr>
      <w:r>
        <w:t xml:space="preserve">为落实党中央、国务院关于加快建设人才强国的战略要求和深入推进资本市场对外开放的部署安排，中国证监会会同有关部门上报了《关于进一步放开外国人A股证券账户开立政策的请示》，已获国务院原则同意。中国证监会2018年7月8日就《证券登记结算管理办法》、《上市公司股权激励管理办法》等相关规定的修改草案向社会公开征求意见。</w:t>
      </w:r>
    </w:p>
    <w:p>
      <w:pPr>
        <w:pStyle w:val="TextBody"/>
      </w:pPr>
      <w:r>
        <w:t xml:space="preserve">按照稳妥有序、逐步推进的对外开放工作原则，此次主要是放开以下两类人员在境内开立A股证券账户：一是在境内工作的外国人；二是A股上市公司中在境外工作并参与股权激励的外籍员工。为此，拟对现行有关规定作专门修改，一是修改《证券登记结算管理办法》有关规定，在原有规定的中国公民、中国法人、中国合伙企业等投资者范围基础上，增加“符合规定的外国人”作为投资者类别之一，并规定外国人申请开立证券账户的具体办法，由证券登记结算机构制定，报中国证监会批准。二是修改《上市公司股权激励管理办法》，将可以成为股权激励对象的境内上市公司外籍员工范围，从在境内工作的外籍员工，扩大到所有外籍员工，即在境外工作的境内上市公司外籍员工，也可以成为股权激励对象，并可按此申请开立A股证券账户。</w:t>
      </w:r>
    </w:p>
    <w:p>
      <w:pPr>
        <w:pStyle w:val="TextBody"/>
      </w:pPr>
      <w:hyperlink r:id="rId27">
        <w:r>
          <w:rPr>
            <w:rStyle w:val="Hyperlink"/>
          </w:rPr>
          <w:t xml:space="preserve">http://www.csrc.gov.cn/pub/newsite/zjhxwfb/xwdd/201807/t20180708_340913.html</w:t>
        </w:r>
      </w:hyperlink>
    </w:p>
    <w:p>
      <w:pPr>
        <w:pStyle w:val="Heading3"/>
      </w:pPr>
      <w:bookmarkStart w:id="28" w:name="中国证监会发布修改后的并购重组委工作规程"/>
      <w:r>
        <w:t xml:space="preserve">中国证监会发布修改后的并购重组委工作规程</w:t>
      </w:r>
      <w:bookmarkEnd w:id="28"/>
    </w:p>
    <w:p>
      <w:pPr>
        <w:pStyle w:val="FirstParagraph"/>
      </w:pPr>
      <w:r>
        <w:t xml:space="preserve">近日，中国证监会修改了《中国证券监督管理委员会上市公司并购重组审核委员会工作规程》（以下简称《并购重组委工作规程》），自发布之日起实施。</w:t>
      </w:r>
    </w:p>
    <w:p>
      <w:pPr>
        <w:pStyle w:val="TextBody"/>
      </w:pPr>
      <w:r>
        <w:t xml:space="preserve">本次修改《并购重组委工作规程》主要涉及以下方面的内容：一是强化保护投资者合法权益的宗旨。在提高审核工作质量和透明度的基础上，进一步强调保护投资者合法权益的宗旨，将保护投资者合法权益贯穿审核工作始终。二是优化委员选聘机制。不断完善选聘制度，设立并购重组委遴选委员会，按照公开、公平、公正的原则选聘并购重组委委员。三是建立专项监察机制。为进一步加强监督制约，中国证监会设立发行与并购重组审核监察委员会，对并购重组委审核工作进行独立监察。四是适度扩大委员会规模。为满足审核需求，保证审核工作正常有序开展，委员总人数由35名增加至40名，内部委员不超过11名。五是调短委员任职期限。为强化委员管理，建立健全委员换届机制，将委员每届任期2年改为每届任期1年，连续任期最长不超过2届。</w:t>
      </w:r>
    </w:p>
    <w:p>
      <w:pPr>
        <w:pStyle w:val="TextBody"/>
      </w:pPr>
      <w:hyperlink r:id="rId29">
        <w:r>
          <w:rPr>
            <w:rStyle w:val="Hyperlink"/>
          </w:rPr>
          <w:t xml:space="preserve">http://www.csrc.gov.cn/pub/newsite/zjhxwfb/xwdd/201807/t20180706_340831.html</w:t>
        </w:r>
      </w:hyperlink>
    </w:p>
    <w:p>
      <w:pPr>
        <w:pStyle w:val="Heading3"/>
      </w:pPr>
      <w:bookmarkStart w:id="30" w:name="深沪交易所召开上市公司座谈会"/>
      <w:r>
        <w:t xml:space="preserve">深沪交易所召开上市公司座谈会</w:t>
      </w:r>
      <w:bookmarkEnd w:id="30"/>
    </w:p>
    <w:p>
      <w:pPr>
        <w:pStyle w:val="FirstParagraph"/>
      </w:pPr>
      <w:r>
        <w:t xml:space="preserve">近日，根据中国证监会统一部署，沪深交易所先后组织召开上市公司座谈会，听取上市公司对维护资本市场稳健运行、促进资本市场健康发展的意见和建议。</w:t>
      </w:r>
    </w:p>
    <w:p>
      <w:pPr>
        <w:pStyle w:val="TextBody"/>
      </w:pPr>
      <w:r>
        <w:t xml:space="preserve">与会公司代表表示，当前国家宏观经济由高速增长阶段转向高质量发展阶段，经济韧性增强，供给侧结构性改革红利不断释放，资本市场运行具有稳健坚实的基础和巨大发展潜力。尽管当前面临很多挑战，但相信在党和政府的坚强领导下，我国宏观经济一定能迎来持续稳中向好的局面。上市公司作为我国经济中最具活力的企业群体，要利用好资本市场工具，抓住机遇迎难而上，不断做优做强。与会公司代表对积极推进供给侧结构性改革、维护资本市场稳健运行、改进交易所监管和服务工作提出了建设性意见。</w:t>
      </w:r>
    </w:p>
    <w:p>
      <w:pPr>
        <w:pStyle w:val="TextBody"/>
      </w:pPr>
      <w:hyperlink r:id="rId31">
        <w:r>
          <w:rPr>
            <w:rStyle w:val="Hyperlink"/>
          </w:rPr>
          <w:t xml:space="preserve">http://news.stcn.com/2018/0713/14383596.shtml</w:t>
        </w:r>
      </w:hyperlink>
    </w:p>
    <w:p>
      <w:pPr>
        <w:pStyle w:val="Heading2"/>
      </w:pPr>
      <w:bookmarkStart w:id="32" w:name="保险"/>
      <w:r>
        <w:t xml:space="preserve">保险</w:t>
      </w:r>
      <w:bookmarkEnd w:id="32"/>
    </w:p>
    <w:p>
      <w:pPr>
        <w:pStyle w:val="Heading3"/>
      </w:pPr>
      <w:bookmarkStart w:id="33" w:name="保险机构独立董事管理办法发布持股13以上的股东不得提名独董"/>
      <w:r>
        <w:t xml:space="preserve">《保险机构独立董事管理办法》发布，持股1/3以上的股东不得提名独董</w:t>
      </w:r>
      <w:bookmarkEnd w:id="33"/>
    </w:p>
    <w:p>
      <w:pPr>
        <w:pStyle w:val="FirstParagraph"/>
      </w:pPr>
      <w:r>
        <w:t xml:space="preserve">为进一步健全独立董事制度运行机制，明确主体责任，规范主体行为，强化监管约束，形成更加有利于独立董事发挥作用的内外部环境，切实提升行业公司治理有效性，2018年7月9日，中国银保监会在其官网发布了《保险机构独立董事管理办法》（以下简称《办法》）。</w:t>
      </w:r>
    </w:p>
    <w:p>
      <w:pPr>
        <w:pStyle w:val="TextBody"/>
      </w:pPr>
      <w:r>
        <w:t xml:space="preserve">《办法》全文共8章56条，主要从完善制度的适用范围、细化独立董事设置人数与比例、优化独立董事的提名及任免机制、明确独立董事权利义务、完善独立董事的履职保障、建立独立董事履职评价机制、建立独立董事履职信息公开及声誉评价机制。 与此同时，为进一步提高独立董事独立性，《办法》从独立董事提名、选举、职权、履职保障等几个方面作出了规范，在提名环节，为减少大股东对独立董事提名的控制，《办法》规定持有保险机构1/3以上出资额或股份的股东及其关联股东、一致行动人不得提名独立董事；在选举环节，《办法》规定保险机构单个股东（关联股东或一致行动人合计）持股比例超过50%的，股东（大）会选举独立董事时，应当实行累积投票制。</w:t>
      </w:r>
    </w:p>
    <w:p>
      <w:pPr>
        <w:pStyle w:val="TextBody"/>
      </w:pPr>
      <w:hyperlink r:id="rId34">
        <w:r>
          <w:rPr>
            <w:rStyle w:val="Hyperlink"/>
          </w:rPr>
          <w:t xml:space="preserve">http://www.xinhuanet.com/money/2018-07/11/c_129911267.htm</w:t>
        </w:r>
      </w:hyperlink>
    </w:p>
    <w:p>
      <w:pPr>
        <w:pStyle w:val="Heading3"/>
      </w:pPr>
      <w:bookmarkStart w:id="35" w:name="税延养老保险资金运用管理暂行办法出台"/>
      <w:r>
        <w:t xml:space="preserve">税延养老保险资金运用管理暂行办法出台</w:t>
      </w:r>
      <w:bookmarkEnd w:id="35"/>
    </w:p>
    <w:p>
      <w:pPr>
        <w:pStyle w:val="FirstParagraph"/>
      </w:pPr>
      <w:r>
        <w:t xml:space="preserve">中国银保监会官网近日布《个人税收递延型商业养老保险资金运用管理暂行办法》（以下简称《办法》），旨在规范税延养老保险资金运用行为，实现资金的安全稳健运作和长期保值增值，促进税延养老保险试点持续健康发展。</w:t>
      </w:r>
    </w:p>
    <w:p>
      <w:pPr>
        <w:pStyle w:val="TextBody"/>
      </w:pPr>
      <w:r>
        <w:t xml:space="preserve">《办法》明确，税延养老保险资金是老百姓的养老钱，享受国家税收优惠政策，保险机构责任重大，投资运作需要更加审慎稳健，要实现资金的长期保值增值，必须在大类资产配置、长期投资、价值投资和多元化投资等方面具备更强的投资能力。 《办法》要求，保险机构要针对不同税延养老保险产品设立单独的投资账户，优先选择具有长期资金管理经验、资产配置体系完善、投资经验丰富、风险管控机制健全的投资管理人。投资管理人应当切实履行主动管理职责，不得进行转委托。《办法》明确，税延养老保险资金投资资产划分为流动性资产、固定收益类资产、权益类资产、不动产类资产和其他金融资产等五大类资产。鼓励税延养老保险资金投向符合国家战略和产业政策要求的领域。</w:t>
      </w:r>
    </w:p>
    <w:p>
      <w:pPr>
        <w:pStyle w:val="TextBody"/>
      </w:pPr>
      <w:hyperlink r:id="rId36">
        <w:r>
          <w:rPr>
            <w:rStyle w:val="Hyperlink"/>
          </w:rPr>
          <w:t xml:space="preserve">http://www.xinhuanet.com/fortune/2018-07/06/c_1123090682.htm</w:t>
        </w:r>
      </w:hyperlink>
    </w:p>
    <w:p>
      <w:pPr>
        <w:pStyle w:val="Heading2"/>
      </w:pPr>
      <w:bookmarkStart w:id="37" w:name="税收"/>
      <w:r>
        <w:t xml:space="preserve">税收</w:t>
      </w:r>
      <w:bookmarkEnd w:id="37"/>
    </w:p>
    <w:p>
      <w:pPr>
        <w:pStyle w:val="Heading3"/>
      </w:pPr>
      <w:bookmarkStart w:id="38" w:name="上海市16个区新税务机构统一挂牌标志着税务机构改革向纵深推进"/>
      <w:r>
        <w:t xml:space="preserve">上海市16个区新税务机构统一挂牌，标志着税务机构改革向纵深推进</w:t>
      </w:r>
      <w:bookmarkEnd w:id="38"/>
    </w:p>
    <w:p>
      <w:pPr>
        <w:pStyle w:val="FirstParagraph"/>
      </w:pPr>
      <w:r>
        <w:t xml:space="preserve">按照国家税务总局关于国税地税征管体制改革的工作部署，上海市各区新税务机构统一挂牌，原各区国税局、地税局合并，标志着税务机构改革向纵深推进。</w:t>
      </w:r>
    </w:p>
    <w:p>
      <w:pPr>
        <w:pStyle w:val="TextBody"/>
      </w:pPr>
      <w:r>
        <w:t xml:space="preserve">据了解，在国税地税征管体制改革中，上海市税务系统始终把服务好纳税人作为推进改革工作重中之重，想纳税人所想、帮纳税人所需，充分发挥先发优势，着力打造现代化智慧服务新体系。在率先实现“一厅通办、一键咨询、一网办理”的基础上，通过对办税服务、纳税咨询和税法宣传等81项大数据指标的科学分析，推出一系列优化纳税服务新举措，实现办税资源再分配、纳税服务再优化、税法宣传再提升。据统计，今年5月，全市办税服务厅的日均叫号量为3万户次，较4月份增长10.8%，而纳税人的平均等待时间仅为2分57秒，减少了56%。</w:t>
      </w:r>
    </w:p>
    <w:p>
      <w:pPr>
        <w:pStyle w:val="TextBody"/>
      </w:pPr>
      <w:hyperlink r:id="rId39">
        <w:r>
          <w:rPr>
            <w:rStyle w:val="Hyperlink"/>
          </w:rPr>
          <w:t xml:space="preserve">http://www.tax.sh.gov.cn/pub/xxgk/swdt/201807/t20180705_440651.html</w:t>
        </w:r>
      </w:hyperlink>
    </w:p>
    <w:p>
      <w:pPr>
        <w:pStyle w:val="Heading2"/>
      </w:pPr>
      <w:bookmarkStart w:id="40" w:name="行业"/>
      <w:r>
        <w:t xml:space="preserve">行业</w:t>
      </w:r>
      <w:bookmarkEnd w:id="40"/>
    </w:p>
    <w:p>
      <w:pPr>
        <w:pStyle w:val="Heading3"/>
      </w:pPr>
      <w:bookmarkStart w:id="41" w:name="司法部生态环境部联合发布环境损害司法鉴定机构登记评审细则"/>
      <w:r>
        <w:t xml:space="preserve">司法部、生态环境部联合发布《环境损害司法鉴定机构登记评审细则》</w:t>
      </w:r>
      <w:bookmarkEnd w:id="41"/>
    </w:p>
    <w:p>
      <w:pPr>
        <w:pStyle w:val="FirstParagraph"/>
      </w:pPr>
      <w:r>
        <w:t xml:space="preserve">近日，司法部、生态环境部密切沟通协作，联合制定印发《环境损害司法鉴定机构登记评审细则》（以下简称《细则》）。针对污染物性质鉴定、地表水和沉积物、空气污染、土壤与地下水、近海海洋与海岸带、生态系统和其他环境损害鉴定等7个鉴定类别，分别提出鉴定机构和人员登记准入的具体要求和条件。</w:t>
      </w:r>
    </w:p>
    <w:p>
      <w:pPr>
        <w:pStyle w:val="TextBody"/>
      </w:pPr>
      <w:r>
        <w:t xml:space="preserve">《细则》针对污染物性质鉴定、地表水和沉积物、空气污染、土壤与地下水、近海海洋与海岸带、生态系统和其他环境损害鉴定等7个鉴定类别，分别提出鉴定机构和人员登记准入的具体要求和条件，确保环境损害司法鉴定高资质、高水平；《细则》以鉴定人专业能力评价为核心，进一步明确了鉴定人相关专业、相关工作经历等要求，以及环境损害各个鉴定类别的执业范围、鉴定人学历或职称专业目录、鉴定人专业能力所涉及的领域等，既适应了当前司法鉴定管理工作精细化、专门化的需要，也是落实司法鉴定人独立负责制度的具体体现。</w:t>
      </w:r>
    </w:p>
    <w:p>
      <w:pPr>
        <w:pStyle w:val="TextBody"/>
      </w:pPr>
      <w:hyperlink r:id="rId42">
        <w:r>
          <w:rPr>
            <w:rStyle w:val="Hyperlink"/>
          </w:rPr>
          <w:t xml:space="preserve">https://www.chinacourt.org/article/detail/2018/07/id/3384762.shtml</w:t>
        </w:r>
      </w:hyperlink>
    </w:p>
    <w:p>
      <w:pPr>
        <w:pStyle w:val="Heading3"/>
      </w:pPr>
      <w:bookmarkStart w:id="43" w:name="黑龙江省出台实施意见推动电商物流协同发展"/>
      <w:r>
        <w:t xml:space="preserve">黑龙江省出台实施意见推动电商物流协同发展</w:t>
      </w:r>
      <w:bookmarkEnd w:id="43"/>
    </w:p>
    <w:p>
      <w:pPr>
        <w:pStyle w:val="FirstParagraph"/>
      </w:pPr>
      <w:r>
        <w:t xml:space="preserve">日前，黑龙江省政府办公厅出台关于《推进电子商务与快递物流协同发展的实施意见》（以下简称《意见》）。《意见》提出，要逐步实现我省快递物流规划布局科学化、基础设施公共化、信息系统共享化、车辆通行便捷化、人才培养多样化、产业发展融合化的发展目标，提高电子商务与快递物流协同发展水平。</w:t>
      </w:r>
    </w:p>
    <w:p>
      <w:pPr>
        <w:pStyle w:val="TextBody"/>
      </w:pPr>
      <w:r>
        <w:t xml:space="preserve">《意见》提出要实现全流程网上办理，简化快递业务经营许可程序。 将经营许可申请和变更的审批平均时限分别缩短至20个工作日和15个工作日。提高快递业务经营许可管理信息系统应用水平，实现许可备案事项网上统一办理。加强事中事后监管，全面推行“双随机、一公开”监管。实现消费者自主选择快递服务供应商及快递服务种类。引导电子商务平台逐步实现商品定价与快递服务定价相分离，消费者自主选择并支付相关费用。促进快递企业发展面向消费者的增值服务。 在确保消费者个人信息安全的前提下，鼓励和引导电子商务平台与快递物流企业之间开展数据交换共享，共同提升配送效率并逐步将电子商务和快递物流企业信用信息纳入国家企业信用信息公开公示系统，切实维护公平竞争秩序。</w:t>
      </w:r>
    </w:p>
    <w:p>
      <w:pPr>
        <w:pStyle w:val="TextBody"/>
      </w:pPr>
      <w:hyperlink r:id="rId44">
        <w:r>
          <w:rPr>
            <w:rStyle w:val="Hyperlink"/>
          </w:rPr>
          <w:t xml:space="preserve">http://www.gov.cn/xinwen/2018-07/09/content_5304891.htm</w:t>
        </w:r>
      </w:hyperlink>
    </w:p>
    <w:p>
      <w:pPr>
        <w:pStyle w:val="Heading3"/>
      </w:pPr>
      <w:bookmarkStart w:id="45" w:name="两部门印发紧急通知要求进一步加强当前安全防范工作"/>
      <w:r>
        <w:t xml:space="preserve">两部门印发紧急通知要求：进一步加强当前安全防范工作</w:t>
      </w:r>
      <w:bookmarkEnd w:id="45"/>
    </w:p>
    <w:p>
      <w:pPr>
        <w:pStyle w:val="FirstParagraph"/>
      </w:pPr>
      <w:r>
        <w:t xml:space="preserve">日前，国务院安委会办公室，应急管理部印发《关于进一步加强当前安全防范工作的紧急通知》（以下简称《通知》），要求各省、自治区、直辖市及新疆生产建设兵团安全生产委员会，国务院安委会有关成员单位认真贯彻落实中央领导同志重要指示批示精神，切实加强安全防范，严格落实责任措施，有效防范和遏制重特大事故，确保人民群众生命财产安全。</w:t>
      </w:r>
    </w:p>
    <w:p>
      <w:pPr>
        <w:pStyle w:val="TextBody"/>
      </w:pPr>
      <w:r>
        <w:t xml:space="preserve">《通知》强调，各地区、各有关部门和单位要深刻汲取近期国内外发生的重大事故教训，突出重点地区、重点行业、重点单位、重点环节，深入排查治理安全隐患。水上运输，强化对渡口、水库、通航密集区、旅游区等水域的动态监管，充分利用企业CCTV、GPS、AIS等手段对旅游客船等重点船舶进行动态监控，及时实施禁限航措施，严禁船舶在大风浪、大雾等恶劣天气和水文条件下开航。道路和铁路交通，加强对桥梁、涵洞、边坡的监测巡查，重点整改事故多发路段安全防护设施，加强对客车、危化品运输车等重点车辆安全状况检查和定位监控，严防“三超一疲劳”现象。</w:t>
      </w:r>
    </w:p>
    <w:p>
      <w:pPr>
        <w:pStyle w:val="TextBody"/>
      </w:pPr>
      <w:hyperlink r:id="rId46">
        <w:r>
          <w:rPr>
            <w:rStyle w:val="Hyperlink"/>
          </w:rPr>
          <w:t xml:space="preserve">http://www.chinalawinfo.com/News/NewsFullText.aspx?NewsId=91790&amp;NewsType=1</w:t>
        </w:r>
      </w:hyperlink>
    </w:p>
    <w:p>
      <w:pPr>
        <w:pStyle w:val="Heading2"/>
      </w:pPr>
      <w:bookmarkStart w:id="47" w:name="并购"/>
      <w:r>
        <w:t xml:space="preserve">并购</w:t>
      </w:r>
      <w:bookmarkEnd w:id="47"/>
    </w:p>
    <w:p>
      <w:pPr>
        <w:pStyle w:val="Heading3"/>
      </w:pPr>
      <w:bookmarkStart w:id="48" w:name="嘉凯城拟近6亿元收购两家影院公司培育第二主业"/>
      <w:r>
        <w:t xml:space="preserve">嘉凯城拟近6亿元收购两家影院公司，培育第二主业</w:t>
      </w:r>
      <w:bookmarkEnd w:id="48"/>
    </w:p>
    <w:p>
      <w:pPr>
        <w:pStyle w:val="FirstParagraph"/>
      </w:pPr>
      <w:r>
        <w:t xml:space="preserve">嘉凯城近日宣布，公司拟以近6亿元收购两家影院公司，借此发展第二产业。公告显示，公司全资子公司嘉凯城（上海）互联网科技有限公司（以下简称“科技公司”），与重庆水木诚德文化产业股权投资基金合伙企业（有限合伙）、西藏兴达盛科投资有限公司等签署了股权收购意向协议，拟以现金方式收购明星时代影院100%股权；与北京文化等签署了股权收购意向协议，拟以现金方式收购艾美影院100%股权。明星时代影院和艾美影院的交易作价分别为5.65亿元、3000万元。</w:t>
      </w:r>
    </w:p>
    <w:p>
      <w:pPr>
        <w:pStyle w:val="TextBody"/>
      </w:pPr>
      <w:r>
        <w:t xml:space="preserve">嘉凯城表示，公司坚决响应国家“去库存、防风险”的调控目标，加快低效资产处置，改善财务结构，积极培育第二主业。同时，本次交易意向收购标的属于非房地产业务，会给公司经营管理带来一定挑战。据公告，明星时代影院拥有正在营业自营影院18家、非自营加盟影院24家，2017年12月31日经审计总资产6.9亿元，总负债6.48亿元，净资产4206.24万元；2017年度经审计营业总收入1.06亿元，净利润-3300.14万元。艾美影院设立艾美（北京）影院投资有限公司银川分公司，后者持有影院放映的相关资质。</w:t>
      </w:r>
    </w:p>
    <w:p>
      <w:pPr>
        <w:pStyle w:val="TextBody"/>
      </w:pPr>
      <w:hyperlink r:id="rId49">
        <w:r>
          <w:rPr>
            <w:rStyle w:val="Hyperlink"/>
          </w:rPr>
          <w:t xml:space="preserve">http://company.stcn.com/2018/0712/14381038.shtml</w:t>
        </w:r>
      </w:hyperlink>
    </w:p>
    <w:p>
      <w:pPr>
        <w:pStyle w:val="Heading3"/>
      </w:pPr>
      <w:bookmarkStart w:id="50" w:name="新力金融变更重组标的继续停牌欲收购新三板公司及拟上市公司"/>
      <w:r>
        <w:t xml:space="preserve">新力金融变更重组标的继续停牌，欲收购新三板公司及拟上市公司</w:t>
      </w:r>
      <w:bookmarkEnd w:id="50"/>
    </w:p>
    <w:p>
      <w:pPr>
        <w:pStyle w:val="FirstParagraph"/>
      </w:pPr>
      <w:r>
        <w:t xml:space="preserve">新力金融近日发布公告，拟更换重大资产重组标的，新的收购标的包括新三板公司手付通和去年披露IPO招股说明书的新宇合创。公司拟向上交所申请自2018年7月13日起继续停牌不超过2个月。</w:t>
      </w:r>
    </w:p>
    <w:p>
      <w:pPr>
        <w:pStyle w:val="TextBody"/>
      </w:pPr>
      <w:r>
        <w:t xml:space="preserve">新力金融原计划收购唐骏旗下微创网络，但公司表示，由于“无法就相关条款达成一致”，经过友好协商，双方决定终止合作。新力金融此次拟收购的新三板公司手付通已经开始上市辅导一年。公司主要为村镇银行等中小型金融机构提供互联网银行云服务，包括为银行客户提供网上银行、手机银行、微信银行等金融软件开发服务。 另一个标的新宇合创主要从事银行业务应用系统的专业软件服务。新宇合创去年10月曾披露招股说明书冲刺创业板IPO。“标的公司和公司主营的类金融业务密切相关，手付通主要客户是村镇银行，和我们公司供销社背景的协同效应更加明显。”新力金融相关负责人表示，两家标的公司和资本市场的联系，也促使了标的企业在财务和股权等方面合规性更好，有利于后期整合。</w:t>
      </w:r>
    </w:p>
    <w:p>
      <w:pPr>
        <w:pStyle w:val="TextBody"/>
      </w:pPr>
      <w:hyperlink r:id="rId51">
        <w:r>
          <w:rPr>
            <w:rStyle w:val="Hyperlink"/>
          </w:rPr>
          <w:t xml:space="preserve">http://company.stcn.com/2018/0712/14380980.shtml</w:t>
        </w:r>
      </w:hyperlink>
    </w:p>
    <w:p>
      <w:pPr>
        <w:pStyle w:val="Heading3"/>
      </w:pPr>
      <w:bookmarkStart w:id="52" w:name="雅生活服务收购城关物业51股权"/>
      <w:r>
        <w:t xml:space="preserve">雅生活服务收购城关物业51%股权</w:t>
      </w:r>
      <w:bookmarkEnd w:id="52"/>
    </w:p>
    <w:p>
      <w:pPr>
        <w:pStyle w:val="FirstParagraph"/>
      </w:pPr>
      <w:r>
        <w:t xml:space="preserve">2018年7月11日，雅生活服务与兰州城关物业服务集团有限公司（以下简称“城关物业”）签订股权合作协议，雅生活服务拟收购城关物业51%股权。在物业行业看来，此举开创了中国物业管理协会两家副会长单位股权收购的先河。</w:t>
      </w:r>
    </w:p>
    <w:p>
      <w:pPr>
        <w:pStyle w:val="TextBody"/>
      </w:pPr>
      <w:r>
        <w:t xml:space="preserve">雅生活服务总裁刘德明表示，双方开展股权合作后，一方面，城关物业可以为雅生活服务进军西北，提供强有力的支撑，极大提升雅居乐物业和绿地物业在西北市场的覆盖率和竞争力，体现了较强的区域互补和业态互补。另一方面，雅生活服务将以自身专业优势以及“互联网+物业管理”上的先进平台技术，助力城关物业发展成为西北地区乃至全国的龙头企业。城关物业董事长杨民召亦表示，城关物业将学习雅生活服务的经营管理理念及现代化服务手段，双方实现服务领域互补，扩大客户分布范围，增强物业增值服务能力。</w:t>
      </w:r>
    </w:p>
    <w:p>
      <w:pPr>
        <w:pStyle w:val="TextBody"/>
      </w:pPr>
      <w:hyperlink r:id="rId53">
        <w:r>
          <w:rPr>
            <w:rStyle w:val="Hyperlink"/>
          </w:rPr>
          <w:t xml:space="preserve">http://company.stcn.com/2018/0711/14379475.shtml</w:t>
        </w:r>
      </w:hyperlink>
    </w:p>
    <w:p>
      <w:pPr>
        <w:pStyle w:val="Heading3"/>
      </w:pPr>
      <w:bookmarkStart w:id="54" w:name="加加食品拟47亿收购金枪鱼钓切入远洋捕捞行业"/>
      <w:r>
        <w:t xml:space="preserve">加加食品拟47亿收购金枪鱼钓，切入远洋捕捞行业</w:t>
      </w:r>
      <w:bookmarkEnd w:id="54"/>
    </w:p>
    <w:p>
      <w:pPr>
        <w:pStyle w:val="FirstParagraph"/>
      </w:pPr>
      <w:r>
        <w:t xml:space="preserve">停牌4个月后，加加食品于2018年7月10日晚间发布重组预案，宣布将以47亿元的价格收购大连远洋渔业金枪鱼钓有限公司100%股权（以下简称“金枪鱼钓”），交易将以现金及股份支付相结合的方式完成。</w:t>
      </w:r>
    </w:p>
    <w:p>
      <w:pPr>
        <w:pStyle w:val="TextBody"/>
      </w:pPr>
      <w:r>
        <w:t xml:space="preserve">一旦交易完成，金枪鱼钓将成为加加食品全资子公司，公司将如愿扩充高端产品种类，两者客户资源及销售渠道相整合，有望释放产业协同效应，助力加加食品向高端消费市场发起冲击。未来三年，金枪鱼钓的业绩承诺总金额达12亿元。公告称，加加食品将在保持金枪鱼钓独立运营的基础上与其实现优势互补。加加食品优质的客户资源以及销售渠道将帮助金枪鱼钓加强品牌定位、衍生产品研发以及开拓国内市场；同时，金枪鱼钓在高端金枪鱼领域具有领先的捕捞技术和质量稳定的产品，可为加加食品外延扩充产品品类，增加新的利润增长点。</w:t>
      </w:r>
    </w:p>
    <w:p>
      <w:pPr>
        <w:pStyle w:val="TextBody"/>
      </w:pPr>
      <w:hyperlink r:id="rId55">
        <w:r>
          <w:rPr>
            <w:rStyle w:val="Hyperlink"/>
          </w:rPr>
          <w:t xml:space="preserve">http://company.stcn.com/2018/0711/14377992.shtml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- 2018年7月13日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6fa65a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5" Type="http://schemas.openxmlformats.org/officeDocument/2006/relationships/hyperlink" Target="http://company.stcn.com/2018/0711/14377992.shtml" TargetMode="External"/><Relationship Id="rId53" Type="http://schemas.openxmlformats.org/officeDocument/2006/relationships/hyperlink" Target="http://company.stcn.com/2018/0711/14379475.shtml" TargetMode="External"/><Relationship Id="rId51" Type="http://schemas.openxmlformats.org/officeDocument/2006/relationships/hyperlink" Target="http://company.stcn.com/2018/0712/14380980.shtml" TargetMode="External"/><Relationship Id="rId49" Type="http://schemas.openxmlformats.org/officeDocument/2006/relationships/hyperlink" Target="http://company.stcn.com/2018/0712/14381038.shtml" TargetMode="External"/><Relationship Id="rId31" Type="http://schemas.openxmlformats.org/officeDocument/2006/relationships/hyperlink" Target="http://news.stcn.com/2018/0713/14383596.shtml" TargetMode="External"/><Relationship Id="rId25" Type="http://schemas.openxmlformats.org/officeDocument/2006/relationships/hyperlink" Target="http://www.ce.cn/xwzx/gnsz/gdxw/201807/09/t20180709_29667509.shtml" TargetMode="External"/><Relationship Id="rId46" Type="http://schemas.openxmlformats.org/officeDocument/2006/relationships/hyperlink" Target="http://www.chinalawinfo.com/News/NewsFullText.aspx?NewsId=91790&amp;NewsType=1" TargetMode="External"/><Relationship Id="rId29" Type="http://schemas.openxmlformats.org/officeDocument/2006/relationships/hyperlink" Target="http://www.csrc.gov.cn/pub/newsite/zjhxwfb/xwdd/201807/t20180706_340831.html" TargetMode="External"/><Relationship Id="rId27" Type="http://schemas.openxmlformats.org/officeDocument/2006/relationships/hyperlink" Target="http://www.csrc.gov.cn/pub/newsite/zjhxwfb/xwdd/201807/t20180708_340913.html" TargetMode="External"/><Relationship Id="rId44" Type="http://schemas.openxmlformats.org/officeDocument/2006/relationships/hyperlink" Target="http://www.gov.cn/xinwen/2018-07/09/content_5304891.htm" TargetMode="External"/><Relationship Id="rId39" Type="http://schemas.openxmlformats.org/officeDocument/2006/relationships/hyperlink" Target="http://www.tax.sh.gov.cn/pub/xxgk/swdt/201807/t20180705_440651.html" TargetMode="External"/><Relationship Id="rId36" Type="http://schemas.openxmlformats.org/officeDocument/2006/relationships/hyperlink" Target="http://www.xinhuanet.com/fortune/2018-07/06/c_1123090682.htm" TargetMode="External"/><Relationship Id="rId34" Type="http://schemas.openxmlformats.org/officeDocument/2006/relationships/hyperlink" Target="http://www.xinhuanet.com/money/2018-07/11/c_129911267.htm" TargetMode="External"/><Relationship Id="rId23" Type="http://schemas.openxmlformats.org/officeDocument/2006/relationships/hyperlink" Target="http://www.xinhuanet.com/money/2018-07/11/c_129911272.htm" TargetMode="External"/><Relationship Id="rId42" Type="http://schemas.openxmlformats.org/officeDocument/2006/relationships/hyperlink" Target="https://www.chinacourt.org/article/detail/2018/07/id/3384762.shtml" TargetMode="External"/><Relationship Id="rId9" Type="http://schemas.openxmlformats.org/officeDocument/2006/relationships/hyperlink" Target="http://www.charltonslaw.com.cn/zhong-guo-zheng-jian-hui-qi-huo-ye-ji-xu-qiang-jian-guan-yi-chang-jiao-yi-jiang-shou-zhong-dian-jian-ko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5" Type="http://schemas.openxmlformats.org/officeDocument/2006/relationships/hyperlink" Target="http://company.stcn.com/2018/0711/14377992.shtml" TargetMode="External"/><Relationship Id="rId53" Type="http://schemas.openxmlformats.org/officeDocument/2006/relationships/hyperlink" Target="http://company.stcn.com/2018/0711/14379475.shtml" TargetMode="External"/><Relationship Id="rId51" Type="http://schemas.openxmlformats.org/officeDocument/2006/relationships/hyperlink" Target="http://company.stcn.com/2018/0712/14380980.shtml" TargetMode="External"/><Relationship Id="rId49" Type="http://schemas.openxmlformats.org/officeDocument/2006/relationships/hyperlink" Target="http://company.stcn.com/2018/0712/14381038.shtml" TargetMode="External"/><Relationship Id="rId31" Type="http://schemas.openxmlformats.org/officeDocument/2006/relationships/hyperlink" Target="http://news.stcn.com/2018/0713/14383596.shtml" TargetMode="External"/><Relationship Id="rId25" Type="http://schemas.openxmlformats.org/officeDocument/2006/relationships/hyperlink" Target="http://www.ce.cn/xwzx/gnsz/gdxw/201807/09/t20180709_29667509.shtml" TargetMode="External"/><Relationship Id="rId46" Type="http://schemas.openxmlformats.org/officeDocument/2006/relationships/hyperlink" Target="http://www.chinalawinfo.com/News/NewsFullText.aspx?NewsId=91790&amp;NewsType=1" TargetMode="External"/><Relationship Id="rId29" Type="http://schemas.openxmlformats.org/officeDocument/2006/relationships/hyperlink" Target="http://www.csrc.gov.cn/pub/newsite/zjhxwfb/xwdd/201807/t20180706_340831.html" TargetMode="External"/><Relationship Id="rId27" Type="http://schemas.openxmlformats.org/officeDocument/2006/relationships/hyperlink" Target="http://www.csrc.gov.cn/pub/newsite/zjhxwfb/xwdd/201807/t20180708_340913.html" TargetMode="External"/><Relationship Id="rId44" Type="http://schemas.openxmlformats.org/officeDocument/2006/relationships/hyperlink" Target="http://www.gov.cn/xinwen/2018-07/09/content_5304891.htm" TargetMode="External"/><Relationship Id="rId39" Type="http://schemas.openxmlformats.org/officeDocument/2006/relationships/hyperlink" Target="http://www.tax.sh.gov.cn/pub/xxgk/swdt/201807/t20180705_440651.html" TargetMode="External"/><Relationship Id="rId36" Type="http://schemas.openxmlformats.org/officeDocument/2006/relationships/hyperlink" Target="http://www.xinhuanet.com/fortune/2018-07/06/c_1123090682.htm" TargetMode="External"/><Relationship Id="rId34" Type="http://schemas.openxmlformats.org/officeDocument/2006/relationships/hyperlink" Target="http://www.xinhuanet.com/money/2018-07/11/c_129911267.htm" TargetMode="External"/><Relationship Id="rId23" Type="http://schemas.openxmlformats.org/officeDocument/2006/relationships/hyperlink" Target="http://www.xinhuanet.com/money/2018-07/11/c_129911272.htm" TargetMode="External"/><Relationship Id="rId42" Type="http://schemas.openxmlformats.org/officeDocument/2006/relationships/hyperlink" Target="https://www.chinacourt.org/article/detail/2018/07/id/3384762.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2018-07-13T04:12:49Z</dcterms:created>
  <dcterms:modified xsi:type="dcterms:W3CDTF">2018-07-13T04:12:49Z</dcterms:modified>
</cp:coreProperties>
</file>