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- 2018年7月25日</w:t>
      </w:r>
    </w:p>
    <w:p>
      <w:pPr>
        <w:pStyle w:val="ReadOnline"/>
      </w:pPr>
      <w:hyperlink r:id="rId9">
        <w:r>
          <w:rPr/>
          <w:t>online version</w:t>
        </w:r>
      </w:hyperlink>
    </w:p>
    <w:p>
      <w:pPr>
        <w:pStyle w:val="Title"/>
      </w:pPr>
      <w:r>
        <w:t>中国证监会就《证券期货经营机构私募资产管理业务管理办法（征求意见稿）》及其配套细则对外公开征求意见</w:t>
      </w:r>
    </w:p>
    <w:p>
      <w:pPr>
        <w:pStyle w:val="Heading2"/>
      </w:pPr>
      <w:bookmarkStart w:id="21" w:name="简介"/>
      <w:r>
        <w:t xml:space="preserve">简介</w:t>
      </w:r>
      <w:bookmarkEnd w:id="21"/>
    </w:p>
    <w:p>
      <w:pPr>
        <w:pStyle w:val="FirstParagraph"/>
      </w:pPr>
      <w:r>
        <w:t xml:space="preserve">中国证监会就《证券期货经营机构私募资产管理业务管理办法（征求意见稿）》及其配套细则对外公开征求意见；中国银保监会发布内地和香港偿付能力等效评估框架下再保风险因子方案；盛讯达确定现金收购中联畅想67%股权，正式进军海外游戏市场</w:t>
      </w:r>
    </w:p>
    <w:p>
      <w:pPr>
        <w:pStyle w:val="Heading2"/>
      </w:pPr>
      <w:bookmarkStart w:id="22" w:name="资本市场"/>
      <w:r>
        <w:t xml:space="preserve">资本市场</w:t>
      </w:r>
      <w:bookmarkEnd w:id="22"/>
    </w:p>
    <w:p>
      <w:pPr>
        <w:pStyle w:val="Heading3"/>
      </w:pPr>
      <w:bookmarkStart w:id="23" w:name="中国证监会就证券期货经营机构私募资产管理业务管理办法征求意见稿及其配套细则对外公开征求意见"/>
      <w:r>
        <w:t xml:space="preserve">中国证监会就《证券期货经营机构私募资产管理业务管理办法（征求意见稿）》及其配套细则对外公开征求意见</w:t>
      </w:r>
      <w:bookmarkEnd w:id="23"/>
    </w:p>
    <w:p>
      <w:pPr>
        <w:pStyle w:val="FirstParagraph"/>
      </w:pPr>
      <w:r>
        <w:t xml:space="preserve">日前，中国证监会就《证券期货经营机构私募资产管理业务管理办法（征求意见稿）》及《证券期货经营机构私募资产管理计划运作管理规定（征求意见稿）》（以下统称《资管业务新规》）公开征求意见。</w:t>
      </w:r>
    </w:p>
    <w:p>
      <w:pPr>
        <w:pStyle w:val="TextBody"/>
      </w:pPr>
      <w:r>
        <w:t xml:space="preserve">证监会发言人表示，《资管业务新规》多数为2016年以来证监会落实依法全面从严监管，针对证券期货经营机构私募资管业务出台的政策，具有较高的政策延续性，且部分指标在对标《关于规范金融机构资产管理业务的指导意见》后，较现行监管规定略有放宽。总体看，有利于实现证券期货经营机构存量资管业务平稳过渡，进一步提升证券期货经营机构私募资管业务的合规管理和风险控制水平，切实保护投资者合法权益，防范系统性风险，起草过程中，始终坚持四项基本原则。</w:t>
      </w:r>
    </w:p>
    <w:p>
      <w:pPr>
        <w:pStyle w:val="TextBody"/>
      </w:pPr>
      <w:hyperlink r:id="rId24">
        <w:r>
          <w:rPr>
            <w:rStyle w:val="Hyperlink"/>
          </w:rPr>
          <w:t xml:space="preserve">http://www.csrc.gov.cn/pub/newsite/zjhxwfb/xwdd/201807/t20180720_341674.html</w:t>
        </w:r>
      </w:hyperlink>
    </w:p>
    <w:p>
      <w:pPr>
        <w:pStyle w:val="Heading3"/>
      </w:pPr>
      <w:bookmarkStart w:id="25" w:name="中国银保监会就商业银行理财业务监督管理办法征求意见稿公开征求意见"/>
      <w:r>
        <w:t xml:space="preserve">中国银保监会就《商业银行理财业务监督管理办法（征求意见稿）》公开征求意见</w:t>
      </w:r>
      <w:bookmarkEnd w:id="25"/>
    </w:p>
    <w:p>
      <w:pPr>
        <w:pStyle w:val="FirstParagraph"/>
      </w:pPr>
      <w:r>
        <w:t xml:space="preserve">为落实党中央、国务院关于打好防范化解重大风险攻坚战的决策部署，促进统一资产管理产品监管标准，推动银行理财业务规范健康发展，银保监会根据《关于规范金融机构资产管理业务的指导意见》（以下简称“资管新规”）相关要求，起草了《商业银行理财业务监督管理办法（征求意见稿）》（以下简称《办法》），现向社会公开征求意见。银保监会将根据各界反馈意见，进一步修改完善并适时发布实施。</w:t>
      </w:r>
    </w:p>
    <w:p>
      <w:pPr>
        <w:pStyle w:val="TextBody"/>
      </w:pPr>
      <w:r>
        <w:t xml:space="preserve">《办法》与“资管新规”充分衔接，共同构成银行开展理财业务需要遵循的监管要求。《办法》共六章85条，分别为总则、分类管理、业务规则与风险管理、监督管理、法律责任、附则，以及1个附件《商业银行理财产品销售管理要求》。发布实施《办法》，既是落实“资管新规”的重要举措，也有利于细化银行理财监管要求，消除市场不确定性，稳定市场预期。推动银行理财回归资管业务本源，引导理财资金以合法、规范形式投入多层次资本市场，优化金融体系结构；促进统一同类资管产品监管标准，更好保护投资者合法权益，逐步有序打破刚性兑付，有效防控金融风险。</w:t>
      </w:r>
    </w:p>
    <w:p>
      <w:pPr>
        <w:pStyle w:val="TextBody"/>
      </w:pPr>
      <w:hyperlink r:id="rId26">
        <w:r>
          <w:rPr>
            <w:rStyle w:val="Hyperlink"/>
          </w:rPr>
          <w:t xml:space="preserve">http://www.cbrc.gov.cn/chinese/newShouDoc/BE8000EDBF164E3EAE82ADE62005053E.html</w:t>
        </w:r>
      </w:hyperlink>
    </w:p>
    <w:p>
      <w:pPr>
        <w:pStyle w:val="Heading3"/>
      </w:pPr>
      <w:bookmarkStart w:id="27" w:name="上海证券交易所发布实施上海证券交易所章程2018年修订"/>
      <w:r>
        <w:t xml:space="preserve">上海证券交易所发布实施《上海证券交易所章程（2018年修订）》</w:t>
      </w:r>
      <w:bookmarkEnd w:id="27"/>
    </w:p>
    <w:p>
      <w:pPr>
        <w:pStyle w:val="FirstParagraph"/>
      </w:pPr>
      <w:r>
        <w:t xml:space="preserve">为贯彻落实证监会2017年11月修改发布的《证券交易所管理办法》，上海证券交易所对《上海证券交易所章程》（以下简称《章程》）进行了修订，经上交所第四届理事会和第八次会员大会审议通过，并报证监会批准后，于2018年7月20日发布实施。</w:t>
      </w:r>
    </w:p>
    <w:p>
      <w:pPr>
        <w:pStyle w:val="TextBody"/>
      </w:pPr>
      <w:r>
        <w:t xml:space="preserve">证券交易所章程是证券交易所的“小宪法”，是证券交易所自律管理的重要基础。近年来，在中国证监会的领导下，上交所切实履行法定职责，进一步发挥一线监管职能，努力维护市场秩序和市场稳定。本次《章程》修订，以《证券法》、《证券交易所管理办法》和证监会党委《关于进一步发挥证券交易所一线监管功能的指导意见》为指导，深入总结一线监管实践经验，并通过召开会员大会分区说明会，广泛听取了会员意见。除了修改《章程》外，为落实《证券交易所管理办法》相关要求，今年年初以来， 上交所还对业务规则体系进行了集中清理，稳步推进自律管理基础性制度的修改完善。下一步，上交所将严格按照《章程》的规定，不断完善内部治理，切实加强一线监管，积极主动担当作为，为更好服务实体经济、防控金融风险和深化市场改革，继续不懈努力。</w:t>
      </w:r>
    </w:p>
    <w:p>
      <w:pPr>
        <w:pStyle w:val="TextBody"/>
      </w:pPr>
      <w:hyperlink r:id="rId28">
        <w:r>
          <w:rPr>
            <w:rStyle w:val="Hyperlink"/>
          </w:rPr>
          <w:t xml:space="preserve">http://www.sse.com.cn/aboutus/mediacenter/hotandd/c/c_20180720_4598844.shtml</w:t>
        </w:r>
      </w:hyperlink>
    </w:p>
    <w:p>
      <w:pPr>
        <w:pStyle w:val="Heading3"/>
      </w:pPr>
      <w:bookmarkStart w:id="29" w:name="上海证券交易所助力连云港打造丝路经济带首单用于一带一路建设的可续期公司债券获批"/>
      <w:r>
        <w:t xml:space="preserve">上海证券交易所助力连云港打造丝路经济带——首单用于“一带一路”建设的可续期公司债券获批</w:t>
      </w:r>
      <w:bookmarkEnd w:id="29"/>
    </w:p>
    <w:p>
      <w:pPr>
        <w:pStyle w:val="FirstParagraph"/>
      </w:pPr>
      <w:r>
        <w:t xml:space="preserve">近日，连云港港口集团有限公司可续期公司债券（用于“一带一路”项目）获中国证监会核准，成为全国首单获批的募集资金用于“一带一路”建设的可续期公司债券，并将在发行后申请于上交所上市。此只债券发行的核准，是上交所在中国证监会的领导下，持续服务“一带一路”建设以及为重大项目提供资金支持的又一重要举措。</w:t>
      </w:r>
    </w:p>
    <w:p>
      <w:pPr>
        <w:pStyle w:val="TextBody"/>
      </w:pPr>
      <w:r>
        <w:t xml:space="preserve">本次公司债券拟公开发行规模不超过20亿元，主体和债项评级均为AA+，债券募集资金计划不少于核准总额的70%用于上合组织（连云港）国际物流园专用铁路工程、上合组织（连云港）国际物流园铁路装卸场站工程等项目。本次公司债券以可续期公司债券形式发行，有利于为“一带一路”重点项目的顺利推进提供长期、稳定的资金保障。连云港市是陆上丝绸之路与海上丝绸之路交汇点、新亚欧大陆桥经济走廊的首要节点城市，也是江苏省委、省政府明确全省推进“一带一路”交汇点建设的核心区和战略先导区。</w:t>
      </w:r>
    </w:p>
    <w:p>
      <w:pPr>
        <w:pStyle w:val="TextBody"/>
      </w:pPr>
      <w:hyperlink r:id="rId30">
        <w:r>
          <w:rPr>
            <w:rStyle w:val="Hyperlink"/>
          </w:rPr>
          <w:t xml:space="preserve">http://www.sse.com.cn/aboutus/mediacenter/hotandd/c/c_20180720_4598843.shtml</w:t>
        </w:r>
      </w:hyperlink>
    </w:p>
    <w:p>
      <w:pPr>
        <w:pStyle w:val="Heading2"/>
      </w:pPr>
      <w:bookmarkStart w:id="31" w:name="保险"/>
      <w:r>
        <w:t xml:space="preserve">保险</w:t>
      </w:r>
      <w:bookmarkEnd w:id="31"/>
    </w:p>
    <w:p>
      <w:pPr>
        <w:pStyle w:val="Heading3"/>
      </w:pPr>
      <w:bookmarkStart w:id="32" w:name="中国银保监会发布内地和香港偿付能力等效评估框架下再保风险因子方案"/>
      <w:r>
        <w:t xml:space="preserve">中国银保监会发布内地和香港偿付能力等效评估框架下再保风险因子方案</w:t>
      </w:r>
      <w:bookmarkEnd w:id="32"/>
    </w:p>
    <w:p>
      <w:pPr>
        <w:pStyle w:val="FirstParagraph"/>
      </w:pPr>
      <w:r>
        <w:t xml:space="preserve">近日，中国银保监会印发《保险公司偿付能力监管规则——问题解答第1号：偿付能力监管等效框架协议过渡期内的香港地区再保险交易对手违约风险因子》（以下称《问题解答》）。《问题解答》明确了内地直接保险公司向香港地区合格再保险机构分出再保险业务时，应适用的偿付能力评估信用风险因子。</w:t>
      </w:r>
    </w:p>
    <w:p>
      <w:pPr>
        <w:pStyle w:val="TextBody"/>
      </w:pPr>
      <w:r>
        <w:t xml:space="preserve">2017年5月，原保监会与原香港保监处签署了《关于开展偿付能力监管制度等效评估工作的框架协议》（以下简称《等效协议》），双方承诺自协议签署之日起即进入等效互认过渡期，在过渡期内视同对方已达到等效资格并给予等效条件下的监管优待政策。根据《等效协议》和等效评估工作安排，中国银保监会和香港保监局成立联合工作组，共同研究两地再保险信用风险因子和相关监管机制。《问题解答》是落实《等效协议》的具体举措之一，是保险业贯彻落实党中央进一步加大对外开放战略部署，深化金融监管领域国际合作的重要行动。随着内地和香港偿付能力监管等效评估工作框架协议的逐步推进和落实，两地保险监管互信将日益加强，监管交流与合作将日益深化，两地保险市场的开放与融合将进一步提升。</w:t>
      </w:r>
    </w:p>
    <w:p>
      <w:pPr>
        <w:pStyle w:val="TextBody"/>
      </w:pPr>
      <w:hyperlink r:id="rId33">
        <w:r>
          <w:rPr>
            <w:rStyle w:val="Hyperlink"/>
          </w:rPr>
          <w:t xml:space="preserve">http://www.cbrc.gov.cn/chinese/newShouDoc/B9E1641426774EBC8729EB2736D32E4B.html</w:t>
        </w:r>
      </w:hyperlink>
    </w:p>
    <w:p>
      <w:pPr>
        <w:pStyle w:val="Heading2"/>
      </w:pPr>
      <w:bookmarkStart w:id="34" w:name="税收"/>
      <w:r>
        <w:t xml:space="preserve">税收</w:t>
      </w:r>
      <w:bookmarkEnd w:id="34"/>
    </w:p>
    <w:p>
      <w:pPr>
        <w:pStyle w:val="Heading3"/>
      </w:pPr>
      <w:bookmarkStart w:id="35" w:name="中共中央办公厅国务院办公厅印发国税地税征管体制改革方案"/>
      <w:r>
        <w:t xml:space="preserve">中共中央办公厅、国务院办公厅印发《国税地税征管体制改革方案》</w:t>
      </w:r>
      <w:bookmarkEnd w:id="35"/>
    </w:p>
    <w:p>
      <w:pPr>
        <w:pStyle w:val="FirstParagraph"/>
      </w:pPr>
      <w:r>
        <w:t xml:space="preserve">近日，中共中央办公厅、国务院办公厅印发了《国税地税征管体制改革方案》（以下简称《改革方案》）。《改革方案》强调，通过改革，逐步构建起优化高效统一的税收征管体系，为纳税人和缴费人提供更加优质高效便利服务，提高税法遵从度和社会满意度，提高征管效率，降低征纳成本，增强税费治理能力，确保税收职能作用充分发挥，夯实国家治理的重要基础。</w:t>
      </w:r>
    </w:p>
    <w:p>
      <w:pPr>
        <w:pStyle w:val="TextBody"/>
      </w:pPr>
      <w:r>
        <w:t xml:space="preserve">《改革方案》提出了国税地税征管体制改革的4条原则，即：坚持党的全面领导。坚决维护习近平总书记的核心地位，坚决维护以习近平同志为核心的党中央权威和集中统一领导，把加强党的全面领导贯穿国税地税征管体制改革各方面和全过程，确保改革始终沿着正确方向推进。坚持为民便民利民。以纳税人和缴费人为中心，推进办税和缴费便利化改革，从根本上解决“两头跑”、“两头查”等问题，切实维护纳税人和缴费人合法权益，降低纳税和缴费成本，促进优化营商环境，建设人民满意的服务型税务机关，使人民有更多获得感。坚持优化高效统一。调整优化税务机构职能和资源配置，增强政策透明度和执法统一性，统一税收、社会保险费、非税收入征管服务标准，促进现代化经济体系建设和经济高质量发展。坚持依法协同稳妥。</w:t>
      </w:r>
    </w:p>
    <w:p>
      <w:pPr>
        <w:pStyle w:val="TextBody"/>
      </w:pPr>
      <w:hyperlink r:id="rId36">
        <w:r>
          <w:rPr>
            <w:rStyle w:val="Hyperlink"/>
          </w:rPr>
          <w:t xml:space="preserve">http://www.xinhuanet.com/politics/2018-07/20/c_1123156533.htm</w:t>
        </w:r>
      </w:hyperlink>
    </w:p>
    <w:p>
      <w:pPr>
        <w:pStyle w:val="Heading2"/>
      </w:pPr>
      <w:bookmarkStart w:id="37" w:name="行业"/>
      <w:r>
        <w:t xml:space="preserve">行业</w:t>
      </w:r>
      <w:bookmarkEnd w:id="37"/>
    </w:p>
    <w:p>
      <w:pPr>
        <w:pStyle w:val="Heading3"/>
      </w:pPr>
      <w:bookmarkStart w:id="38" w:name="上海率先启用新版银行在线查询不动产登记信息系统"/>
      <w:r>
        <w:t xml:space="preserve">上海率先启用新版银行在线查询不动产登记信息系统</w:t>
      </w:r>
      <w:bookmarkEnd w:id="38"/>
    </w:p>
    <w:p>
      <w:pPr>
        <w:pStyle w:val="FirstParagraph"/>
      </w:pPr>
      <w:r>
        <w:t xml:space="preserve">上海银监局与上海市不动产登记局联合印发了《关于启动新版银行在线查询不动产登记信息系统的通知》，在全国率先启动新版不动产登记信息在线查询系统。业内人士指出，对于银行而言，在当下市场背景下，通过这一系统可以实现以家庭为单位进行不动产查询，进而核实客户是否具有购房资格或者贷款资格。</w:t>
      </w:r>
    </w:p>
    <w:p>
      <w:pPr>
        <w:pStyle w:val="TextBody"/>
      </w:pPr>
      <w:r>
        <w:t xml:space="preserve">通过该系统，上海银监局辖内所有银行均可依法在线查询不动产权利人、抵押登记、预告登记、查封登记等不动产登记信息，可定期接受汇总信息推送等信息查询服务，还可在线提交抵押登记申请材料，从而实现不动产登记信息的互通共享，进一步提高了登记查询和办理的效率与质量。 同时，《通知》还对银行查询不动产登记的信息安全、人员管理、保密管理等方面做出了更为细致的规定，以规范商业银行在线查询流程，强化信息保密要求。新版不动产登记信息查询系统启用后，上海银监局辖内银行可更为高效便捷地获取真实准确的不动产登记信息，进而推动银行进一步贯彻落实上海市房地产调控政策，加强信贷业务风险管理和风险缓释能力，有效解决不动产登记信息不对称的问题。</w:t>
      </w:r>
    </w:p>
    <w:p>
      <w:pPr>
        <w:pStyle w:val="TextBody"/>
      </w:pPr>
      <w:hyperlink r:id="rId39">
        <w:r>
          <w:rPr>
            <w:rStyle w:val="Hyperlink"/>
          </w:rPr>
          <w:t xml:space="preserve">http://www.xinhuanet.com/fortune/2018-07/20/c_1123152026.htm</w:t>
        </w:r>
      </w:hyperlink>
    </w:p>
    <w:p>
      <w:pPr>
        <w:pStyle w:val="Heading3"/>
      </w:pPr>
      <w:bookmarkStart w:id="40" w:name="最高法院颁布适用民法总则诉讼时效司法解释"/>
      <w:r>
        <w:t xml:space="preserve">最高法院颁布适用民法总则诉讼时效司法解释</w:t>
      </w:r>
      <w:bookmarkEnd w:id="40"/>
    </w:p>
    <w:p>
      <w:pPr>
        <w:pStyle w:val="FirstParagraph"/>
      </w:pPr>
      <w:r>
        <w:t xml:space="preserve">为正确适用《中华人民共和国民法总则》关于诉讼时效制度的规定，妥善处理民法总则与《中华人民共和国民法通则》关于诉讼时效制度主要不同规定的衔接问题，2018年7月2日最高人民法院审判委员会第1744次会议通过了法释〔2018〕12号《最高人民法院关于适用〈中华人民共和国民法总则〉诉讼时效制度若干问题的解释》（以下简称《解释》），并于2018年7月23日起施行。</w:t>
      </w:r>
    </w:p>
    <w:p>
      <w:pPr>
        <w:pStyle w:val="TextBody"/>
      </w:pPr>
      <w:r>
        <w:t xml:space="preserve">据介绍，本解释的核心内容在于民法通则一年短期诉讼时效规定的适用问题。民法通则规定了一年短期诉讼时效，民法总则未做规定，实践中对民法总则施行后一年短期诉讼时效是否仍然适用，存在不同理解。全国人大常委会《关于〈中华人民共和国民法总则（草案）〉的说明》指出，民法总则与民法通则的规定不一致的，根据新法优于旧法的原则，适用民法总则的规定。 民法总则将诉讼时效期间规定为三年，有利于建设诚信社会，更好地保护债权人合法权益。 根据上述立法目的和法的适用原则，《解释》第一条规定，民法总则施行后，诉讼时效期间开始计算的，应当适用民法总则第一百八十八条关于三年诉讼时效期间的规定。当事人主张适用民法通则关于两年或者一年诉讼时效期间规定的，人民法院不予支持。</w:t>
      </w:r>
    </w:p>
    <w:p>
      <w:pPr>
        <w:pStyle w:val="TextBody"/>
      </w:pPr>
      <w:hyperlink r:id="rId41">
        <w:r>
          <w:rPr>
            <w:rStyle w:val="Hyperlink"/>
          </w:rPr>
          <w:t xml:space="preserve">http://www.court.gov.cn/zixun-xiangqing-108211.html</w:t>
        </w:r>
      </w:hyperlink>
    </w:p>
    <w:p>
      <w:pPr>
        <w:pStyle w:val="Heading3"/>
      </w:pPr>
      <w:bookmarkStart w:id="42" w:name="海南两办出台意见要求保护司法人员依法履行法定职责"/>
      <w:r>
        <w:t xml:space="preserve">海南“两办”出台意见要求：保护司法人员依法履行法定职责</w:t>
      </w:r>
      <w:bookmarkEnd w:id="42"/>
    </w:p>
    <w:p>
      <w:pPr>
        <w:pStyle w:val="FirstParagraph"/>
      </w:pPr>
      <w:r>
        <w:t xml:space="preserve">为贯彻落实中央和最高人民法院关于保护司法人员依法履职相关文件精神，近日，海南省委办公厅、海南省政府办公厅印发了《海南省关于保护司法人员依法履行法定职责的实施意见》（以下简称《实施意见》）。</w:t>
      </w:r>
    </w:p>
    <w:p>
      <w:pPr>
        <w:pStyle w:val="TextBody"/>
      </w:pPr>
      <w:r>
        <w:t xml:space="preserve">《实施意见》第三部分提出了建立健全司法人员的六项保障机制，包括司法人员权益保障维权救济机制、保障司法人员人身安全的快速应对机制、法官检察官投诉澄清查处机制、涉诉信访接待场所应急处置机制、涉诉信访终结机制、常态化经费保障机制。通过加强制度建设、完善配套措施来补齐海南司法体制改革的短板，树立司法权威，为海南司法体制改革向纵深推进再助一把力，再加一道锁。</w:t>
      </w:r>
    </w:p>
    <w:p>
      <w:pPr>
        <w:pStyle w:val="TextBody"/>
      </w:pPr>
      <w:hyperlink r:id="rId43">
        <w:r>
          <w:rPr>
            <w:rStyle w:val="Hyperlink"/>
          </w:rPr>
          <w:t xml:space="preserve">http://www.chinalawinfo.com/News/NewsFullText.aspx?NewsId=91878&amp;NewsType=1</w:t>
        </w:r>
      </w:hyperlink>
    </w:p>
    <w:p>
      <w:pPr>
        <w:pStyle w:val="Heading3"/>
      </w:pPr>
      <w:bookmarkStart w:id="44" w:name="国家发展改革委联合十六部门印发关于大力发展实体经济积极稳定和促进就业的指导意见"/>
      <w:r>
        <w:t xml:space="preserve">国家发展改革委联合十六部门印发《关于大力发展实体经济积极稳定和促进就业的指导意见》</w:t>
      </w:r>
      <w:bookmarkEnd w:id="44"/>
    </w:p>
    <w:p>
      <w:pPr>
        <w:pStyle w:val="FirstParagraph"/>
      </w:pPr>
      <w:r>
        <w:t xml:space="preserve">近日，国家发展改革委联合教育部、科技部、工业和信息化部、人力资源社会保障部、商务部等16个部门，印发了《关于大力发展实体经济积极稳定和促进就业的指导意见》（以下简称《意见》）。</w:t>
      </w:r>
    </w:p>
    <w:p>
      <w:pPr>
        <w:pStyle w:val="TextBody"/>
      </w:pPr>
      <w:r>
        <w:t xml:space="preserve">《意见》强调，各地区、各有关部门要充分认识做好发展实体经济积极稳定和促进就业工作的重要性和紧迫性，切实加强组织领导，进一步细化、实化政策措施，确保各项工作任务落到实处。《意见》提出十个方面的重点任务。一是发展壮大新动能，创造更多高质量就业岗位。二是促进传统产业转型升级，引导劳动者转岗提质就业。三是深入推进创新创业，催生吸纳就业新市场主体。四是加快农业供给侧结构性改革，培育新型农业经营主体和新型职业农民。五是支持返乡下乡创业，拓宽农村劳动力转移就业渠道。六是推动新型城镇化高质量发展，扩大就地就近就业规模。七是推进高水平对外开放，稳定和促进外向型就业。八是健全联动机制，提高职业技能培训基础能力。九是加强统筹施策，加大援企稳岗力度。十是提高监测预警能力，强化失业风险应对。</w:t>
      </w:r>
    </w:p>
    <w:p>
      <w:pPr>
        <w:pStyle w:val="TextBody"/>
      </w:pPr>
      <w:hyperlink r:id="rId45">
        <w:r>
          <w:rPr>
            <w:rStyle w:val="Hyperlink"/>
          </w:rPr>
          <w:t xml:space="preserve">http://www.gov.cn/xinwen/2018-07/18/content_5307137.htm</w:t>
        </w:r>
      </w:hyperlink>
    </w:p>
    <w:p>
      <w:pPr>
        <w:pStyle w:val="Heading2"/>
      </w:pPr>
      <w:bookmarkStart w:id="46" w:name="并购"/>
      <w:r>
        <w:t xml:space="preserve">并购</w:t>
      </w:r>
      <w:bookmarkEnd w:id="46"/>
    </w:p>
    <w:p>
      <w:pPr>
        <w:pStyle w:val="Heading3"/>
      </w:pPr>
      <w:bookmarkStart w:id="47" w:name="盛讯达确定现金收购中联畅想67股权正式进军海外游戏市场"/>
      <w:r>
        <w:t xml:space="preserve">盛讯达确定现金收购中联畅想67%股权，正式进军海外游戏市场</w:t>
      </w:r>
      <w:bookmarkEnd w:id="47"/>
    </w:p>
    <w:p>
      <w:pPr>
        <w:pStyle w:val="FirstParagraph"/>
      </w:pPr>
      <w:r>
        <w:t xml:space="preserve">盛讯达2018年7月20日公告，公司2018年第二次临时股东大会，通过《关于调整发行股份购买资产交易方案的议案》、《关于发行股份购买资产交易方案构成重大调整的议案》、《关于调整后的交易不构成重大资产重组的议案》等9项议案。</w:t>
      </w:r>
    </w:p>
    <w:p>
      <w:pPr>
        <w:pStyle w:val="TextBody"/>
      </w:pPr>
      <w:r>
        <w:t xml:space="preserve">盛讯达表示，综合考虑公司网络游戏的战略布局、交易成本、市场情况等客观因素，同时基于维护全体股东的利益，经与交易对方充分讨论，公司决定变更为以现金方式购买中联畅想67%股权。盛讯达表示，公司收购中联畅想，可以进一步丰富公司游戏产品类型，充分开拓各类型游戏市场，进一步拓宽游戏业务规模；同时公司将充分利用中联畅想在东南亚市场已有的市场营销和支付服务渠道进行游戏产品推广和运营，从而更好地实现进军海外市场的发展战略。此外，收购中联畅想有助于进一步增强盛讯达的主营业务，有效提升公司在游戏研发和运营领域的综合竞争力。</w:t>
      </w:r>
    </w:p>
    <w:p>
      <w:pPr>
        <w:pStyle w:val="TextBody"/>
      </w:pPr>
      <w:hyperlink r:id="rId48">
        <w:r>
          <w:rPr>
            <w:rStyle w:val="Hyperlink"/>
          </w:rPr>
          <w:t xml:space="preserve">http://company.stcn.com/2018/0720/14398660.shtml</w:t>
        </w:r>
      </w:hyperlink>
    </w:p>
    <w:p>
      <w:pPr>
        <w:pStyle w:val="Heading3"/>
      </w:pPr>
      <w:bookmarkStart w:id="49" w:name="银河证券将收购银河基金50股权"/>
      <w:r>
        <w:t xml:space="preserve">银河证券将收购银河基金50%股权</w:t>
      </w:r>
      <w:bookmarkEnd w:id="49"/>
    </w:p>
    <w:p>
      <w:pPr>
        <w:pStyle w:val="FirstParagraph"/>
      </w:pPr>
      <w:r>
        <w:t xml:space="preserve">银河证券近日宣布，拟收购银河证券控股股东中国银河金融控股有限责任公司（以下简称“银河金控”）所持有的银河基金管理有限公司（以下简称“银河基金”）50%股权。</w:t>
      </w:r>
    </w:p>
    <w:p>
      <w:pPr>
        <w:pStyle w:val="TextBody"/>
      </w:pPr>
      <w:r>
        <w:t xml:space="preserve">据了解，银河证券此次交易构成关联交易，预计不构成重大资产重组，目前尚未确定交易最终价格。此次收购涉及的银河基金控股股东变更事项尚需证监会批准。银河证券表示，本次交易的目的在于丰富与完善公司的资产管理业务产品线，增强公司经纪业务、研究、金融产品销售业务等与基金业务协同发展，促进公司‘大资管’战略的落地，更好地满足客户综合性财富管理需求。本次交易将有利于优化公司收入结构，提升公司核心竞争力。</w:t>
      </w:r>
    </w:p>
    <w:p>
      <w:pPr>
        <w:pStyle w:val="TextBody"/>
      </w:pPr>
      <w:hyperlink r:id="rId50">
        <w:r>
          <w:rPr>
            <w:rStyle w:val="Hyperlink"/>
          </w:rPr>
          <w:t xml:space="preserve">http://finance.stcn.com/2018/0720/14397370.shtml</w:t>
        </w:r>
      </w:hyperlink>
    </w:p>
    <w:p>
      <w:pPr>
        <w:pStyle w:val="Heading3"/>
      </w:pPr>
      <w:bookmarkStart w:id="51" w:name="盈峰环境152亿收购中联环境标的公司承诺三年净利37亿"/>
      <w:r>
        <w:t xml:space="preserve">盈峰环境152亿收购中联环境，标的公司承诺三年净利37亿</w:t>
      </w:r>
      <w:bookmarkEnd w:id="51"/>
    </w:p>
    <w:p>
      <w:pPr>
        <w:pStyle w:val="FirstParagraph"/>
      </w:pPr>
      <w:r>
        <w:t xml:space="preserve">近日，停牌中的盈峰环境公布重组草案，公司拟152.5亿元估价，收购长沙中联重科环境产业有限公司100%股份，进一步完善环保战略布局，快速实现产业升级，有望成为国内民营环保的龙头企业。</w:t>
      </w:r>
    </w:p>
    <w:p>
      <w:pPr>
        <w:pStyle w:val="TextBody"/>
      </w:pPr>
      <w:r>
        <w:t xml:space="preserve">目前，盈峰环境在环境监测、大气治理、水环境综合治理、固废处理、土壤修复等环保领域拥有完善的产业链条。而标的公司中联环境作为领先的城乡固废整体解决方案提供商之一，拥有较为完善的环卫装备产品线和成熟的环卫运营服务能力。盈峰环境认为，通过此次交易，上市公司与标的公司有望在业务、市场、技术等多个方面，达成显著的协同效应，提高本次交易的整合绩效及上市公司的持续盈利能力。</w:t>
      </w:r>
    </w:p>
    <w:p>
      <w:pPr>
        <w:pStyle w:val="TextBody"/>
      </w:pPr>
      <w:hyperlink r:id="rId52">
        <w:r>
          <w:rPr>
            <w:rStyle w:val="Hyperlink"/>
          </w:rPr>
          <w:t xml:space="preserve">http://company.stcn.com/2018/0718/14393937.shtml</w:t>
        </w:r>
      </w:hyperlink>
    </w:p>
    <w:p>
      <w:pPr>
        <w:pStyle w:val="Heading3"/>
      </w:pPr>
      <w:bookmarkStart w:id="53" w:name="鞍钢股份超59亿元收购朝阳钢铁鞍钢集团国企改革加速"/>
      <w:r>
        <w:t xml:space="preserve">鞍钢股份超59亿元收购朝阳钢铁，鞍钢集团国企改革加速</w:t>
      </w:r>
      <w:bookmarkEnd w:id="53"/>
    </w:p>
    <w:p>
      <w:pPr>
        <w:pStyle w:val="FirstParagraph"/>
      </w:pPr>
      <w:r>
        <w:t xml:space="preserve">2018年7月17日晚，鞍钢股份发布公告称，公司拟59.04亿元收购鞍钢集团持有的朝阳钢铁100%股权，以利于公司更好地把握市场有利时机，进一步做优做强钢铁主业。</w:t>
      </w:r>
    </w:p>
    <w:p>
      <w:pPr>
        <w:pStyle w:val="TextBody"/>
      </w:pPr>
      <w:r>
        <w:t xml:space="preserve">鞍钢股份表示，朝阳钢铁与公司均从事钢铁生产加工业务，且同受鞍钢集团控制，构成同业竞争。本次收购完成后，朝阳钢铁将成为公司全资子公司，纳入公司合并报表，从而减少了同业竞争。此外，朝阳钢铁具有较强的盈利能力，公司将实现鞍山本部、鲅鱼圈和朝阳三个钢铁生产基地的协同发展，有助于提升公司盈利能力。朝阳钢铁拥有年产200万吨精品板材生产线，2017年实现净利10.34亿元，2018年1月份-5月份实现净利润7.68亿元。</w:t>
      </w:r>
    </w:p>
    <w:p>
      <w:pPr>
        <w:pStyle w:val="TextBody"/>
      </w:pPr>
      <w:hyperlink r:id="rId54">
        <w:r>
          <w:rPr>
            <w:rStyle w:val="Hyperlink"/>
          </w:rPr>
          <w:t xml:space="preserve">http://company.stcn.com/2018/0718/14393711.shtml</w:t>
        </w:r>
      </w:hyperlink>
    </w:p>
    <w:p>
      <w:pPr>
        <w:pStyle w:val="Heading3"/>
      </w:pPr>
      <w:bookmarkStart w:id="55" w:name="利欧股份拟收购苏州梦嘉全面布局微信流量生态"/>
      <w:r>
        <w:t xml:space="preserve">利欧股份拟收购苏州梦嘉，全面布局微信流量生态</w:t>
      </w:r>
      <w:bookmarkEnd w:id="55"/>
    </w:p>
    <w:p>
      <w:pPr>
        <w:pStyle w:val="FirstParagraph"/>
      </w:pPr>
      <w:r>
        <w:t xml:space="preserve">近日，利欧股份公告拟以发行股份、支付现金或二者相结合的方式收购苏州梦嘉传媒有限公司（以下简称“梦嘉”）75%的股权。此次出售大农股份并同时购微信流量资产之举，彰显了利欧做大做强数字业务，进一步最大化协同效应，完善数字营销全产业链的决心。</w:t>
      </w:r>
    </w:p>
    <w:p>
      <w:pPr>
        <w:pStyle w:val="TextBody"/>
      </w:pPr>
      <w:r>
        <w:t xml:space="preserve">近年来，利欧借由资本不断完善数字营销全产业链的布局，涵盖了广告投放、社会化营销、策略与创意、电商运营、流量运营、移动入口等业务环节。利欧数字成立至今，旗下子公司在技术、产品、数据、客户资源、流量资源、媒体资源等方面高度共享与协同，持续扩大1+1&gt;2的协同效应。梦嘉的加入，势必将进一步完善利欧的数字营销业务版图。本次收购是利欧整合优质移动互联网推广业务资源、积极布局移动互联网行业的战略举措，有助于利欧在腾讯体系流量端的全面布局，提升整合营销的盈利能力，全面打造数字营销流量体系，是之前多渠道流量布局业务在2018年的落地之举。</w:t>
      </w:r>
    </w:p>
    <w:p>
      <w:pPr>
        <w:pStyle w:val="TextBody"/>
      </w:pPr>
      <w:hyperlink r:id="rId56">
        <w:r>
          <w:rPr>
            <w:rStyle w:val="Hyperlink"/>
          </w:rPr>
          <w:t xml:space="preserve">http://company.stcn.com/2018/0715/14387085.shtml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- 2018年7月25日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f269f08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6" Type="http://schemas.openxmlformats.org/officeDocument/2006/relationships/hyperlink" Target="http://company.stcn.com/2018/0715/14387085.shtml" TargetMode="External"/><Relationship Id="rId54" Type="http://schemas.openxmlformats.org/officeDocument/2006/relationships/hyperlink" Target="http://company.stcn.com/2018/0718/14393711.shtml" TargetMode="External"/><Relationship Id="rId52" Type="http://schemas.openxmlformats.org/officeDocument/2006/relationships/hyperlink" Target="http://company.stcn.com/2018/0718/14393937.shtml" TargetMode="External"/><Relationship Id="rId48" Type="http://schemas.openxmlformats.org/officeDocument/2006/relationships/hyperlink" Target="http://company.stcn.com/2018/0720/14398660.shtml" TargetMode="External"/><Relationship Id="rId50" Type="http://schemas.openxmlformats.org/officeDocument/2006/relationships/hyperlink" Target="http://finance.stcn.com/2018/0720/14397370.shtml" TargetMode="External"/><Relationship Id="rId33" Type="http://schemas.openxmlformats.org/officeDocument/2006/relationships/hyperlink" Target="http://www.cbrc.gov.cn/chinese/newShouDoc/B9E1641426774EBC8729EB2736D32E4B.html" TargetMode="External"/><Relationship Id="rId26" Type="http://schemas.openxmlformats.org/officeDocument/2006/relationships/hyperlink" Target="http://www.cbrc.gov.cn/chinese/newShouDoc/BE8000EDBF164E3EAE82ADE62005053E.html" TargetMode="External"/><Relationship Id="rId43" Type="http://schemas.openxmlformats.org/officeDocument/2006/relationships/hyperlink" Target="http://www.chinalawinfo.com/News/NewsFullText.aspx?NewsId=91878&amp;NewsType=1" TargetMode="External"/><Relationship Id="rId41" Type="http://schemas.openxmlformats.org/officeDocument/2006/relationships/hyperlink" Target="http://www.court.gov.cn/zixun-xiangqing-108211.html" TargetMode="External"/><Relationship Id="rId24" Type="http://schemas.openxmlformats.org/officeDocument/2006/relationships/hyperlink" Target="http://www.csrc.gov.cn/pub/newsite/zjhxwfb/xwdd/201807/t20180720_341674.html" TargetMode="External"/><Relationship Id="rId45" Type="http://schemas.openxmlformats.org/officeDocument/2006/relationships/hyperlink" Target="http://www.gov.cn/xinwen/2018-07/18/content_5307137.htm" TargetMode="External"/><Relationship Id="rId30" Type="http://schemas.openxmlformats.org/officeDocument/2006/relationships/hyperlink" Target="http://www.sse.com.cn/aboutus/mediacenter/hotandd/c/c_20180720_4598843.shtml" TargetMode="External"/><Relationship Id="rId28" Type="http://schemas.openxmlformats.org/officeDocument/2006/relationships/hyperlink" Target="http://www.sse.com.cn/aboutus/mediacenter/hotandd/c/c_20180720_4598844.shtml" TargetMode="External"/><Relationship Id="rId39" Type="http://schemas.openxmlformats.org/officeDocument/2006/relationships/hyperlink" Target="http://www.xinhuanet.com/fortune/2018-07/20/c_1123152026.htm" TargetMode="External"/><Relationship Id="rId36" Type="http://schemas.openxmlformats.org/officeDocument/2006/relationships/hyperlink" Target="http://www.xinhuanet.com/politics/2018-07/20/c_1123156533.htm" TargetMode="External"/><Relationship Id="rId9" Type="http://schemas.openxmlformats.org/officeDocument/2006/relationships/hyperlink" Target="http://www.charltonslaw.com.cn/zhong-guo-zheng-jian-hui-jiu-zheng-quan-qi-huo-jing-ying-ji-gou-si-mu-zi-chan-guan-li-ye-wu-guan-li-ban-fa-zheng-qiu-yi-jian-gao-ji-qi-pei-tao-xi-ze-dui-wai-gong-kai-zheng-qiu-yi-ji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6" Type="http://schemas.openxmlformats.org/officeDocument/2006/relationships/hyperlink" Target="http://company.stcn.com/2018/0715/14387085.shtml" TargetMode="External"/><Relationship Id="rId54" Type="http://schemas.openxmlformats.org/officeDocument/2006/relationships/hyperlink" Target="http://company.stcn.com/2018/0718/14393711.shtml" TargetMode="External"/><Relationship Id="rId52" Type="http://schemas.openxmlformats.org/officeDocument/2006/relationships/hyperlink" Target="http://company.stcn.com/2018/0718/14393937.shtml" TargetMode="External"/><Relationship Id="rId48" Type="http://schemas.openxmlformats.org/officeDocument/2006/relationships/hyperlink" Target="http://company.stcn.com/2018/0720/14398660.shtml" TargetMode="External"/><Relationship Id="rId50" Type="http://schemas.openxmlformats.org/officeDocument/2006/relationships/hyperlink" Target="http://finance.stcn.com/2018/0720/14397370.shtml" TargetMode="External"/><Relationship Id="rId33" Type="http://schemas.openxmlformats.org/officeDocument/2006/relationships/hyperlink" Target="http://www.cbrc.gov.cn/chinese/newShouDoc/B9E1641426774EBC8729EB2736D32E4B.html" TargetMode="External"/><Relationship Id="rId26" Type="http://schemas.openxmlformats.org/officeDocument/2006/relationships/hyperlink" Target="http://www.cbrc.gov.cn/chinese/newShouDoc/BE8000EDBF164E3EAE82ADE62005053E.html" TargetMode="External"/><Relationship Id="rId43" Type="http://schemas.openxmlformats.org/officeDocument/2006/relationships/hyperlink" Target="http://www.chinalawinfo.com/News/NewsFullText.aspx?NewsId=91878&amp;NewsType=1" TargetMode="External"/><Relationship Id="rId41" Type="http://schemas.openxmlformats.org/officeDocument/2006/relationships/hyperlink" Target="http://www.court.gov.cn/zixun-xiangqing-108211.html" TargetMode="External"/><Relationship Id="rId24" Type="http://schemas.openxmlformats.org/officeDocument/2006/relationships/hyperlink" Target="http://www.csrc.gov.cn/pub/newsite/zjhxwfb/xwdd/201807/t20180720_341674.html" TargetMode="External"/><Relationship Id="rId45" Type="http://schemas.openxmlformats.org/officeDocument/2006/relationships/hyperlink" Target="http://www.gov.cn/xinwen/2018-07/18/content_5307137.htm" TargetMode="External"/><Relationship Id="rId30" Type="http://schemas.openxmlformats.org/officeDocument/2006/relationships/hyperlink" Target="http://www.sse.com.cn/aboutus/mediacenter/hotandd/c/c_20180720_4598843.shtml" TargetMode="External"/><Relationship Id="rId28" Type="http://schemas.openxmlformats.org/officeDocument/2006/relationships/hyperlink" Target="http://www.sse.com.cn/aboutus/mediacenter/hotandd/c/c_20180720_4598844.shtml" TargetMode="External"/><Relationship Id="rId39" Type="http://schemas.openxmlformats.org/officeDocument/2006/relationships/hyperlink" Target="http://www.xinhuanet.com/fortune/2018-07/20/c_1123152026.htm" TargetMode="External"/><Relationship Id="rId36" Type="http://schemas.openxmlformats.org/officeDocument/2006/relationships/hyperlink" Target="http://www.xinhuanet.com/politics/2018-07/20/c_11231565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2018-07-25T04:03:32Z</dcterms:created>
  <dcterms:modified xsi:type="dcterms:W3CDTF">2018-07-25T04:03:32Z</dcterms:modified>
</cp:coreProperties>
</file>