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- 2018年7月27日</w:t>
      </w:r>
    </w:p>
    <w:p>
      <w:pPr>
        <w:pStyle w:val="ReadOnline"/>
      </w:pPr>
      <w:hyperlink r:id="rId9">
        <w:r>
          <w:rPr/>
          <w:t>online version</w:t>
        </w:r>
      </w:hyperlink>
    </w:p>
    <w:p>
      <w:pPr>
        <w:pStyle w:val="Title"/>
      </w:pPr>
      <w:r>
        <w:t>中国人民银行明确公募可投非标债权类资产</w:t>
      </w:r>
    </w:p>
    <w:p>
      <w:pPr>
        <w:pStyle w:val="Heading2"/>
      </w:pPr>
      <w:bookmarkStart w:id="21" w:name="资本市场"/>
      <w:r>
        <w:t xml:space="preserve">资本市场</w:t>
      </w:r>
      <w:bookmarkEnd w:id="21"/>
    </w:p>
    <w:p>
      <w:pPr>
        <w:pStyle w:val="Heading3"/>
      </w:pPr>
      <w:bookmarkStart w:id="22" w:name="中国人民银行明确公募可投非标债权类资产"/>
      <w:r>
        <w:t xml:space="preserve">中国人民银行明确公募可投非标债权类资产</w:t>
      </w:r>
      <w:bookmarkEnd w:id="22"/>
    </w:p>
    <w:p>
      <w:pPr>
        <w:pStyle w:val="FirstParagraph"/>
      </w:pPr>
      <w:r>
        <w:t xml:space="preserve">中国人民银行近日发布《关于进一步明确规范金融机构资产管理业务指导意见有关事项的通知》（以下简称《通知》）。《通知》共6点内容，在4月份发布的《关于规范金融机构资产管理业务的指导意见》（以下简称资管新规）的基础上从公募资产管理产品的投资范围、过渡期内相关产品的估值方法以及过渡期的宏观审慎政策安排进行了相关内容补充。</w:t>
      </w:r>
    </w:p>
    <w:p>
      <w:pPr>
        <w:pStyle w:val="TextBody"/>
      </w:pPr>
      <w:r>
        <w:t xml:space="preserve">根据《通知》的有关规定，公募资产管理产品除主要投资标准化债权类资产和上市交易的股票，还可以适当投资非标准化债权类资产，但应当符合资管新规关于非标准化债权类资产投资的期限匹配、限额管理、信息披露等监管要求。此外，在过渡期内，金融机构可以发行老产品投资新资产，优先满足国家重点领域和重大工程建设续建项目以及中小微企业融资需求，但老产品的整体规模应当控制在资管新规发布前存量产品的整体规模内，且所投资新资产的到期日不得晚于2020年年底。</w:t>
      </w:r>
    </w:p>
    <w:p>
      <w:pPr>
        <w:pStyle w:val="TextBody"/>
      </w:pPr>
      <w:hyperlink r:id="rId23">
        <w:r>
          <w:rPr>
            <w:rStyle w:val="Hyperlink"/>
          </w:rPr>
          <w:t xml:space="preserve">http://www.xinhuanet.com/fortune/2018-07/23/c_129918606.htm</w:t>
        </w:r>
      </w:hyperlink>
    </w:p>
    <w:p>
      <w:pPr>
        <w:pStyle w:val="Heading3"/>
      </w:pPr>
      <w:bookmarkStart w:id="24" w:name="理财监管新规公开征求意见门槛降至1万元"/>
      <w:r>
        <w:t xml:space="preserve">理财监管新规公开征求意见，门槛降至1万元</w:t>
      </w:r>
      <w:bookmarkEnd w:id="24"/>
    </w:p>
    <w:p>
      <w:pPr>
        <w:pStyle w:val="FirstParagraph"/>
      </w:pPr>
      <w:r>
        <w:t xml:space="preserve">为促进统一资产管理产品监管标准，推动银行理财业务规范健康发展，银保监会近日起草了《商业银行理财业务监督管理办法》（以下简称《办法》），并向社会公开征求意见。《办法》要求商业银行理财业务实行分类管理，区分公募和私募理财产品。公募理财产品面向不特定社会公众公开发行，私募理财产品面向不超过200名合格投资者非公开发行；同时，将单只公募理财产品的销售起点由目前的5万元降至1万元。</w:t>
      </w:r>
    </w:p>
    <w:p>
      <w:pPr>
        <w:pStyle w:val="TextBody"/>
      </w:pPr>
      <w:r>
        <w:t xml:space="preserve">为了防范“影子银行”风险，《办法》延续对理财产品单独管理、单独建账、单独核算的“三单”要求，规定理财资金投资非标准化债权类资产的，资产的终止日不得晚于封闭式理财产品的到期日或开放式理财产品的最近一次开放日；投资未上市企业股权的，应当为封闭式理财产品，且需要期限匹配。同时要求银行理财产品投资非标准化债权类资产的余额，不得超过理财产品净资产的35%或银行总资产的4%；投资单一机构及其关联企业的非标准化债权类资产余额，不得超过银行资本净额的10%。</w:t>
      </w:r>
    </w:p>
    <w:p>
      <w:pPr>
        <w:pStyle w:val="TextBody"/>
      </w:pPr>
      <w:hyperlink r:id="rId25">
        <w:r>
          <w:rPr>
            <w:rStyle w:val="Hyperlink"/>
          </w:rPr>
          <w:t xml:space="preserve">http://news.jcrb.com/jxsw/201807/t20180722_1887592.html</w:t>
        </w:r>
      </w:hyperlink>
    </w:p>
    <w:p>
      <w:pPr>
        <w:pStyle w:val="Heading3"/>
      </w:pPr>
      <w:bookmarkStart w:id="26" w:name="深圳证券交易所发布新修订章程"/>
      <w:r>
        <w:t xml:space="preserve">深圳证券交易所发布新修订章程</w:t>
      </w:r>
      <w:bookmarkEnd w:id="26"/>
    </w:p>
    <w:p>
      <w:pPr>
        <w:pStyle w:val="FirstParagraph"/>
      </w:pPr>
      <w:r>
        <w:t xml:space="preserve">近日，深圳证券交易所（以下简称深交所）发布修订后的《深圳证券交易所章程》（以下简称《章程》）。</w:t>
      </w:r>
    </w:p>
    <w:p>
      <w:pPr>
        <w:pStyle w:val="TextBody"/>
      </w:pPr>
      <w:r>
        <w:t xml:space="preserve">《章程》是证券交易所组织运行的基础性、纲领性文件，是发挥一线监管职能的重要载体。本次《章程》修订的主要内容包括四个方面：一是完善全面加强党的领导相关制度。进一步明确党委发挥政治领导核心作用，保证党和国家的方针政策得到全面贯彻落实；明确坚持党对重大工作的集中统一领导，重大事项在提交理事会审议前须经党委会审议通过。二是强化交易所一线监管职能。进一步拓展交易所职能范围，丰富交易所一线监管手段，完善会员客户交易行为管理职责，强化交易所风险防控职责。三是优化交易所治理结构。进一步完善理事会、总经理和监事会职权；明确理事会、监事会决议向证监会报告的制度等。四是完善内部救济制度相关规定。增加相关市场主体可以申请听证和复核的内容，更好保护市场主体合法权益。</w:t>
      </w:r>
    </w:p>
    <w:p>
      <w:pPr>
        <w:pStyle w:val="TextBody"/>
      </w:pPr>
      <w:hyperlink r:id="rId27">
        <w:r>
          <w:rPr>
            <w:rStyle w:val="Hyperlink"/>
          </w:rPr>
          <w:t xml:space="preserve">http://www.szse.cn/aboutus/trends/news/t20180720_553794.html</w:t>
        </w:r>
      </w:hyperlink>
    </w:p>
    <w:p>
      <w:pPr>
        <w:pStyle w:val="Heading3"/>
      </w:pPr>
      <w:bookmarkStart w:id="28" w:name="国务院财政金融政策要协同发力"/>
      <w:r>
        <w:t xml:space="preserve">国务院：财政金融政策要协同发力</w:t>
      </w:r>
      <w:bookmarkEnd w:id="28"/>
    </w:p>
    <w:p>
      <w:pPr>
        <w:pStyle w:val="FirstParagraph"/>
      </w:pPr>
      <w:r>
        <w:t xml:space="preserve">国务院总理李克强2018年7月23日主持召开国务院常务会议，部署更好发挥财政金融政策作用，支持扩内需调结构促进实体经济发展；确定围绕补短板、增后劲、惠民生推动有效投资的措施。</w:t>
      </w:r>
    </w:p>
    <w:p>
      <w:pPr>
        <w:pStyle w:val="TextBody"/>
      </w:pPr>
      <w:r>
        <w:t xml:space="preserve">会议听取了财政金融进一步支持实体经济发展的汇报，要求保持宏观政策稳定，坚持不搞“大水漫灌”式强刺激，根据形势变化相机预调微调、定向调控，应对好外部环境不确定性，保持经济运行在合理区间。 财政金融政策要协同发力，更有效服务实体经济，更有力服务宏观大局。要聚焦减税降费，在确保全年减轻市场主体税费负担1.1万亿元以上的基础上，将企业研发费用加计扣除比例提高到75%的政策由科技型中小企业扩大至所有企业，初步测算全年可减税650亿元。对已确定的先进制造业、现代服务业等增值税留抵退税返还的1130亿元在9月底前要基本完成。加强相关方面衔接，加快今年1.35万亿元地方政府专项债券发行和使用进度，在推动在建基础设施项目上早见成效。</w:t>
      </w:r>
    </w:p>
    <w:p>
      <w:pPr>
        <w:pStyle w:val="TextBody"/>
      </w:pPr>
      <w:hyperlink r:id="rId29">
        <w:r>
          <w:rPr>
            <w:rStyle w:val="Hyperlink"/>
          </w:rPr>
          <w:t xml:space="preserve">http://www.chinaforex.com.cn/index.php/cms/item-view-id-47206.shtml</w:t>
        </w:r>
      </w:hyperlink>
    </w:p>
    <w:p>
      <w:pPr>
        <w:pStyle w:val="Heading2"/>
      </w:pPr>
      <w:bookmarkStart w:id="30" w:name="保险"/>
      <w:r>
        <w:t xml:space="preserve">保险</w:t>
      </w:r>
      <w:bookmarkEnd w:id="30"/>
    </w:p>
    <w:p>
      <w:pPr>
        <w:pStyle w:val="Heading3"/>
      </w:pPr>
      <w:bookmarkStart w:id="31" w:name="上海保监局四方面推进健康险供给侧改革"/>
      <w:r>
        <w:t xml:space="preserve">上海保监局四方面推进健康险供给侧改革</w:t>
      </w:r>
      <w:bookmarkEnd w:id="31"/>
    </w:p>
    <w:p>
      <w:pPr>
        <w:pStyle w:val="FirstParagraph"/>
      </w:pPr>
      <w:r>
        <w:t xml:space="preserve">从上海市政府新闻发布会上获悉，上海市最新制定的《关于推进健康服务业高质量发展加快建设一流医学中心城市的若干意见》提到，要推进健康保险产品供给侧改革，上海保监局将主要从四个方面入手推进有关工作。</w:t>
      </w:r>
    </w:p>
    <w:p>
      <w:pPr>
        <w:pStyle w:val="TextBody"/>
      </w:pPr>
      <w:r>
        <w:t xml:space="preserve">据上海保监局副局长王晓东介绍，该局将大力推进商业健康保险的有效供给，包括根据银保监会关于防风险、治乱象的总体部署，清理保障功能弱、与消费者需求不匹配的商业健康保险产品，积极鼓励和支持商业保险机构开发满足不同年龄、不同人群、不同需求的保险产品。 在保障期限上，既要有长期商业健康保险产品，也要有短期产品。从产品的分类角度，不仅鼓励支持开发疾病保险、医疗保险、长期护理保险、失能收入保险，也鼓励保险机构开发医疗责任险、医疗意外保险、药物和医疗器械临床试验责任险、药品和医疗器械质量综合责任险等保险产品。</w:t>
      </w:r>
    </w:p>
    <w:p>
      <w:pPr>
        <w:pStyle w:val="TextBody"/>
      </w:pPr>
      <w:hyperlink r:id="rId32">
        <w:r>
          <w:rPr>
            <w:rStyle w:val="Hyperlink"/>
          </w:rPr>
          <w:t xml:space="preserve">http://insurance.jrj.com.cn/2018/07/26091324865361.shtml</w:t>
        </w:r>
      </w:hyperlink>
    </w:p>
    <w:p>
      <w:pPr>
        <w:pStyle w:val="Heading2"/>
      </w:pPr>
      <w:bookmarkStart w:id="33" w:name="税收"/>
      <w:r>
        <w:t xml:space="preserve">税收</w:t>
      </w:r>
      <w:bookmarkEnd w:id="33"/>
    </w:p>
    <w:p>
      <w:pPr>
        <w:pStyle w:val="Heading3"/>
      </w:pPr>
      <w:bookmarkStart w:id="34" w:name="全国省市县乡四级新税务机构全部完成挂牌"/>
      <w:r>
        <w:t xml:space="preserve">全国省市县乡四级新税务机构全部完成挂牌</w:t>
      </w:r>
      <w:bookmarkEnd w:id="34"/>
    </w:p>
    <w:p>
      <w:pPr>
        <w:pStyle w:val="FirstParagraph"/>
      </w:pPr>
      <w:r>
        <w:t xml:space="preserve">近日，全国县乡国税地税机构正式合并，所有县级和乡镇新税务机构统一挂牌，标志着全国省市县乡四级税务机构分步合并和相应挂牌工作，经过36天的努力至此全部完成，国税地税征管体制改革第一场攻坚战圆满收官，下步改革将向逐级制定和落实“三定”规定、逐级接收社会保险费和非税收入征管职责划转等领域纵深推进。</w:t>
      </w:r>
    </w:p>
    <w:p>
      <w:pPr>
        <w:pStyle w:val="TextBody"/>
      </w:pPr>
      <w:r>
        <w:t xml:space="preserve">税务总局党组书记、局长王军指出，下步改革任务更加艰巨，各级税务部门要进一步深入学习贯彻习近平总书记关于深化党和国家机构改革的重要指示精神，切实把加强党的全面领导贯穿税务机构改革各方面和全过程，继续不折不扣地执行好党中央、国务院的决策部署，一鼓作气、一往直前，细而更细、实而更实地打好制定和落实“三定”规定、社会保险费和非税收入征管职责划转、税费业务和信息化整合升级等一系列攻坚战，确保各项改革任务在年内高质量圆满完成。要在省局改革做好、市局改革行稳的基础上，针对县乡税务机构既是改革落实的最末梢，又是面向纳税人、缴费人最前沿的特点，全力确保基层改革推进到位，把基层进一步建设好，把基础进一步稳固好，切实推动各项便民措施落地见效，确保税务机构改革推进一步，纳税人和缴费人获得感增进一分。</w:t>
      </w:r>
    </w:p>
    <w:p>
      <w:pPr>
        <w:pStyle w:val="TextBody"/>
      </w:pPr>
      <w:hyperlink r:id="rId35">
        <w:r>
          <w:rPr>
            <w:rStyle w:val="Hyperlink"/>
          </w:rPr>
          <w:t xml:space="preserve">http://www.gov.cn/xinwen/2018-07/20/content_5308055.htm</w:t>
        </w:r>
      </w:hyperlink>
    </w:p>
    <w:p>
      <w:pPr>
        <w:pStyle w:val="Heading2"/>
      </w:pPr>
      <w:bookmarkStart w:id="36" w:name="行业"/>
      <w:r>
        <w:t xml:space="preserve">行业</w:t>
      </w:r>
      <w:bookmarkEnd w:id="36"/>
    </w:p>
    <w:p>
      <w:pPr>
        <w:pStyle w:val="Heading3"/>
      </w:pPr>
      <w:bookmarkStart w:id="37" w:name="国务院印发关于优化科研管理提升科研绩效若干措施的通知"/>
      <w:r>
        <w:t xml:space="preserve">国务院印发《关于优化科研管理提升科研绩效若干措施的通知》</w:t>
      </w:r>
      <w:bookmarkEnd w:id="37"/>
    </w:p>
    <w:p>
      <w:pPr>
        <w:pStyle w:val="FirstParagraph"/>
      </w:pPr>
      <w:r>
        <w:t xml:space="preserve">经李克强总理签批，国务院日前印发《关于优化科研管理提升科研绩效若干措施的通知》（以下简称《通知》）。</w:t>
      </w:r>
    </w:p>
    <w:p>
      <w:pPr>
        <w:pStyle w:val="TextBody"/>
      </w:pPr>
      <w:r>
        <w:t xml:space="preserve">《通知》指出，要贯彻落实党中央、国务院关于推进科技领域“放管服”改革要求，建立完善以信任为前提的科研管理机制，减轻科研人员负担，充分释放创新活力，调动科研人员的积极性，激励科研人员敬业报国、潜心研究、攻坚克难，大力提升原始创新能力和关键领域核心技术攻关能力，多出高水平成果，壮大经济发展新动能，为实现经济高质量发展、建设世界科技强国做出更大贡献。《通知》提出，要在教育部直属高校和中科院所属科研院所中选择部分创新能力和潜力突出、创新绩效显著、科研诚信状况良好的单位开展“绿色通道”改革试点，包括开展简化科研项目经费预算编制、扩大科研经费使用自主权、科研机构分类支持、赋予科研人员职务科技成果所有权或长期使用权等试点工作，并加快形成经验在全国推广。</w:t>
      </w:r>
    </w:p>
    <w:p>
      <w:pPr>
        <w:pStyle w:val="TextBody"/>
      </w:pPr>
      <w:hyperlink r:id="rId38">
        <w:r>
          <w:rPr>
            <w:rStyle w:val="Hyperlink"/>
          </w:rPr>
          <w:t xml:space="preserve">http://www.xinhuanet.com/politics/2018-07/24/c_1123170710.htm</w:t>
        </w:r>
      </w:hyperlink>
    </w:p>
    <w:p>
      <w:pPr>
        <w:pStyle w:val="Heading3"/>
      </w:pPr>
      <w:bookmarkStart w:id="39" w:name="市场监管总局等八部门印发关于实施企业标准领跑者制度的意见"/>
      <w:r>
        <w:t xml:space="preserve">市场监管总局等八部门印发关于实施企业标准“领跑者”制度的意见</w:t>
      </w:r>
      <w:bookmarkEnd w:id="39"/>
    </w:p>
    <w:p>
      <w:pPr>
        <w:pStyle w:val="FirstParagraph"/>
      </w:pPr>
      <w:r>
        <w:t xml:space="preserve">从中国国家标准化管理委员会官网获悉，近日，经国务院同意，市场监管总局、发展改革委、科技部、工业和信息化部、财政部、生态环境部、交通运输部、人民银行等八部门联合印发《关于实施企业标准“领跑者”制度的意见》（以下简称《意见》）。</w:t>
      </w:r>
    </w:p>
    <w:p>
      <w:pPr>
        <w:pStyle w:val="TextBody"/>
      </w:pPr>
      <w:r>
        <w:t xml:space="preserve">《意见》明确了实施企业标准“领跑者”制度的指导思想和基本原则，提出到2020年我国在主要消费品、装备制造、生产性和生活性服务以及新兴产业领域企业标准“领跑者”培育目标。《意见》根据企业标准“领跑者”制度工作流程，提出了全面实施企业产品和服务标准自我声明公开、确定实施企业标准“领跑者”的重点领域、建立领跑者评估机制、发布企业标准排行榜、形成企业标准“领跑者”名单、建立企业标准“领跑者”动态调整机制6项任务；提出了完善激励政策、创新监管模式、培育发展标准化服务业、加大宣传和培训力度4方面保障措施。企业标准“领跑者”制度的实施，对于培育一批具有创新能力的排头兵企业、助推供给侧结构性改革具有重要作用，有利于推动我国产业迈向全球价值链中高端，更好地满足人民日益增长的美好生活需要。</w:t>
      </w:r>
    </w:p>
    <w:p>
      <w:pPr>
        <w:pStyle w:val="TextBody"/>
      </w:pPr>
      <w:hyperlink r:id="rId40">
        <w:r>
          <w:rPr>
            <w:rStyle w:val="Hyperlink"/>
          </w:rPr>
          <w:t xml:space="preserve">http://www.cqn.com.cn/cj/content/2018-07/03/content_5991143.htm</w:t>
        </w:r>
      </w:hyperlink>
    </w:p>
    <w:p>
      <w:pPr>
        <w:pStyle w:val="Heading3"/>
      </w:pPr>
      <w:bookmarkStart w:id="41" w:name="河南出台意见规范人民陪审员工作"/>
      <w:r>
        <w:t xml:space="preserve">河南出台意见规范人民陪审员工作</w:t>
      </w:r>
      <w:bookmarkEnd w:id="41"/>
    </w:p>
    <w:p>
      <w:pPr>
        <w:pStyle w:val="FirstParagraph"/>
      </w:pPr>
      <w:r>
        <w:t xml:space="preserve">为了进一步贯彻落实人民陪审员法，河南省高级人民法院党组专题研究，并结合工作实际出台了《关于贯彻落实〈人民陪审员法〉的意见》，全面部署对人民陪审员法的贯彻落实工作，保障人民群众对司法工作的知情权、参与权、表达权、监督权，让人民群众在每一个司法案件中感受到公平正义。</w:t>
      </w:r>
    </w:p>
    <w:p>
      <w:pPr>
        <w:pStyle w:val="TextBody"/>
      </w:pPr>
      <w:r>
        <w:t xml:space="preserve">意见提出，要做好人民陪审员选用工作，充分保障人民群众参与司法的广泛性和公平性。明确规定随机抽选陪审员时，可以根据案件情况抽选1至2名候补人民陪审员，避免人民陪审员因故不能到庭影响庭审，抽选过程可以组织当事人参与或者见证。人民陪审员与案件当事人属同一单位、同一自然村等情形，可能影响案件公正审理的，应纳入回避范围。各法院根据实际情况设置人民陪审员年度参审案件上限，尽可能实现人民陪审员广泛参审和均衡参审。意见强调，要充分发挥人民陪审员的实质参审作用，真正实现人民陪审员制度的功能价值。规定法官应对人民陪审员进行必要的指引、提示和释明，开庭前应当将相关陪审权利义务告知人民陪审员。</w:t>
      </w:r>
    </w:p>
    <w:p>
      <w:pPr>
        <w:pStyle w:val="TextBody"/>
      </w:pPr>
      <w:hyperlink r:id="rId42">
        <w:r>
          <w:rPr>
            <w:rStyle w:val="Hyperlink"/>
          </w:rPr>
          <w:t xml:space="preserve">http://rmfyb.chinacourt.org/paper/html/2018-07/24/content_141561.htm?div=-1</w:t>
        </w:r>
      </w:hyperlink>
    </w:p>
    <w:p>
      <w:pPr>
        <w:pStyle w:val="Heading3"/>
      </w:pPr>
      <w:bookmarkStart w:id="43" w:name="行政事业性收费标准管理办法发布"/>
      <w:r>
        <w:t xml:space="preserve">行政事业性收费标准管理办法发布</w:t>
      </w:r>
      <w:bookmarkEnd w:id="43"/>
    </w:p>
    <w:p>
      <w:pPr>
        <w:pStyle w:val="FirstParagraph"/>
      </w:pPr>
      <w:r>
        <w:t xml:space="preserve">国家发展改革委、财政部日前印发《行政事业性收费标准管理办法》（简称《办法》），旨在加强国家机关和事业单位收费管理，规范收费标准管理行为，提高收费决策的科学性和透明度，维护公民、法人和其他组织的合法权益。</w:t>
      </w:r>
    </w:p>
    <w:p>
      <w:pPr>
        <w:pStyle w:val="TextBody"/>
      </w:pPr>
      <w:r>
        <w:t xml:space="preserve">《办法》明确，收费标准实行中央和省两级审批制度。未列入行政事业性收费目录清单的收费项目，一律不得审批收费标准。重要收费项目的收费标准应当由国务院价格、财政部门审核后报请国务院批准。地域成本差异较大的全国或者区域范围内实施的收费标准，国务院价格、财政部门可以授权省级政府价格、财政部门审批。专业性强且类别较多的考试、注册等收费，省级以上政府价格、财政部门可以制定收费标准的上限，由行业主管部门在上限范围内确定具体收费标准。《办法》要求，除涉及国家秘密外，价格、财政部门应当及时将审批的收费标准告知申请单位，并向社会公布。</w:t>
      </w:r>
    </w:p>
    <w:p>
      <w:pPr>
        <w:pStyle w:val="TextBody"/>
      </w:pPr>
      <w:hyperlink r:id="rId44">
        <w:r>
          <w:rPr>
            <w:rStyle w:val="Hyperlink"/>
          </w:rPr>
          <w:t xml:space="preserve">http://news.sina.com.cn/c/2018-07-24/doc-ihftenhz8145658.shtml</w:t>
        </w:r>
      </w:hyperlink>
    </w:p>
    <w:p>
      <w:pPr>
        <w:pStyle w:val="Heading2"/>
      </w:pPr>
      <w:bookmarkStart w:id="45" w:name="并购"/>
      <w:r>
        <w:t xml:space="preserve">并购</w:t>
      </w:r>
      <w:bookmarkEnd w:id="45"/>
    </w:p>
    <w:p>
      <w:pPr>
        <w:pStyle w:val="Heading3"/>
      </w:pPr>
      <w:bookmarkStart w:id="46" w:name="特尔佳12亿元现金收购普创天信控制权"/>
      <w:r>
        <w:t xml:space="preserve">特尔佳12亿元现金收购普创天信控制权</w:t>
      </w:r>
      <w:bookmarkEnd w:id="46"/>
    </w:p>
    <w:p>
      <w:pPr>
        <w:pStyle w:val="FirstParagraph"/>
      </w:pPr>
      <w:r>
        <w:t xml:space="preserve">特尔佳连续发布重大资产重组方案及股价异动公告。特尔佳计划以现金方式收购深圳普创天信科技发展有限公司至少51%的股权，以普创天信23亿元估值计算约12亿元。</w:t>
      </w:r>
    </w:p>
    <w:p>
      <w:pPr>
        <w:pStyle w:val="TextBody"/>
      </w:pPr>
      <w:r>
        <w:t xml:space="preserve">特尔佳称，拟通过本次收购资产快速进入具有广阔成长前景和盈利空间的行业领域，降低目前主业单一的市场风险，业绩承诺条款实现将提升公司的盈利能力。公告显示，普创天信为国家级高新技术企业，是华为融合终端产品的国包商，拥有一百多项核心技术专利及知识产权。普创天信成立于2006年8月，主营手机的研发、设计、销售、技术咨询，现有员工430余人，研发人员比例占35%以上，拥有3个研发中心，全球设八个地区部，在中国25个省会城市以及国外多个城市设有分支机构。普创天信旗下拥有IE-LINK自主品牌产品，覆盖移动宽带产品线、物联网模块产品线、物联网终端产品线、物联网一体化解决方案。</w:t>
      </w:r>
    </w:p>
    <w:p>
      <w:pPr>
        <w:pStyle w:val="TextBody"/>
      </w:pPr>
      <w:hyperlink r:id="rId47">
        <w:r>
          <w:rPr>
            <w:rStyle w:val="Hyperlink"/>
          </w:rPr>
          <w:t xml:space="preserve">http://company.stcn.com/2018/0725/14407726.shtml</w:t>
        </w:r>
      </w:hyperlink>
    </w:p>
    <w:p>
      <w:pPr>
        <w:pStyle w:val="Heading3"/>
      </w:pPr>
      <w:bookmarkStart w:id="48" w:name="康芝药业拟3.5亿元收购中山爱护100股权"/>
      <w:r>
        <w:t xml:space="preserve">康芝药业拟3.5亿元收购中山爱护100%股权</w:t>
      </w:r>
      <w:bookmarkEnd w:id="48"/>
    </w:p>
    <w:p>
      <w:pPr>
        <w:pStyle w:val="FirstParagraph"/>
      </w:pPr>
      <w:r>
        <w:t xml:space="preserve">康芝药业近日公告称，康芝药业于2018年7月24日审议通过了《关于收购中山爱护日用品有限公司100%股权暨关联交易的议案》。</w:t>
      </w:r>
    </w:p>
    <w:p>
      <w:pPr>
        <w:pStyle w:val="TextBody"/>
      </w:pPr>
      <w:r>
        <w:t xml:space="preserve">公告称，公司拟与宏氏投资签署股权转让协议，公司拟使用募集资金历年利息和理财收益、尚未列入使用计划的超募资金及自有资金合计3.5亿元收购中山爱护100%股权，本次交易完成后，公司将持有中山爱护100%的股权，中山爱护将成为公司的全资子公司。公告显示，公司经中国证券监督管理委员会证监许可，向社会公开发行人民币普通股（A 股）2,500 万股，发行价格为每股 60.00 元，募集资金总金额为人民币 150,000 万元，扣除各项发行费用 5,120.23 万元后，募集资金净额为 144,879.77 万元，其中超募资金为 113,490.77 万元。</w:t>
      </w:r>
    </w:p>
    <w:p>
      <w:pPr>
        <w:pStyle w:val="TextBody"/>
      </w:pPr>
      <w:hyperlink r:id="rId49">
        <w:r>
          <w:rPr>
            <w:rStyle w:val="Hyperlink"/>
          </w:rPr>
          <w:t xml:space="preserve">http://finance.ifeng.com/a/20180725/16404655_0.shtml</w:t>
        </w:r>
      </w:hyperlink>
    </w:p>
    <w:p>
      <w:pPr>
        <w:pStyle w:val="Heading3"/>
      </w:pPr>
      <w:bookmarkStart w:id="50" w:name="川恒集团收购福泉磷矿抢占资源高地获重大突破"/>
      <w:r>
        <w:t xml:space="preserve">川恒集团收购福泉磷矿，抢占资源高地获重大突破</w:t>
      </w:r>
      <w:bookmarkEnd w:id="50"/>
    </w:p>
    <w:p>
      <w:pPr>
        <w:pStyle w:val="FirstParagraph"/>
      </w:pPr>
      <w:r>
        <w:t xml:space="preserve">近日，四川川恒控股集团股份有限公司之全资子公司澳美牧歌有限责任公司签署了《贵州省福泉磷矿有限公司之股权转让协议》，澳美牧歌有限责任公司取得福泉磷矿90%的股权，标志着川恒集团在产业链垂直整合、构建资源粮仓方面获得新的重大突破。</w:t>
      </w:r>
    </w:p>
    <w:p>
      <w:pPr>
        <w:pStyle w:val="TextBody"/>
      </w:pPr>
      <w:r>
        <w:t xml:space="preserve">川恒集团此次收购的福泉磷矿，系该地区大型磷矿开采企业之一，拥有2宗磷矿采矿权和1宗磷矿探矿权，合计资源储量约1.813亿吨。福泉磷矿具有现实产能150万吨/年，计划通过技术改造将产能快速提升到250万吨/年，短期内将极大改善川恒集团之子公司川恒股份的主要原材料——磷矿的供应问题，快速提升川恒股份综合竞争能力。新的福泉磷矿将按照循环经济理念，采用川恒股份核心技术，构建绿色矿山，实现工厂与矿山的循环耦合发展，实现综合竞争能力的显著提升。</w:t>
      </w:r>
    </w:p>
    <w:p>
      <w:pPr>
        <w:pStyle w:val="TextBody"/>
      </w:pPr>
      <w:hyperlink r:id="rId51">
        <w:r>
          <w:rPr>
            <w:rStyle w:val="Hyperlink"/>
          </w:rPr>
          <w:t xml:space="preserve">http://www.financialnews.com.cn/jigou/ssgs/201807/t20180725_142813.html</w:t>
        </w:r>
      </w:hyperlink>
    </w:p>
    <w:p>
      <w:pPr>
        <w:pStyle w:val="Heading3"/>
      </w:pPr>
      <w:bookmarkStart w:id="52" w:name="建溢集团拟3000万元收购玻璃加工业务"/>
      <w:r>
        <w:t xml:space="preserve">建溢集团拟3000万元收购玻璃加工业务</w:t>
      </w:r>
      <w:bookmarkEnd w:id="52"/>
    </w:p>
    <w:p>
      <w:pPr>
        <w:pStyle w:val="FirstParagraph"/>
      </w:pPr>
      <w:r>
        <w:t xml:space="preserve">建溢集团近日发布公告，公司拟向大股东旗下志留纪资源有限公司收购创建节能玻璃科技51%股权连同待售贷款，代价为3000万港元。于完成收购事项后，创建节能玻璃科技将成为公司拥有64%权益的附属公司。</w:t>
      </w:r>
    </w:p>
    <w:p>
      <w:pPr>
        <w:pStyle w:val="TextBody"/>
      </w:pPr>
      <w:r>
        <w:t xml:space="preserve">公告显示，创建节能玻璃科技主要从事销售及下游加工玻璃，于2017年12月31日的未经审核资产净值约为4250万元。2017年除税后净利为1146.1万元。 公司表示，收购事项乃适合于集团发展策略以及扩大其客户基础、产品及服务的多元化策略。</w:t>
      </w:r>
    </w:p>
    <w:p>
      <w:pPr>
        <w:pStyle w:val="TextBody"/>
      </w:pPr>
      <w:hyperlink r:id="rId53">
        <w:r>
          <w:rPr>
            <w:rStyle w:val="Hyperlink"/>
          </w:rPr>
          <w:t xml:space="preserve">http://www.chinastock.com.cn/yhwz_about.do?methodCall=getDetailInfo&amp;docId=6312300</w:t>
        </w:r>
      </w:hyperlink>
    </w:p>
    <w:p>
      <w:pPr>
        <w:pStyle w:val="Heading3"/>
      </w:pPr>
      <w:bookmarkStart w:id="54" w:name="福晟国际拟斥9.53亿元收购长沙综合体开发项目95权益"/>
      <w:r>
        <w:t xml:space="preserve">福晟国际拟斥9.53亿元收购长沙综合体开发项目95%权益</w:t>
      </w:r>
      <w:bookmarkEnd w:id="54"/>
    </w:p>
    <w:p>
      <w:pPr>
        <w:pStyle w:val="FirstParagraph"/>
      </w:pPr>
      <w:r>
        <w:t xml:space="preserve">福晟国际宣布，于2018年7月25日，公司间接全资附属福州福晟集团作为买方，拟向卖方福建华鼎兴投资收购目标公司福州康安利信投资的95%股权，代价为人民币9.53亿元。</w:t>
      </w:r>
    </w:p>
    <w:p>
      <w:pPr>
        <w:pStyle w:val="TextBody"/>
      </w:pPr>
      <w:r>
        <w:t xml:space="preserve">公司董事会相信，收购事项将为扩展中国物业发展组合提供机会。该项目位于长沙市黄金地段，集团拟于完成后将该项目发展为商住综合体。集团预期该项目可于2019年开始预售，并于2021年完工。收购事项将为集团带来收入及缔造资本增值潜力。目标公司于2017年12月在中国成立，主要于中国从事投资控股。自注册成立起至2018年6月30日止期间，目标集团实现税后亏损人民币69.8万元。于2018年6月30日，目标集团的未经审核合并负债净额约为人民币69.8万元。</w:t>
      </w:r>
    </w:p>
    <w:p>
      <w:pPr>
        <w:pStyle w:val="TextBody"/>
      </w:pPr>
      <w:hyperlink r:id="rId55">
        <w:r>
          <w:rPr>
            <w:rStyle w:val="Hyperlink"/>
          </w:rPr>
          <w:t xml:space="preserve">http://sc.stock.cnfol.com/ggzixun/20180725/26694863.shtml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- 2018年7月27日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8d9f3b3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7" Type="http://schemas.openxmlformats.org/officeDocument/2006/relationships/hyperlink" Target="http://company.stcn.com/2018/0725/14407726.shtml" TargetMode="External"/><Relationship Id="rId49" Type="http://schemas.openxmlformats.org/officeDocument/2006/relationships/hyperlink" Target="http://finance.ifeng.com/a/20180725/16404655_0.shtml" TargetMode="External"/><Relationship Id="rId32" Type="http://schemas.openxmlformats.org/officeDocument/2006/relationships/hyperlink" Target="http://insurance.jrj.com.cn/2018/07/26091324865361.shtml" TargetMode="External"/><Relationship Id="rId25" Type="http://schemas.openxmlformats.org/officeDocument/2006/relationships/hyperlink" Target="http://news.jcrb.com/jxsw/201807/t20180722_1887592.html" TargetMode="External"/><Relationship Id="rId44" Type="http://schemas.openxmlformats.org/officeDocument/2006/relationships/hyperlink" Target="http://news.sina.com.cn/c/2018-07-24/doc-ihftenhz8145658.shtml" TargetMode="External"/><Relationship Id="rId42" Type="http://schemas.openxmlformats.org/officeDocument/2006/relationships/hyperlink" Target="http://rmfyb.chinacourt.org/paper/html/2018-07/24/content_141561.htm?div=-1" TargetMode="External"/><Relationship Id="rId55" Type="http://schemas.openxmlformats.org/officeDocument/2006/relationships/hyperlink" Target="http://sc.stock.cnfol.com/ggzixun/20180725/26694863.shtml" TargetMode="External"/><Relationship Id="rId29" Type="http://schemas.openxmlformats.org/officeDocument/2006/relationships/hyperlink" Target="http://www.chinaforex.com.cn/index.php/cms/item-view-id-47206.shtml" TargetMode="External"/><Relationship Id="rId53" Type="http://schemas.openxmlformats.org/officeDocument/2006/relationships/hyperlink" Target="http://www.chinastock.com.cn/yhwz_about.do?methodCall=getDetailInfo&amp;docId=6312300" TargetMode="External"/><Relationship Id="rId40" Type="http://schemas.openxmlformats.org/officeDocument/2006/relationships/hyperlink" Target="http://www.cqn.com.cn/cj/content/2018-07/03/content_5991143.htm" TargetMode="External"/><Relationship Id="rId51" Type="http://schemas.openxmlformats.org/officeDocument/2006/relationships/hyperlink" Target="http://www.financialnews.com.cn/jigou/ssgs/201807/t20180725_142813.html" TargetMode="External"/><Relationship Id="rId35" Type="http://schemas.openxmlformats.org/officeDocument/2006/relationships/hyperlink" Target="http://www.gov.cn/xinwen/2018-07/20/content_5308055.htm" TargetMode="External"/><Relationship Id="rId27" Type="http://schemas.openxmlformats.org/officeDocument/2006/relationships/hyperlink" Target="http://www.szse.cn/aboutus/trends/news/t20180720_553794.html" TargetMode="External"/><Relationship Id="rId23" Type="http://schemas.openxmlformats.org/officeDocument/2006/relationships/hyperlink" Target="http://www.xinhuanet.com/fortune/2018-07/23/c_129918606.htm" TargetMode="External"/><Relationship Id="rId38" Type="http://schemas.openxmlformats.org/officeDocument/2006/relationships/hyperlink" Target="http://www.xinhuanet.com/politics/2018-07/24/c_1123170710.htm" TargetMode="External"/><Relationship Id="rId9" Type="http://schemas.openxmlformats.org/officeDocument/2006/relationships/hyperlink" Target="http://www.charltonslaw.com.cn/zhong-guo-ren-min-yin-hang-ming-que-gong-mu-ke-tou-fei-biao-zhai-quan-lei-zi-ch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7" Type="http://schemas.openxmlformats.org/officeDocument/2006/relationships/hyperlink" Target="http://company.stcn.com/2018/0725/14407726.shtml" TargetMode="External"/><Relationship Id="rId49" Type="http://schemas.openxmlformats.org/officeDocument/2006/relationships/hyperlink" Target="http://finance.ifeng.com/a/20180725/16404655_0.shtml" TargetMode="External"/><Relationship Id="rId32" Type="http://schemas.openxmlformats.org/officeDocument/2006/relationships/hyperlink" Target="http://insurance.jrj.com.cn/2018/07/26091324865361.shtml" TargetMode="External"/><Relationship Id="rId25" Type="http://schemas.openxmlformats.org/officeDocument/2006/relationships/hyperlink" Target="http://news.jcrb.com/jxsw/201807/t20180722_1887592.html" TargetMode="External"/><Relationship Id="rId44" Type="http://schemas.openxmlformats.org/officeDocument/2006/relationships/hyperlink" Target="http://news.sina.com.cn/c/2018-07-24/doc-ihftenhz8145658.shtml" TargetMode="External"/><Relationship Id="rId42" Type="http://schemas.openxmlformats.org/officeDocument/2006/relationships/hyperlink" Target="http://rmfyb.chinacourt.org/paper/html/2018-07/24/content_141561.htm?div=-1" TargetMode="External"/><Relationship Id="rId55" Type="http://schemas.openxmlformats.org/officeDocument/2006/relationships/hyperlink" Target="http://sc.stock.cnfol.com/ggzixun/20180725/26694863.shtml" TargetMode="External"/><Relationship Id="rId29" Type="http://schemas.openxmlformats.org/officeDocument/2006/relationships/hyperlink" Target="http://www.chinaforex.com.cn/index.php/cms/item-view-id-47206.shtml" TargetMode="External"/><Relationship Id="rId53" Type="http://schemas.openxmlformats.org/officeDocument/2006/relationships/hyperlink" Target="http://www.chinastock.com.cn/yhwz_about.do?methodCall=getDetailInfo&amp;docId=6312300" TargetMode="External"/><Relationship Id="rId40" Type="http://schemas.openxmlformats.org/officeDocument/2006/relationships/hyperlink" Target="http://www.cqn.com.cn/cj/content/2018-07/03/content_5991143.htm" TargetMode="External"/><Relationship Id="rId51" Type="http://schemas.openxmlformats.org/officeDocument/2006/relationships/hyperlink" Target="http://www.financialnews.com.cn/jigou/ssgs/201807/t20180725_142813.html" TargetMode="External"/><Relationship Id="rId35" Type="http://schemas.openxmlformats.org/officeDocument/2006/relationships/hyperlink" Target="http://www.gov.cn/xinwen/2018-07/20/content_5308055.htm" TargetMode="External"/><Relationship Id="rId27" Type="http://schemas.openxmlformats.org/officeDocument/2006/relationships/hyperlink" Target="http://www.szse.cn/aboutus/trends/news/t20180720_553794.html" TargetMode="External"/><Relationship Id="rId23" Type="http://schemas.openxmlformats.org/officeDocument/2006/relationships/hyperlink" Target="http://www.xinhuanet.com/fortune/2018-07/23/c_129918606.htm" TargetMode="External"/><Relationship Id="rId38" Type="http://schemas.openxmlformats.org/officeDocument/2006/relationships/hyperlink" Target="http://www.xinhuanet.com/politics/2018-07/24/c_11231707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2018-07-27T07:20:01Z</dcterms:created>
  <dcterms:modified xsi:type="dcterms:W3CDTF">2018-07-27T07:20:01Z</dcterms:modified>
</cp:coreProperties>
</file>