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法讯 - 中国 - 2018年8月3日</w:t>
      </w:r>
    </w:p>
    <w:p>
      <w:pPr>
        <w:pStyle w:val="ReadOnline"/>
      </w:pPr>
      <w:hyperlink r:id="rId9">
        <w:r>
          <w:rPr/>
          <w:t>online version</w:t>
        </w:r>
      </w:hyperlink>
    </w:p>
    <w:p>
      <w:pPr>
        <w:pStyle w:val="Title"/>
      </w:pPr>
      <w:r>
        <w:t>商务部拟修改外国投资者对A股战投管理办法</w:t>
      </w:r>
    </w:p>
    <w:p>
      <w:pPr>
        <w:pStyle w:val="Heading2"/>
      </w:pPr>
      <w:bookmarkStart w:id="21" w:name="资本市场"/>
      <w:r>
        <w:t xml:space="preserve">资本市场</w:t>
      </w:r>
      <w:bookmarkEnd w:id="21"/>
    </w:p>
    <w:p>
      <w:pPr>
        <w:pStyle w:val="Heading3"/>
      </w:pPr>
      <w:bookmarkStart w:id="22" w:name="商务部拟修改外国投资者对a股战投管理办法"/>
      <w:r>
        <w:t xml:space="preserve">商务部拟修改外国投资者对A股战投管理办法</w:t>
      </w:r>
      <w:bookmarkEnd w:id="22"/>
    </w:p>
    <w:p>
      <w:pPr>
        <w:pStyle w:val="FirstParagraph"/>
      </w:pPr>
      <w:r>
        <w:t xml:space="preserve">2018年7月30日，商务部发布了关于《关于修改〈外国投资者对上市公司战略投资管理办法〉的决定（征求意见稿）》（以下简称《投资管理办法》）公开征求意见的通知，规定外国投资者通过战略投资方式取得的上市公司A股股份12个月内不得转让，此前为三年内不得转让。</w:t>
      </w:r>
    </w:p>
    <w:p>
      <w:pPr>
        <w:pStyle w:val="TextBody"/>
      </w:pPr>
      <w:r>
        <w:t xml:space="preserve">新版《投资管理办法》颁发是为了推动新一轮高水平对外开放，引进境外资金和管理经验，改善上市公司治理结构，规范外国投资者对A股上市公司的战略投资行为，维护证券市场秩序，保护上市公司和股东的合法权益。外国投资者对上市公司战略投资的形式也扩充了，新增要约收购的方式。适用于外国投资者通过协议转让、上市公司定向发行新股（包括非公开发行股票募集资金和发行股份购买资产）、要约收购以及国家法律法规规定的其他方式取得并持有一定时期上市公司A股股份的行为。</w:t>
      </w:r>
    </w:p>
    <w:p>
      <w:pPr>
        <w:pStyle w:val="TextBody"/>
      </w:pPr>
      <w:hyperlink r:id="rId23">
        <w:r>
          <w:rPr>
            <w:rStyle w:val="Hyperlink"/>
          </w:rPr>
          <w:t xml:space="preserve">https://economy.china.com/domestic/11173294/20180731/32750553_all.html</w:t>
        </w:r>
      </w:hyperlink>
    </w:p>
    <w:p>
      <w:pPr>
        <w:pStyle w:val="Heading3"/>
      </w:pPr>
      <w:bookmarkStart w:id="24" w:name="中国证监会修改退市制度涉公众健康等重大违法的应退市"/>
      <w:r>
        <w:t xml:space="preserve">中国证监会修改退市制度：涉公众健康等重大违法的应退市</w:t>
      </w:r>
      <w:bookmarkEnd w:id="24"/>
    </w:p>
    <w:p>
      <w:pPr>
        <w:pStyle w:val="FirstParagraph"/>
      </w:pPr>
      <w:r>
        <w:t xml:space="preserve">近日，中国证监会发布了《关于修改〈关于改革完善并严格实施上市公司退市制度的若干意见〉的决定》（以下简称《修改决定》），对2014年《关于改革完善并严格实施上市公司退市制度的若干意见》（以下简称《退市意见》）进行修改。《修改决定》提出，上市公司构成欺诈发行、重大信息披露违法或者其他涉及国家安全、公共安全、生态安全、生产安全和公众健康安全等领域的重大违法行为的，证券交易所应当严格依法作出暂停、终止公司股票上市交易的决定。</w:t>
      </w:r>
    </w:p>
    <w:p>
      <w:pPr>
        <w:pStyle w:val="TextBody"/>
      </w:pPr>
      <w:r>
        <w:t xml:space="preserve">根据《证券法》规定和实践需要，这次修改主要包括以下三个方面。一是完善重大违法强制退市的主要情形，明确上市公司构成欺诈发行、重大信息披露违法或者其他涉及国家安全、公共安全、生态安全、生产安全和公众健康安全等领域的重大违法行为的，证券交易所应当严格依法作出暂停、终止公司股票上市交易的决定的基本制度要求。二是强化证券交易所的退市制度实施主体责任，明确证券交易所应当制定上市公司因重大违法行为暂停上市、终止上市实施规则。三是落实因重大违法强制退市公司控股股东、实际控制人、董事、监事、高级管理人员等主体的相关责任，强调其应当配合有关方面做好退市相关工作、履行相关职责的要求。</w:t>
      </w:r>
    </w:p>
    <w:p>
      <w:pPr>
        <w:pStyle w:val="TextBody"/>
      </w:pPr>
      <w:hyperlink r:id="rId25">
        <w:r>
          <w:rPr>
            <w:rStyle w:val="Hyperlink"/>
          </w:rPr>
          <w:t xml:space="preserve">http://www.chinanews.com/stock/2018/07-27/8582192.shtml</w:t>
        </w:r>
      </w:hyperlink>
    </w:p>
    <w:p>
      <w:pPr>
        <w:pStyle w:val="Heading3"/>
      </w:pPr>
      <w:bookmarkStart w:id="26" w:name="中国人民银行把好货币供给总闸门保持流动性合理充裕"/>
      <w:r>
        <w:t xml:space="preserve">中国人民银行：把好货币供给总闸门，保持流动性合理充裕</w:t>
      </w:r>
      <w:bookmarkEnd w:id="26"/>
    </w:p>
    <w:p>
      <w:pPr>
        <w:pStyle w:val="FirstParagraph"/>
      </w:pPr>
      <w:r>
        <w:t xml:space="preserve">2018年8月1日上午，中国人民银行召开2018年下半年工作电视会议。会议的主要任务是，深入学习贯彻党中央、国务院关于经济金融工作的重要部署，总结上半年工作，分析当前国内外经济金融形势，研究部署下半年重点工作。</w:t>
      </w:r>
    </w:p>
    <w:p>
      <w:pPr>
        <w:pStyle w:val="TextBody"/>
      </w:pPr>
      <w:r>
        <w:t xml:space="preserve">会议要求，今年下半年要重点做好以下工作：一是实施稳健的货币政策，把好货币供给总闸门，加强预调微调，保持流动性合理充裕。鼓励金融机构加大支持实体经济的力度，降低实体经济融资成本。二是积极稳妥防范化解金融风险，把防范化解金融风险和服务实体经济更好结合起来。按照防范化解重大风险攻坚战三年行动方案的部署和要求，认真抓好贯彻落实。三是继续改善小微企业的金融服务。强化考核激励，落实好深化小微企业金融服务的各项政策措施。继续深入推进金融支持打赢脱贫攻坚战三年行动，更加聚焦深度贫困地区，加大对深度贫困地区金融扶贫的工作力度。四是进一步扩大金融开放，稳步推进人民币国际化，有序实现人民币资本项目可兑换。五是更加注重和市场的政策沟通，为金融改革发展稳定营造良好氛围。六是大兴调查研究之风，提高金融宏观管理科学化水平。</w:t>
      </w:r>
    </w:p>
    <w:p>
      <w:pPr>
        <w:pStyle w:val="TextBody"/>
      </w:pPr>
      <w:hyperlink r:id="rId27">
        <w:r>
          <w:rPr>
            <w:rStyle w:val="Hyperlink"/>
          </w:rPr>
          <w:t xml:space="preserve">http://www.chinaforex.com.cn/index.php/cms/item-view-id-47231.shtml</w:t>
        </w:r>
      </w:hyperlink>
    </w:p>
    <w:p>
      <w:pPr>
        <w:pStyle w:val="Heading3"/>
      </w:pPr>
      <w:bookmarkStart w:id="28" w:name="银保监会引导不合规网贷企业实现无风险良性退出"/>
      <w:r>
        <w:t xml:space="preserve">银保监会：引导不合规网贷企业实现无风险良性退出</w:t>
      </w:r>
      <w:bookmarkEnd w:id="28"/>
    </w:p>
    <w:p>
      <w:pPr>
        <w:pStyle w:val="FirstParagraph"/>
      </w:pPr>
      <w:r>
        <w:t xml:space="preserve">从银保监会获悉：近期有关部门认真分析互联网金融专项整治情况，研究下一阶段稳步推进互联网金融和网络借贷专项整治工作的具体措施。中央有关部门、地方政府及行业协会，将进一步加强统筹协调，共同做好风险防范工作。</w:t>
      </w:r>
    </w:p>
    <w:p>
      <w:pPr>
        <w:pStyle w:val="TextBody"/>
      </w:pPr>
      <w:r>
        <w:t xml:space="preserve">据悉，下一步监管重点将继续坚持基本标准、推动行业自律检查、保护合法和打击非法并举，加快研究完善网贷监管长效机制。下半年，将重点做好企业和行业自查工作，即在前期专项整治工作的基础上，组织网贷机构开展自查自纠，行业协会开展自律检查。有关部门将会同行业协会提出问题清单，细化检查标准，今年底前完成机构自查自纠、协会自律检查。根据检查结果，允许合规机构继续从事业务经营，引导不合规机构有序清理债权债务关系，包括通过兼并、重组、转让等方式实现无风险良性退出。对检查中发现涉嫌非法集资、诈骗的机构及时移送司法机关，依法予以处理。</w:t>
      </w:r>
    </w:p>
    <w:p>
      <w:pPr>
        <w:pStyle w:val="TextBody"/>
      </w:pPr>
      <w:hyperlink r:id="rId29">
        <w:r>
          <w:rPr>
            <w:rStyle w:val="Hyperlink"/>
          </w:rPr>
          <w:t xml:space="preserve">http://www.chinaforex.com.cn/index.php/cms/item-view-id-47225.shtml</w:t>
        </w:r>
      </w:hyperlink>
    </w:p>
    <w:p>
      <w:pPr>
        <w:pStyle w:val="Heading2"/>
      </w:pPr>
      <w:bookmarkStart w:id="30" w:name="保险"/>
      <w:r>
        <w:t xml:space="preserve">保险</w:t>
      </w:r>
      <w:bookmarkEnd w:id="30"/>
    </w:p>
    <w:p>
      <w:pPr>
        <w:pStyle w:val="Heading3"/>
      </w:pPr>
      <w:bookmarkStart w:id="31" w:name="最高人民法院发布保险法司法解释"/>
      <w:r>
        <w:t xml:space="preserve">最高人民法院发布保险法司法解释</w:t>
      </w:r>
      <w:bookmarkEnd w:id="31"/>
    </w:p>
    <w:p>
      <w:pPr>
        <w:pStyle w:val="FirstParagraph"/>
      </w:pPr>
      <w:r>
        <w:t xml:space="preserve">最高人民法院近日发布关于适用《中华人民共和国保险法》若干问题的解释，该司法解释明确了保险标的转让、保险合同主体的权利义务、保险代位求偿权等问题。</w:t>
      </w:r>
    </w:p>
    <w:p>
      <w:pPr>
        <w:pStyle w:val="TextBody"/>
      </w:pPr>
      <w:r>
        <w:t xml:space="preserve">司法解释规定，保险标的已交付受让人，但尚未依法办理所有权变更登记，承担保险标的毁损灭失风险的受让人，依照保险法的规定主张行使被保险人权利的，人民法院应予支持。保险人已向投保人履行了保险法规定的提示和明确说明义务，保险标的受让人以保险标的转让后保险人未向其提示或者明确说明为由，主张免除保险人责任的条款不生效的，人民法院不予支持。被保险人死亡，继承保险标的的当事人主张承继被保险人的权利和义务的，人民法院应予支持。</w:t>
      </w:r>
    </w:p>
    <w:p>
      <w:pPr>
        <w:pStyle w:val="TextBody"/>
      </w:pPr>
      <w:hyperlink r:id="rId32">
        <w:r>
          <w:rPr>
            <w:rStyle w:val="Hyperlink"/>
          </w:rPr>
          <w:t xml:space="preserve">http://news.sina.com.cn/o/2018-08-01/doc-ihhacrcf1603154.shtml</w:t>
        </w:r>
      </w:hyperlink>
    </w:p>
    <w:p>
      <w:pPr>
        <w:pStyle w:val="Heading2"/>
      </w:pPr>
      <w:bookmarkStart w:id="33" w:name="行业"/>
      <w:r>
        <w:t xml:space="preserve">行业</w:t>
      </w:r>
      <w:bookmarkEnd w:id="33"/>
    </w:p>
    <w:p>
      <w:pPr>
        <w:pStyle w:val="Heading3"/>
      </w:pPr>
      <w:bookmarkStart w:id="34" w:name="国务院推进国有资本投资运营公司改革试点"/>
      <w:r>
        <w:t xml:space="preserve">国务院：推进国有资本投资、运营公司改革试点</w:t>
      </w:r>
      <w:bookmarkEnd w:id="34"/>
    </w:p>
    <w:p>
      <w:pPr>
        <w:pStyle w:val="FirstParagraph"/>
      </w:pPr>
      <w:r>
        <w:t xml:space="preserve">近日，国务院印发《关于推进国有资本投资、运营公司改革试点的实施意见》（以下简称《意见》）。《意见》指出，通过改组组建国有资本投资、运营公司，改革国有资本授权经营体制，实行国有资本市场化运作。要发挥国有资本投资、运营公司平台作用，推动国有经济布局优化和结构调整，提高国有资本配置和运营效率。通过试点先行，及时研究解决重点难点问题，尽快形成可复制、可推广的经验和模式。</w:t>
      </w:r>
    </w:p>
    <w:p>
      <w:pPr>
        <w:pStyle w:val="TextBody"/>
      </w:pPr>
      <w:r>
        <w:t xml:space="preserve">《意见》明确了国有资本投资、运营公司改革试点的主要内容。一是功能定位。国有资本投资、运营公司均为在国家授权范围内履行国有资本出资人职责的国有独资公司，是国有资本市场化运作的专业平台。二是组建方式。国有资本投资、运营公司可采取改组和新设两种方式设立。三是授权机制。采取国有资产监管机构授予出资人职责和政府直接授予出资人职责两种模式开展国有资本投资、运营公司试点。四是治理结构。国有资本投资、运营公司设立党组织、董事会、经理层，充分发挥党组织的领导作用、董事会的决策作用、经理层的经营管理作用。五是运行模式。包括国有资本投资、运营公司的组织架构、履职行权方式、选人用人机制、财务监管、收益管理及考核机制等。六是监督与约束机制。完善对国有资本投资、运营公司的监督体系，并实施绩效评价。</w:t>
      </w:r>
    </w:p>
    <w:p>
      <w:pPr>
        <w:pStyle w:val="TextBody"/>
      </w:pPr>
      <w:hyperlink r:id="rId35">
        <w:r>
          <w:rPr>
            <w:rStyle w:val="Hyperlink"/>
          </w:rPr>
          <w:t xml:space="preserve">http://www.chinalawinfo.com/News/NewsFullText.aspx?NewsId=92034&amp;NewsType=1</w:t>
        </w:r>
      </w:hyperlink>
    </w:p>
    <w:p>
      <w:pPr>
        <w:pStyle w:val="Heading3"/>
      </w:pPr>
      <w:bookmarkStart w:id="36" w:name="京津冀列入新能源汽车电池回收试点地区"/>
      <w:r>
        <w:t xml:space="preserve">京津冀列入新能源汽车电池回收试点地区</w:t>
      </w:r>
      <w:bookmarkEnd w:id="36"/>
    </w:p>
    <w:p>
      <w:pPr>
        <w:pStyle w:val="FirstParagraph"/>
      </w:pPr>
      <w:r>
        <w:t xml:space="preserve">据工信部官网昨日消息，工业和信息化部、科技部、生态环境部等七部门，日前联合发布相关通知，确定京津冀地区、山西省、上海市、广东省等地以及中国铁塔股份有限公司，为新能源汽车动力蓄电池回收利用试点地区和企业。</w:t>
      </w:r>
    </w:p>
    <w:p>
      <w:pPr>
        <w:pStyle w:val="TextBody"/>
      </w:pPr>
      <w:r>
        <w:t xml:space="preserve">据介绍，根据《关于组织开展新能源汽车动力蓄电池回收利用试点工作的通知》要求，工业和信息化部、科技部、生态环境部、交通运输部、商务部、市场监管总局、能源局组织对有关地区及企业申报的新能源汽车动力蓄电池回收利用试点实施方案进行了评议。通知明确，试点地区及企业，将统筹推进回收利用体系建设。推动汽车生产企业落实生产者责任延伸制度，建立回收服务网点，充分发挥现有售后服务渠道优势，与电池生产、报废汽车回收拆解及综合利用企业合作构建区域化回收利用体系。做好动力蓄电池回收利用相关信息公开，采取回购、以旧换新等措施促进动力蓄电池回收。</w:t>
      </w:r>
    </w:p>
    <w:p>
      <w:pPr>
        <w:pStyle w:val="TextBody"/>
      </w:pPr>
      <w:hyperlink r:id="rId37">
        <w:r>
          <w:rPr>
            <w:rStyle w:val="Hyperlink"/>
          </w:rPr>
          <w:t xml:space="preserve">http://www.xinhuanet.com/2018-07/26/c_1123178209.htm</w:t>
        </w:r>
      </w:hyperlink>
    </w:p>
    <w:p>
      <w:pPr>
        <w:pStyle w:val="Heading3"/>
      </w:pPr>
      <w:bookmarkStart w:id="38" w:name="国务院要求取消围填海地方年度计划指标"/>
      <w:r>
        <w:t xml:space="preserve">国务院要求取消围填海地方年度计划指标</w:t>
      </w:r>
      <w:bookmarkEnd w:id="38"/>
    </w:p>
    <w:p>
      <w:pPr>
        <w:pStyle w:val="FirstParagraph"/>
      </w:pPr>
      <w:r>
        <w:t xml:space="preserve">国务院近日发布《关于加强滨海湿地保护严格管控围填海的通知》（以下简称《通知》），要求完善围填海总量管控，取消围填海地方年度计划指标，除国家重大战略项目外，全面停止新增围填海项目审批。</w:t>
      </w:r>
    </w:p>
    <w:p>
      <w:pPr>
        <w:pStyle w:val="TextBody"/>
      </w:pPr>
      <w:r>
        <w:t xml:space="preserve">根据《通知》，新增围填海项目要同步强化生态保护修复，边施工边修复，最大程度避免降低生态系统服务功能。未经批准或骗取批准的围填海项目，由相关部门严肃查处，责令恢复海域原状，依法从重处罚。《通知》指出，滨海湿地（含沿海滩涂、河口、浅海、红树林、珊瑚礁等）是近海生物重要栖息繁殖地和鸟类迁徙中转站，是珍贵的湿地资源，具有重要的生态功能。近年来，我国滨海湿地保护工作取得了一定成效，但由于长期以来的大规模围填海活动，滨海湿地大面积减少，自然岸线锐减，对海洋和陆地生态系统造成损害。</w:t>
      </w:r>
    </w:p>
    <w:p>
      <w:pPr>
        <w:pStyle w:val="TextBody"/>
      </w:pPr>
      <w:hyperlink r:id="rId39">
        <w:r>
          <w:rPr>
            <w:rStyle w:val="Hyperlink"/>
          </w:rPr>
          <w:t xml:space="preserve">http://www.chinanews.com/gn/2018/07-26/8579870.shtml</w:t>
        </w:r>
      </w:hyperlink>
    </w:p>
    <w:p>
      <w:pPr>
        <w:pStyle w:val="Heading3"/>
      </w:pPr>
      <w:bookmarkStart w:id="40" w:name="北京印发实施方案助力首都打好污染防治攻坚战"/>
      <w:r>
        <w:t xml:space="preserve">北京：印发《实施方案》助力首都打好污染防治攻坚战</w:t>
      </w:r>
      <w:bookmarkEnd w:id="40"/>
    </w:p>
    <w:p>
      <w:pPr>
        <w:pStyle w:val="FirstParagraph"/>
      </w:pPr>
      <w:r>
        <w:t xml:space="preserve">近日，北京市检察院印发《北京市检察机关服务保障首都打好污染防治攻坚战促进生态文明建设的实施方案》（以下简称《实施方案》），为服务保障全面加强首都生态环境保护、坚决打好污染防治攻坚战提供强有力的司法保障。</w:t>
      </w:r>
    </w:p>
    <w:p>
      <w:pPr>
        <w:pStyle w:val="TextBody"/>
      </w:pPr>
      <w:r>
        <w:t xml:space="preserve">《实施方案》明确了五项重点工作，分别是依法严惩危害生态环境犯罪行为，形成强有力法律震慑；强化刑事诉讼监督，充分发挥检察机关与行政执法机关、公安机关合力作用；强化民事行政诉讼监督，维护生态环境法律制度的刚性和权威；充分履行公益诉讼职能，加强首都生态环境公益保护；完善生态检察工作机制，提高工作专业化水平。 《实施方案》共有25条意见，包括指导思想、工作原则、工作重点和工作要求四个部分，以刑事诉讼监督、民事诉讼监督、行政诉讼监督、公益诉讼以及沟通配合等机制建设为重点进行具体任务的部署和细化。通过构建精准化打击、多元化监督、专业化办案、社会化治理、法治化服务相结合的全方位工作格局，切实维护首都生态环境安全。</w:t>
      </w:r>
    </w:p>
    <w:p>
      <w:pPr>
        <w:pStyle w:val="TextBody"/>
      </w:pPr>
      <w:hyperlink r:id="rId41">
        <w:r>
          <w:rPr>
            <w:rStyle w:val="Hyperlink"/>
          </w:rPr>
          <w:t xml:space="preserve">http://news.jcrb.com/jxsw/201807/t20180726_1889365.html</w:t>
        </w:r>
      </w:hyperlink>
    </w:p>
    <w:p>
      <w:pPr>
        <w:pStyle w:val="Heading3"/>
      </w:pPr>
      <w:bookmarkStart w:id="42" w:name="安徽加强质量认证体系建设"/>
      <w:r>
        <w:t xml:space="preserve">安徽：加强质量认证体系建设</w:t>
      </w:r>
      <w:bookmarkEnd w:id="42"/>
    </w:p>
    <w:p>
      <w:pPr>
        <w:pStyle w:val="FirstParagraph"/>
      </w:pPr>
      <w:r>
        <w:t xml:space="preserve">近日，安徽省政府出台 《关于加强质量认证体系建设促进全面质量管理的实施意见》，明确提出通过3年至5年努力，基本完善全省质量认证制度、标准、监管、公共服务和组织领导体系，增强各类企业组织尤其是中小微企业质量管理能力，提升主要产品、工程、服务尤其是消费品、食品农产品质量水平，形成一批具有国际竞争力的质量品牌。</w:t>
      </w:r>
    </w:p>
    <w:p>
      <w:pPr>
        <w:pStyle w:val="TextBody"/>
      </w:pPr>
      <w:r>
        <w:t xml:space="preserve">《实施意见》提出，要完善认证制度体系，强化全面质量管理，扎实做好涉及安全、健康、环保等方面的产品强制性认证工作和认证检测流程；推进自愿性认证制度创新，对新技术、新产品、新业态实施包容审慎监管，引导企业通过自愿性认证。要完善标准体系，应用质量管理先进标准和方法，采用并改造开发先进质量管理工具；鼓励企业运用质量认证方式加强质量管理，鼓励各级政府部门运用先进质量管理方法。要完善监管体系，加强质量认证事中事后监管，推行“互联网+认证监管”方式，建立认证追溯、采信和激励机制；建立以认证监管机构为主导，以执法机构为主力，以法制工作机构为监督的认证执法工作机制；严格落实从业机构及人员责任，对从业机构及从业人员的违法违规和失信行为，依据有关法律法规规章进行处理。</w:t>
      </w:r>
    </w:p>
    <w:p>
      <w:pPr>
        <w:pStyle w:val="TextBody"/>
      </w:pPr>
      <w:hyperlink r:id="rId43">
        <w:r>
          <w:rPr>
            <w:rStyle w:val="Hyperlink"/>
          </w:rPr>
          <w:t xml:space="preserve">http://www.gov.cn/xinwen/2018-07/27/content_5309725.htm</w:t>
        </w:r>
      </w:hyperlink>
    </w:p>
    <w:p>
      <w:pPr>
        <w:pStyle w:val="Heading2"/>
      </w:pPr>
      <w:bookmarkStart w:id="44" w:name="并购"/>
      <w:r>
        <w:t xml:space="preserve">并购</w:t>
      </w:r>
      <w:bookmarkEnd w:id="44"/>
    </w:p>
    <w:p>
      <w:pPr>
        <w:pStyle w:val="Heading3"/>
      </w:pPr>
      <w:bookmarkStart w:id="45" w:name="新天然气收购亚美能源即将完成"/>
      <w:r>
        <w:t xml:space="preserve">新天然气：收购亚美能源即将完成</w:t>
      </w:r>
      <w:bookmarkEnd w:id="45"/>
    </w:p>
    <w:p>
      <w:pPr>
        <w:pStyle w:val="FirstParagraph"/>
      </w:pPr>
      <w:r>
        <w:t xml:space="preserve">新天然气2018年8月2日晚间公告，公司全资孙公司香港利明控股宣布，现金部分要约收购香港上市公司亚美能源在各方面已成为无条件，同时，购股权要约及受限制股份单位要约在各方面已成为无条件。</w:t>
      </w:r>
    </w:p>
    <w:p>
      <w:pPr>
        <w:pStyle w:val="TextBody"/>
      </w:pPr>
      <w:r>
        <w:t xml:space="preserve">根据香港《公司收购、合并及股份回购守则》的相关规定，本次要约收购期限从2018年8月2日至2018年8月16日的14日内开放以供接纳，香港利明将于2018年8月16日就该要约结果作出公布。早前，2018年6月28日，新天然气本次要约收购的所有先决条件均已获达成，7月5日，香港利明已向亚美能源的股东、购股权持有人及受限制股份单位持有人寄发要约文件及接纳表格，7月24日，香港利明宣布，鉴于接纳条件及批准条件均已达成，现金部分要约就接纳而言已成为无条件，其他条件尚未达成。</w:t>
      </w:r>
    </w:p>
    <w:p>
      <w:pPr>
        <w:pStyle w:val="TextBody"/>
      </w:pPr>
      <w:hyperlink r:id="rId46">
        <w:r>
          <w:rPr>
            <w:rStyle w:val="Hyperlink"/>
          </w:rPr>
          <w:t xml:space="preserve">http://company.stcn.com/2018/0802/14423269.shtml</w:t>
        </w:r>
      </w:hyperlink>
    </w:p>
    <w:p>
      <w:pPr>
        <w:pStyle w:val="Heading3"/>
      </w:pPr>
      <w:bookmarkStart w:id="47" w:name="奥特佳拟7.28亿收购国电赛思再次进军锂电产业"/>
      <w:r>
        <w:t xml:space="preserve">奥特佳拟7.28亿收购国电赛思，再次进军锂电产业</w:t>
      </w:r>
      <w:bookmarkEnd w:id="47"/>
    </w:p>
    <w:p>
      <w:pPr>
        <w:pStyle w:val="FirstParagraph"/>
      </w:pPr>
      <w:r>
        <w:t xml:space="preserve">奥特佳布局新能源汽车市场的决心非常坚定。在收购锂电池企业海四达电源失败后，奥特佳又转向了锂电设备企业国电赛思。公司近日公告称，拟通过发行股份及支付现金的方式购买任曌华、任韶清、新余国电持有的国电赛思100%的股权，交易金额初定为7.28亿元。交易对手承诺，国电赛思2018年度、2019年度、2020年度净利润分别不低于5000万元、5900万元和7300万元。</w:t>
      </w:r>
    </w:p>
    <w:p>
      <w:pPr>
        <w:pStyle w:val="TextBody"/>
      </w:pPr>
      <w:r>
        <w:t xml:space="preserve">根据此次收购方案，奥特佳拟以发行股份的方式支付交易对价的60%，总计4.37亿元，总计发行股份数量为1.3亿股；拟以现金方式支付交易对价的40%，总计2.91亿元。同时，募集配套资金总额不超过4.37亿元，拟用于支付本次交易中的全部现金对价、车载双向电源生产线建设项目、新能源乘用车车载电源研发中心建设项目等。奥特佳目前是国内领先的汽车空调压缩机生产企业，2017年汽车空调压缩机的销量达800万台。奥特佳表示，此次交易完成后，国电赛思将成为公司的全资子公司，公司将进入新能源汽车的电源管理领域，包括车载双向充电机、车载双向DC/DC等产品；并且，双方在客户群体、生产制造、管理体系等方面将形成优势互补。</w:t>
      </w:r>
    </w:p>
    <w:p>
      <w:pPr>
        <w:pStyle w:val="TextBody"/>
      </w:pPr>
      <w:hyperlink r:id="rId48">
        <w:r>
          <w:rPr>
            <w:rStyle w:val="Hyperlink"/>
          </w:rPr>
          <w:t xml:space="preserve">http://company.stcn.com/2018/0802/14421769.shtml</w:t>
        </w:r>
      </w:hyperlink>
    </w:p>
    <w:p>
      <w:pPr>
        <w:pStyle w:val="Heading3"/>
      </w:pPr>
      <w:bookmarkStart w:id="49" w:name="中集消防业务布局再一城拟6亿元收购国内居高型消防龙头"/>
      <w:r>
        <w:t xml:space="preserve">中集消防业务布局再一城，拟6亿元收购国内居高型消防龙头</w:t>
      </w:r>
      <w:bookmarkEnd w:id="49"/>
    </w:p>
    <w:p>
      <w:pPr>
        <w:pStyle w:val="FirstParagraph"/>
      </w:pPr>
      <w:r>
        <w:t xml:space="preserve">继中集集团梳理旗下业务，重整控股原港股中国消防后，消防业务再度迎来重要布局。日前，中集集团旗下中集天达发布公告，拟6亿元收购消防车企业沈阳捷通60%的股权。中集天达的执行董事及CEO郑祖华表示，本次交易是中集主导中集天达后，消防车业务的第一个重要收购，具有里程碑意义。</w:t>
      </w:r>
    </w:p>
    <w:p>
      <w:pPr>
        <w:pStyle w:val="TextBody"/>
      </w:pPr>
      <w:r>
        <w:t xml:space="preserve">本次收购主体是中集天达旗下的萃联消防，拟从7位自然人股东收购沈阳捷通60%的股权。另据业绩承诺，标的公司2018年、2019年经调整的净利润将均不得少于8000万元，这两年累计营收不得少于14亿元。据介绍，沈阳捷通是成立于1974年的老牌消防车企业，属于国内居高型消防龙头，在登高平台消防车、云梯消防车、高喷消防车等业务保持优势地位，可生产全系列产品80多个品种，是中国消防车行业综合实力和规模最强的公司，产品远销30多个省市区及南美、中亚、东南亚、非洲等多个国家和地区。该公司在沈阳有两个厂区即沈北新区和沈抚新区，占地约20万平方米。</w:t>
      </w:r>
    </w:p>
    <w:p>
      <w:pPr>
        <w:pStyle w:val="TextBody"/>
      </w:pPr>
      <w:hyperlink r:id="rId50">
        <w:r>
          <w:rPr>
            <w:rStyle w:val="Hyperlink"/>
          </w:rPr>
          <w:t xml:space="preserve">http://company.stcn.com/2018/0801/14421440.shtml</w:t>
        </w:r>
      </w:hyperlink>
    </w:p>
    <w:p>
      <w:pPr>
        <w:pStyle w:val="Heading3"/>
      </w:pPr>
      <w:bookmarkStart w:id="51" w:name="东安动力拟8014万元收购哈尔滨博通100股权"/>
      <w:r>
        <w:t xml:space="preserve">东安动力拟8014万元收购哈尔滨博通100%股权</w:t>
      </w:r>
      <w:bookmarkEnd w:id="51"/>
    </w:p>
    <w:p>
      <w:pPr>
        <w:pStyle w:val="FirstParagraph"/>
      </w:pPr>
      <w:r>
        <w:t xml:space="preserve">东安动力近日发布公告称，拟以8013.55万元收购哈尔滨哈飞汽车工业集团有限公司（以下简称“哈汽集团”）持有的哈尔滨博通汽车部件制造有限公司（以下简称“博通公司”）100%股权，进一步拓展新业务，不断提升公司盈利能力。</w:t>
      </w:r>
    </w:p>
    <w:p>
      <w:pPr>
        <w:pStyle w:val="TextBody"/>
      </w:pPr>
      <w:r>
        <w:t xml:space="preserve">本次交易对手哈汽集团为东安动力控股股东长安汽车集团的全资子公司，为东安动力关联方，博通公司为哈汽集团全资子公司，本次交易构成关联交易。据了解，博通公司主要产品为汽车车体件，也属于汽车零部件制造业，与东安动力业务模式相近，且与长安福特有稳定的合作关系。东安动力表示，受全国汽车产销量增速回落影响，车企竞争将更加激烈，市场也会分化，公司的经营压力进一步增大。另一方面，国家大力推广新能源汽车，主流车厂多数已提出了传统燃油汽车的退出时间表，而公司在新能源汽车领域除增程器和电动车减速器外还没有成熟产品，必须为传统燃油车退出做好准备，当前收购博通公司股权有利于拓展业务。</w:t>
      </w:r>
    </w:p>
    <w:p>
      <w:pPr>
        <w:pStyle w:val="TextBody"/>
      </w:pPr>
      <w:hyperlink r:id="rId52">
        <w:r>
          <w:rPr>
            <w:rStyle w:val="Hyperlink"/>
          </w:rPr>
          <w:t xml:space="preserve">http://company.stcn.com/2018/0731/14419306.shtml</w:t>
        </w:r>
      </w:hyperlink>
    </w:p>
    <w:p>
      <w:pPr>
        <w:pStyle w:val="Heading3"/>
      </w:pPr>
      <w:bookmarkStart w:id="53" w:name="华侨城集团整合云南板块云南旅游拟作价20亿收购文旅科技"/>
      <w:r>
        <w:t xml:space="preserve">华侨城集团整合云南板块，云南旅游拟作价20亿收购文旅科技</w:t>
      </w:r>
      <w:bookmarkEnd w:id="53"/>
    </w:p>
    <w:p>
      <w:pPr>
        <w:pStyle w:val="FirstParagraph"/>
      </w:pPr>
      <w:r>
        <w:t xml:space="preserve">2018年被认为是华侨城集团的“云南年”，华侨城集团明确提出要举全集团之力发展云南板块。2017年4月，华侨城集团战略重组云南世博集团、文投集团进入全面深入实施阶段，华侨城“文化+旅游+城镇化”、“旅游+互联网+金融”创新发展模式布局云南正式拉开大幕。云南旅游近日公告称，公司拟以发行股份及支付现金方式购买文旅科技100%股权，本次交易的标的资产预估作价金额为20.16亿元。</w:t>
      </w:r>
    </w:p>
    <w:p>
      <w:pPr>
        <w:pStyle w:val="TextBody"/>
      </w:pPr>
      <w:r>
        <w:t xml:space="preserve">云南旅游表示，本次交易后，通过置入文旅科技，云南旅游将在文化旅游领域进一步发挥资源优势，在将业务延伸至旅游园区策划设计、高科技游乐设备研发生产、工程代建等的同时，利用文旅科技的科技创新能力，以科技为支持，对景区进行优化和改造，实现云南旅游传统旅游模式的转型升级。此外，相关旅游景区的转型升级能够提升云南旅游下属交通运输、酒店管理等综合旅游服务板块的运营效率，增强各业务联动，构建上市公司旅游服务产业链闭环，加速推进上市公司实现全域旅游综合服务商的战略目标。</w:t>
      </w:r>
    </w:p>
    <w:p>
      <w:pPr>
        <w:pStyle w:val="TextBody"/>
      </w:pPr>
      <w:hyperlink r:id="rId54">
        <w:r>
          <w:rPr>
            <w:rStyle w:val="Hyperlink"/>
          </w:rPr>
          <w:t xml:space="preserve">http://company.stcn.com/2018/0731/14418515.shtml</w:t>
        </w:r>
      </w:hyperlink>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如你不希望再收到易周法讯，请发送电邮至  </w:t>
      </w:r>
      <w:hyperlink r:id="rId10">
        <w:r>
          <w:rPr/>
          <w:t>unsubscribe@charltonslaw.com</w:t>
        </w:r>
      </w:hyperlink>
    </w:p>
    <w:p>
      <w:pPr>
        <w:pStyle w:val="BlackStrips"/>
      </w:pPr>
      <w:r>
        <w:t>Charltons - 法讯 - 中国 - 2018年8月3日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a24e85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54" Type="http://schemas.openxmlformats.org/officeDocument/2006/relationships/hyperlink" Target="http://company.stcn.com/2018/0731/14418515.shtml" TargetMode="External"/><Relationship Id="rId52" Type="http://schemas.openxmlformats.org/officeDocument/2006/relationships/hyperlink" Target="http://company.stcn.com/2018/0731/14419306.shtml" TargetMode="External"/><Relationship Id="rId50" Type="http://schemas.openxmlformats.org/officeDocument/2006/relationships/hyperlink" Target="http://company.stcn.com/2018/0801/14421440.shtml" TargetMode="External"/><Relationship Id="rId48" Type="http://schemas.openxmlformats.org/officeDocument/2006/relationships/hyperlink" Target="http://company.stcn.com/2018/0802/14421769.shtml" TargetMode="External"/><Relationship Id="rId46" Type="http://schemas.openxmlformats.org/officeDocument/2006/relationships/hyperlink" Target="http://company.stcn.com/2018/0802/14423269.shtml" TargetMode="External"/><Relationship Id="rId41" Type="http://schemas.openxmlformats.org/officeDocument/2006/relationships/hyperlink" Target="http://news.jcrb.com/jxsw/201807/t20180726_1889365.html" TargetMode="External"/><Relationship Id="rId32" Type="http://schemas.openxmlformats.org/officeDocument/2006/relationships/hyperlink" Target="http://news.sina.com.cn/o/2018-08-01/doc-ihhacrcf1603154.shtml" TargetMode="External"/><Relationship Id="rId29" Type="http://schemas.openxmlformats.org/officeDocument/2006/relationships/hyperlink" Target="http://www.chinaforex.com.cn/index.php/cms/item-view-id-47225.shtml" TargetMode="External"/><Relationship Id="rId27" Type="http://schemas.openxmlformats.org/officeDocument/2006/relationships/hyperlink" Target="http://www.chinaforex.com.cn/index.php/cms/item-view-id-47231.shtml" TargetMode="External"/><Relationship Id="rId35" Type="http://schemas.openxmlformats.org/officeDocument/2006/relationships/hyperlink" Target="http://www.chinalawinfo.com/News/NewsFullText.aspx?NewsId=92034&amp;NewsType=1" TargetMode="External"/><Relationship Id="rId39" Type="http://schemas.openxmlformats.org/officeDocument/2006/relationships/hyperlink" Target="http://www.chinanews.com/gn/2018/07-26/8579870.shtml" TargetMode="External"/><Relationship Id="rId25" Type="http://schemas.openxmlformats.org/officeDocument/2006/relationships/hyperlink" Target="http://www.chinanews.com/stock/2018/07-27/8582192.shtml" TargetMode="External"/><Relationship Id="rId43" Type="http://schemas.openxmlformats.org/officeDocument/2006/relationships/hyperlink" Target="http://www.gov.cn/xinwen/2018-07/27/content_5309725.htm" TargetMode="External"/><Relationship Id="rId37" Type="http://schemas.openxmlformats.org/officeDocument/2006/relationships/hyperlink" Target="http://www.xinhuanet.com/2018-07/26/c_1123178209.htm" TargetMode="External"/><Relationship Id="rId23" Type="http://schemas.openxmlformats.org/officeDocument/2006/relationships/hyperlink" Target="https://economy.china.com/domestic/11173294/20180731/32750553_all.html" TargetMode="External"/><Relationship Id="rId9" Type="http://schemas.openxmlformats.org/officeDocument/2006/relationships/hyperlink" Target="http://www.charltonslaw.com.cn/shang-wu-bu-ni-xiu-gai-wai-guo-tou-zi-zhe-dui-A-gu-zhan-tou-guan-li-ban-fa"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54" Type="http://schemas.openxmlformats.org/officeDocument/2006/relationships/hyperlink" Target="http://company.stcn.com/2018/0731/14418515.shtml" TargetMode="External"/><Relationship Id="rId52" Type="http://schemas.openxmlformats.org/officeDocument/2006/relationships/hyperlink" Target="http://company.stcn.com/2018/0731/14419306.shtml" TargetMode="External"/><Relationship Id="rId50" Type="http://schemas.openxmlformats.org/officeDocument/2006/relationships/hyperlink" Target="http://company.stcn.com/2018/0801/14421440.shtml" TargetMode="External"/><Relationship Id="rId48" Type="http://schemas.openxmlformats.org/officeDocument/2006/relationships/hyperlink" Target="http://company.stcn.com/2018/0802/14421769.shtml" TargetMode="External"/><Relationship Id="rId46" Type="http://schemas.openxmlformats.org/officeDocument/2006/relationships/hyperlink" Target="http://company.stcn.com/2018/0802/14423269.shtml" TargetMode="External"/><Relationship Id="rId41" Type="http://schemas.openxmlformats.org/officeDocument/2006/relationships/hyperlink" Target="http://news.jcrb.com/jxsw/201807/t20180726_1889365.html" TargetMode="External"/><Relationship Id="rId32" Type="http://schemas.openxmlformats.org/officeDocument/2006/relationships/hyperlink" Target="http://news.sina.com.cn/o/2018-08-01/doc-ihhacrcf1603154.shtml" TargetMode="External"/><Relationship Id="rId29" Type="http://schemas.openxmlformats.org/officeDocument/2006/relationships/hyperlink" Target="http://www.chinaforex.com.cn/index.php/cms/item-view-id-47225.shtml" TargetMode="External"/><Relationship Id="rId27" Type="http://schemas.openxmlformats.org/officeDocument/2006/relationships/hyperlink" Target="http://www.chinaforex.com.cn/index.php/cms/item-view-id-47231.shtml" TargetMode="External"/><Relationship Id="rId35" Type="http://schemas.openxmlformats.org/officeDocument/2006/relationships/hyperlink" Target="http://www.chinalawinfo.com/News/NewsFullText.aspx?NewsId=92034&amp;NewsType=1" TargetMode="External"/><Relationship Id="rId39" Type="http://schemas.openxmlformats.org/officeDocument/2006/relationships/hyperlink" Target="http://www.chinanews.com/gn/2018/07-26/8579870.shtml" TargetMode="External"/><Relationship Id="rId25" Type="http://schemas.openxmlformats.org/officeDocument/2006/relationships/hyperlink" Target="http://www.chinanews.com/stock/2018/07-27/8582192.shtml" TargetMode="External"/><Relationship Id="rId43" Type="http://schemas.openxmlformats.org/officeDocument/2006/relationships/hyperlink" Target="http://www.gov.cn/xinwen/2018-07/27/content_5309725.htm" TargetMode="External"/><Relationship Id="rId37" Type="http://schemas.openxmlformats.org/officeDocument/2006/relationships/hyperlink" Target="http://www.xinhuanet.com/2018-07/26/c_1123178209.htm" TargetMode="External"/><Relationship Id="rId23" Type="http://schemas.openxmlformats.org/officeDocument/2006/relationships/hyperlink" Target="https://economy.china.com/domestic/11173294/20180731/32750553_al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2018-08-03T06:47:03Z</dcterms:created>
  <dcterms:modified xsi:type="dcterms:W3CDTF">2018-08-03T06:47:03Z</dcterms:modified>
</cp:coreProperties>
</file>