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- 2019年7月12日</w:t>
      </w:r>
    </w:p>
    <w:p>
      <w:pPr>
        <w:pStyle w:val="ReadOnline"/>
      </w:pPr>
      <w:hyperlink r:id="rId9">
        <w:r>
          <w:rPr/>
          <w:t>online version</w:t>
        </w:r>
      </w:hyperlink>
    </w:p>
    <w:p>
      <w:pPr>
        <w:pStyle w:val="Title"/>
      </w:pPr>
      <w:r>
        <w:t>科创板信息共享及失信惩戒意见落地</w:t>
      </w:r>
    </w:p>
    <w:p>
      <w:pPr>
        <w:pStyle w:val="Heading2"/>
      </w:pPr>
      <w:bookmarkStart w:id="21" w:name="简介"/>
      <w:r>
        <w:t xml:space="preserve">简介</w:t>
      </w:r>
      <w:bookmarkEnd w:id="21"/>
    </w:p>
    <w:p>
      <w:pPr>
        <w:pStyle w:val="FirstParagraph"/>
      </w:pPr>
      <w:r>
        <w:t xml:space="preserve">科创板信息共享及失信惩戒意见落地；中国证监会批准开展20号胶、尿素和粳米期货交易；证监会发布《证券公司股权管理规定》；银保监会启动银保专项整治，严查股权违规、关联交易；知识产权质押融资政策文件将于近期印发</w:t>
      </w:r>
    </w:p>
    <w:p>
      <w:pPr>
        <w:pStyle w:val="Heading2"/>
      </w:pPr>
      <w:bookmarkStart w:id="22" w:name="资本市场"/>
      <w:r>
        <w:t xml:space="preserve">资本市场</w:t>
      </w:r>
      <w:bookmarkEnd w:id="22"/>
    </w:p>
    <w:p>
      <w:pPr>
        <w:pStyle w:val="Heading3"/>
      </w:pPr>
      <w:bookmarkStart w:id="23" w:name="科创板信息共享及失信惩戒意见落地"/>
      <w:r>
        <w:t xml:space="preserve">科创板信息共享及失信惩戒意见落地</w:t>
      </w:r>
      <w:bookmarkEnd w:id="23"/>
    </w:p>
    <w:p>
      <w:pPr>
        <w:pStyle w:val="FirstParagraph"/>
      </w:pPr>
      <w:r>
        <w:t xml:space="preserve">2019年7月9日，证监会、发改委、央行等八家中央单位联合发布《关于在科创板注册制试点中对相关市场主体加强监管信息共享完善失信联合惩戒机制的意见》（简称《意见》），对科创板试点注册制中做假账、说假话的行为进行联合惩戒。</w:t>
      </w:r>
    </w:p>
    <w:p>
      <w:pPr>
        <w:pStyle w:val="TextBody"/>
      </w:pPr>
      <w:r>
        <w:t xml:space="preserve">证监会有关负责人表示，《意见》为巩固和优化社会信用体系，作了两方面的：一方面规定证监会、上海证券交易所在履行发行上市、再融资、并购重组审核与作出注册决定等职责时，可以依托有关信息平台或监管协作机制，获取发行人、上市公司及其控股股东、实际控制人、董事、监事、高级管理人员的监管信息，发现在其他领域存在法定期限内违法失信记录的，将作为履行发行上市、再融资、并购重组审核及作出注册决定职责的重要参考；另一方面有针对性地强化失信联合惩戒力度，提升跨部门综合监管能力和水平，坚决惩戒各类信息披露违法失信行为，加大资本市场违法违规成本。</w:t>
      </w:r>
    </w:p>
    <w:p>
      <w:pPr>
        <w:pStyle w:val="TextBody"/>
      </w:pPr>
      <w:hyperlink r:id="rId24">
        <w:r>
          <w:rPr>
            <w:rStyle w:val="Hyperlink"/>
          </w:rPr>
          <w:t xml:space="preserve">http://www.cet.com.cn/cjpd/gd/2288238.shtml</w:t>
        </w:r>
      </w:hyperlink>
    </w:p>
    <w:p>
      <w:pPr>
        <w:pStyle w:val="Heading3"/>
      </w:pPr>
      <w:bookmarkStart w:id="25" w:name="中国证监会批准开展20号胶尿素和粳米期货交易"/>
      <w:r>
        <w:t xml:space="preserve">中国证监会批准开展20号胶、尿素和粳米期货交易</w:t>
      </w:r>
      <w:bookmarkEnd w:id="25"/>
    </w:p>
    <w:p>
      <w:pPr>
        <w:pStyle w:val="FirstParagraph"/>
      </w:pPr>
      <w:r>
        <w:t xml:space="preserve">证监会近日批准上海国际能源交易中心、郑州商品交易所、大连商品交易所分别开展20号胶、尿素、粳米期货交易。</w:t>
      </w:r>
    </w:p>
    <w:p>
      <w:pPr>
        <w:pStyle w:val="TextBody"/>
      </w:pPr>
      <w:r>
        <w:t xml:space="preserve">20号胶期货确定为中国境内特定品种，是中国与泰国、印度尼西亚、马来西亚等国家双边贸易的基础性产品，引入境外交易者参与期货交易，将加深中国与相关国家的贸易联系，促进期货市场对外开放。20号胶期货合约正式挂牌交易时间为2019年8月12日，尿素期货合约正式挂牌交易时间为2019年8月9日，粳米期货合约正式挂牌交易时间为2019年8月16日。</w:t>
      </w:r>
    </w:p>
    <w:p>
      <w:pPr>
        <w:pStyle w:val="TextBody"/>
      </w:pPr>
      <w:hyperlink r:id="rId26">
        <w:r>
          <w:rPr>
            <w:rStyle w:val="Hyperlink"/>
          </w:rPr>
          <w:t xml:space="preserve">http://www.chinanews.com/stock/2019/07-05/8885637.shtml</w:t>
        </w:r>
      </w:hyperlink>
    </w:p>
    <w:p>
      <w:pPr>
        <w:pStyle w:val="Heading3"/>
      </w:pPr>
      <w:bookmarkStart w:id="27" w:name="证监会发布证券公司股权管理规定"/>
      <w:r>
        <w:t xml:space="preserve">证监会发布《证券公司股权管理规定》</w:t>
      </w:r>
      <w:bookmarkEnd w:id="27"/>
    </w:p>
    <w:p>
      <w:pPr>
        <w:pStyle w:val="FirstParagraph"/>
      </w:pPr>
      <w:r>
        <w:t xml:space="preserve">证监会发布《证券公司股权管理规定》（以下简称《股权规定》）及《关于实施&lt;证券公司股权管理规定&gt;有关问题的规定》（以下简称《配套规定》），并重启内资证券公司设立审批。</w:t>
      </w:r>
    </w:p>
    <w:p>
      <w:pPr>
        <w:pStyle w:val="TextBody"/>
      </w:pPr>
      <w:r>
        <w:t xml:space="preserve">《股权规定》明确了以下基本制度安排：一是根据证券公司从事业务的复杂程度，区分从事常规传统证券业务的证券公司（下称专业类证券公司），如证券经纪、证券投资咨询、财务顾问等，和从事的业务具有显著杠杆性质且多项业务之间存在交叉风险的证券公司（下称综合类证券公司），如股票期权做市、场外衍生品、股票质押回购等，分别规定股东条件。二是禁止以委托资金等非自有资金入股，防止规避监管，维持股权的稳定性。三是强化内部管理要求，落实主体责任；强化内部追责，完善外部追责。《配套规定》主要明确了以下内容：一是明确设立证券公司或者证券公司变更注册资本、股权、5%以上股权的实际控制人等事项的申报文件要求。二是明确了实施《股权规定》的过渡期安排。</w:t>
      </w:r>
    </w:p>
    <w:p>
      <w:pPr>
        <w:pStyle w:val="TextBody"/>
      </w:pPr>
      <w:r>
        <w:t xml:space="preserve">证监会将相应更新证券公司设立审批等行政许可服务指南，符合条件的投资者可依照《股权规定》、《配套规定》和服务指南的要求，依法报送证券公司设立、股权变更等申请。</w:t>
      </w:r>
    </w:p>
    <w:p>
      <w:pPr>
        <w:pStyle w:val="TextBody"/>
      </w:pPr>
      <w:hyperlink r:id="rId28">
        <w:r>
          <w:rPr>
            <w:rStyle w:val="Hyperlink"/>
          </w:rPr>
          <w:t xml:space="preserve">http://www.csrc.gov.cn/pub/newsite/zjhxwfb/xwdd/201907/t20190705_358947.html</w:t>
        </w:r>
      </w:hyperlink>
    </w:p>
    <w:p>
      <w:pPr>
        <w:pStyle w:val="Heading3"/>
      </w:pPr>
      <w:bookmarkStart w:id="29" w:name="千亿白马股康得新或被强制退市"/>
      <w:r>
        <w:t xml:space="preserve">千亿白马股康得新或被强制退市</w:t>
      </w:r>
      <w:bookmarkEnd w:id="29"/>
    </w:p>
    <w:p>
      <w:pPr>
        <w:pStyle w:val="FirstParagraph"/>
      </w:pPr>
      <w:r>
        <w:t xml:space="preserve">今年7月5日康得新（即*ST康得）收到证监会行政处罚事先告知书，公司近4年虚增119亿元利润，并存在违规担保、未如实披露募资使用情况等违法行为，被证监会顶格处罚。康得新共有28名高管人员集体收到罚单。因触及重大违法情形，深交所将或启动公司重大违法强制退市流程。同月8日起股票停牌。</w:t>
      </w:r>
    </w:p>
    <w:p>
      <w:pPr>
        <w:pStyle w:val="TextBody"/>
      </w:pPr>
      <w:hyperlink r:id="rId30">
        <w:r>
          <w:rPr>
            <w:rStyle w:val="Hyperlink"/>
          </w:rPr>
          <w:t xml:space="preserve">http://www.chinanews.com/fortune/2019/07-08/8887051.shtml</w:t>
        </w:r>
      </w:hyperlink>
    </w:p>
    <w:p>
      <w:pPr>
        <w:pStyle w:val="Heading3"/>
      </w:pPr>
      <w:bookmarkStart w:id="31" w:name="木瓜移动主动撤回系科创板申报首例"/>
      <w:r>
        <w:t xml:space="preserve">木瓜移动主动撤回，系科创板申报首例</w:t>
      </w:r>
      <w:bookmarkEnd w:id="31"/>
    </w:p>
    <w:p>
      <w:pPr>
        <w:pStyle w:val="FirstParagraph"/>
      </w:pPr>
      <w:r>
        <w:t xml:space="preserve">今年7月4日，木瓜移动及保荐人提交了撤回发行上市申请。同月8日，上海证券交易所宣布，同意北京木瓜移动科技股份有限公司及其保荐人提出的撤回科创板发行上市申请，依法决定终止其科创板发行上市审核。这也是科创板发行上市审核中首次出现“主动撤回”。</w:t>
      </w:r>
    </w:p>
    <w:p>
      <w:pPr>
        <w:pStyle w:val="TextBody"/>
      </w:pPr>
      <w:r>
        <w:t xml:space="preserve">上交所于今年3月29日受理木瓜移动科创板发行上市申请。上交所审核中心进行了两轮审核问询，重点关注发行人核心技术、业务实质与业务模式、持续经营能力，最终木瓜移动主动撤回发行上市申请。</w:t>
      </w:r>
    </w:p>
    <w:p>
      <w:pPr>
        <w:pStyle w:val="TextBody"/>
      </w:pPr>
      <w:hyperlink r:id="rId32">
        <w:r>
          <w:rPr>
            <w:rStyle w:val="Hyperlink"/>
          </w:rPr>
          <w:t xml:space="preserve">http://www.xinhuanet.com/money/2019-07/09/c_1124727470.htm</w:t>
        </w:r>
      </w:hyperlink>
    </w:p>
    <w:p>
      <w:pPr>
        <w:pStyle w:val="Heading3"/>
      </w:pPr>
      <w:bookmarkStart w:id="33" w:name="网贷专项整治时间表明确加大追赃挽损力度"/>
      <w:r>
        <w:t xml:space="preserve">网贷专项整治时间表明确，加大追赃挽损力度</w:t>
      </w:r>
      <w:bookmarkEnd w:id="33"/>
    </w:p>
    <w:p>
      <w:pPr>
        <w:pStyle w:val="FirstParagraph"/>
      </w:pPr>
      <w:r>
        <w:t xml:space="preserve">近日，互金整治领导小组和网贷整治领导小组联合召开网络借贷风险专项整治工作座谈会，明确了网贷专项整治时间表。三季度整治工作将加大良性退出力度，四季度将整改基本合格机构纳入监管试点。</w:t>
      </w:r>
    </w:p>
    <w:p>
      <w:pPr>
        <w:pStyle w:val="TextBody"/>
      </w:pPr>
      <w:r>
        <w:t xml:space="preserve">目前，行业风险仍处于高位。从前期检查情况来看，归集资金池、违规放贷、变相承诺保本保息、信息披露不透明等违规行为依然较为普遍。部分平台甚至存在股东自融、制造假标、虚假注资、资金挪用等严重违法违规行为。</w:t>
      </w:r>
    </w:p>
    <w:p>
      <w:pPr>
        <w:pStyle w:val="TextBody"/>
      </w:pPr>
      <w:r>
        <w:t xml:space="preserve">上半年，各部门各地方围绕存量压降、风险出清，对网络借贷机构开展企业自查、行业自律检查与行政核查，督促企业边查边整、即查即改。下一阶段要以转型发展和良性退出为主要工作方向，严禁新增互联网金融机构，及时处置随意变更股东或注册地迁址的机构，引导绝大多数机构通过主动清盘、停业退出或转型发展等方式实现风险出清。下半年，整治工作还将加大对已出险机构追赃挽损的力度，及时回应投资人关切和诉求，畅通投诉和维权渠道。</w:t>
      </w:r>
    </w:p>
    <w:p>
      <w:pPr>
        <w:pStyle w:val="TextBody"/>
      </w:pPr>
      <w:hyperlink r:id="rId34">
        <w:r>
          <w:rPr>
            <w:rStyle w:val="Hyperlink"/>
          </w:rPr>
          <w:t xml:space="preserve">http://www.xinhuanet.com/fortune/2019-07/08/c_1210184196.htm</w:t>
        </w:r>
      </w:hyperlink>
    </w:p>
    <w:p>
      <w:pPr>
        <w:pStyle w:val="Heading2"/>
      </w:pPr>
      <w:bookmarkStart w:id="35" w:name="保险"/>
      <w:r>
        <w:t xml:space="preserve">保险</w:t>
      </w:r>
      <w:bookmarkEnd w:id="35"/>
    </w:p>
    <w:p>
      <w:pPr>
        <w:pStyle w:val="Heading3"/>
      </w:pPr>
      <w:bookmarkStart w:id="36" w:name="银保监会国新办新闻发布"/>
      <w:r>
        <w:t xml:space="preserve">银保监会国新办新闻发布</w:t>
      </w:r>
      <w:bookmarkEnd w:id="36"/>
    </w:p>
    <w:p>
      <w:pPr>
        <w:pStyle w:val="FirstParagraph"/>
      </w:pPr>
      <w:r>
        <w:t xml:space="preserve">2019年7月4日，在国新办新闻发布会上，银保监会介绍了推进金融供给侧结构性改革的措施和成效。上半年，银行保险机构努力增加有效供给，大力支持稳增长。新增人民币贷款9万多亿元，保险业赔款和给付支出达到6200多亿元。银保监会还加大对违法违规行为的处罚力度，两年来处罚金额达60亿元，超过此前十年的处罚金额总和。此外，包商银行被接管之后，在监管部门和各方面的努力下，当前该行各项业务已经恢复正常。安邦集团的风险处置工作已经取得阶段性成效，风险得到了初步控制，没有发生处置风险的风险。</w:t>
      </w:r>
    </w:p>
    <w:p>
      <w:pPr>
        <w:pStyle w:val="TextBody"/>
      </w:pPr>
      <w:hyperlink r:id="rId37">
        <w:r>
          <w:rPr>
            <w:rStyle w:val="Hyperlink"/>
          </w:rPr>
          <w:t xml:space="preserve">http://xw.sinoins.com/2019-07/04/content_297098.htm</w:t>
        </w:r>
      </w:hyperlink>
    </w:p>
    <w:p>
      <w:pPr>
        <w:pStyle w:val="Heading3"/>
      </w:pPr>
      <w:bookmarkStart w:id="38" w:name="银保监会将加强银行理财子公司监管"/>
      <w:r>
        <w:t xml:space="preserve">银保监会将加强银行理财子公司监管</w:t>
      </w:r>
      <w:bookmarkEnd w:id="38"/>
    </w:p>
    <w:p>
      <w:pPr>
        <w:pStyle w:val="FirstParagraph"/>
      </w:pPr>
      <w:r>
        <w:t xml:space="preserve">在2019年7月6日召开的第五届中国财富论坛上，中国银行保险监督管理委员会副主席曹宇表示，监管部门需进一步提高对资管业务的重视程度，把资管行业的发展与监管问题放在更加重要的位置，尚在起步阶段的理财子公司，也将加大对其从严监管。除已出台的《商业银行理财业务监督管理办法》、《商业银行理财子公司管理办法》等配套细则外，当前保险资管和信托业务方面仍有多个相关管理办法在途。在保险资管方面，银保监会抓紧制定《保险资产管理产品业务管理暂行办法》，并针对组合类资管产品、债权投资计划和股权投资计划分别制定了配套细则。目前，相关工作已基本完成，正在按立法程序抓紧推进。在信托业务方面，正在起草《信托公司资金信托管理办法》等制度规则，形成以监管部门为主体，行业协会自律功能、信托登记公司市场约束功能、信托业保障基金保障机制为补充的信托业风险防控体系。</w:t>
      </w:r>
    </w:p>
    <w:p>
      <w:pPr>
        <w:pStyle w:val="TextBody"/>
      </w:pPr>
      <w:hyperlink r:id="rId39">
        <w:r>
          <w:rPr>
            <w:rStyle w:val="Hyperlink"/>
          </w:rPr>
          <w:t xml:space="preserve">http://www.xinhuanet.com/money/2019-07/08/c_1124722360.htm</w:t>
        </w:r>
      </w:hyperlink>
    </w:p>
    <w:p>
      <w:pPr>
        <w:pStyle w:val="Heading3"/>
      </w:pPr>
      <w:bookmarkStart w:id="40" w:name="银保监会启动银保专项整治严查股权违规关联交易"/>
      <w:r>
        <w:t xml:space="preserve">银保监会启动银保专项整治，严查股权违规、关联交易</w:t>
      </w:r>
      <w:bookmarkEnd w:id="40"/>
    </w:p>
    <w:p>
      <w:pPr>
        <w:pStyle w:val="FirstParagraph"/>
      </w:pPr>
      <w:r>
        <w:t xml:space="preserve">银保监会已于近期下发《中国银保监会办公厅关于开展银行保险机构股权和关联交易专项整治工作的通知》，从银行业、保险业机构股权获得的合规性、资金来源的真实性、关联交易报告及信息披露的合规性等方面做出了规范。</w:t>
      </w:r>
    </w:p>
    <w:p>
      <w:pPr>
        <w:pStyle w:val="TextBody"/>
      </w:pPr>
      <w:r>
        <w:t xml:space="preserve">银保监会表示，此次整治工作的目标为严厉打击银行保险机构股东股权违规行为以及通过关联交易进行利益输送等乱象行为。此次整顿分为银行保险机构自查自纠及银保监局现场检查两部分。检查范围为被查机构截至2019年6月30日的股权状况，及2018年1月1日至2019年6月30日期间的关联交易状况，可根据实际情况适当追溯和延伸。银保监会要求各银行保险法人机构应按照股权和关联交易专项整治工作要点，形成股权和关联交易专项整治工作自查报告并填写相关表格，分别于2019年8月15日前和12月10日前报送自查报告及整改报告。</w:t>
      </w:r>
    </w:p>
    <w:p>
      <w:pPr>
        <w:pStyle w:val="TextBody"/>
      </w:pPr>
      <w:hyperlink r:id="rId41">
        <w:r>
          <w:rPr>
            <w:rStyle w:val="Hyperlink"/>
          </w:rPr>
          <w:t xml:space="preserve">https://finance.sina.com.cn/money/bank/bank_hydt/2019-07-08/doc-ihytcerm2243698.shtml</w:t>
        </w:r>
      </w:hyperlink>
    </w:p>
    <w:p>
      <w:pPr>
        <w:pStyle w:val="Heading2"/>
      </w:pPr>
      <w:bookmarkStart w:id="42" w:name="税收"/>
      <w:r>
        <w:t xml:space="preserve">税收</w:t>
      </w:r>
      <w:bookmarkEnd w:id="42"/>
    </w:p>
    <w:p>
      <w:pPr>
        <w:pStyle w:val="Heading3"/>
      </w:pPr>
      <w:bookmarkStart w:id="43" w:name="国务院全面推开划转部分国有资本充实社保基金"/>
      <w:r>
        <w:t xml:space="preserve">国务院：全面推开划转部分国有资本充实社保基金</w:t>
      </w:r>
      <w:bookmarkEnd w:id="43"/>
    </w:p>
    <w:p>
      <w:pPr>
        <w:pStyle w:val="FirstParagraph"/>
      </w:pPr>
      <w:r>
        <w:t xml:space="preserve">国务院总理李克强主持召开2019年7月10日国务院常务会议，确定进一步稳外贸措施，以扩大开放助力稳增长稳就业；要求切实做好降低社保费率工作，决定全面推开划转部分国有资本充实社保基金；部署中央预算执行和其他财政收支审计查出问题整改工作。</w:t>
      </w:r>
    </w:p>
    <w:p>
      <w:pPr>
        <w:pStyle w:val="TextBody"/>
      </w:pPr>
      <w:r>
        <w:t xml:space="preserve">会议要求，必须确保社保费率降低、必须确保基本养老金按时足额发放。稳定缴费方式，在落实职工基本养老保险单位缴费比例不高于16%的前提下，对个别省份存在的省内费率、缴费基数标准不统一等问题，今年原则上不作政策调整。各地要切实担起基本养老金发放主体责任，确保一户不落。对省级统筹要稳妥推进。会议决定，今年全面推开将中央和地方国有及国有控股大中型企业和金融机构的10%国有股权，划转至社保基金会和地方相关承接主体，并作为财务投资者，依照规定享有收益权等权利。降低社保费率，既要使降费政策落实到位，也要应收尽收，实现按时足额发放基本养老金。</w:t>
      </w:r>
    </w:p>
    <w:p>
      <w:pPr>
        <w:pStyle w:val="TextBody"/>
      </w:pPr>
      <w:hyperlink r:id="rId44">
        <w:r>
          <w:rPr>
            <w:rStyle w:val="Hyperlink"/>
          </w:rPr>
          <w:t xml:space="preserve">https://finance.sina.com.cn/roll/2019-07-11/doc-ihytcerm2776137.shtml</w:t>
        </w:r>
      </w:hyperlink>
    </w:p>
    <w:p>
      <w:pPr>
        <w:pStyle w:val="Heading2"/>
      </w:pPr>
      <w:bookmarkStart w:id="45" w:name="知产"/>
      <w:r>
        <w:t xml:space="preserve">知产</w:t>
      </w:r>
      <w:bookmarkEnd w:id="45"/>
    </w:p>
    <w:p>
      <w:pPr>
        <w:pStyle w:val="Heading3"/>
      </w:pPr>
      <w:bookmarkStart w:id="46" w:name="知识产权质押融资政策文件将于近期印发"/>
      <w:r>
        <w:t xml:space="preserve">知识产权质押融资政策文件将于近期印发</w:t>
      </w:r>
      <w:bookmarkEnd w:id="46"/>
    </w:p>
    <w:p>
      <w:pPr>
        <w:pStyle w:val="FirstParagraph"/>
      </w:pPr>
      <w:r>
        <w:t xml:space="preserve">据国家知识产权局2019年第三季度例行新闻发布会透露，该局正在抓紧推进知识产权质押融资政策文件，重点优化知识产权质押融资服务体系，加强服务的创新，健全风险管理和完善工作保障，进一步强化知识产权质押融资工作，文件将于近期印发。国家知识产权局将进一步加强与银保监会等部门的协作，有效推进银行等金融机构建立完善知识产权质押贷款工作机制，引导银行业建立符合知识产权特点的信贷审批制度和利率定价机制，让更多的创新型中小微企业通过知识产权质押融资发展；进一步推广知识产权质押融资保证保险等险种，持续完善风险分担机制；进一步推动做好银企对接服务、加强质押登记服务等多项举措，持续优化营商环境，扩大知识产权质押融资覆盖范围。</w:t>
      </w:r>
    </w:p>
    <w:p>
      <w:pPr>
        <w:pStyle w:val="TextBody"/>
      </w:pPr>
      <w:hyperlink r:id="rId47">
        <w:r>
          <w:rPr>
            <w:rStyle w:val="Hyperlink"/>
          </w:rPr>
          <w:t xml:space="preserve">http://www.ifnews.com/broadcast/52643.html</w:t>
        </w:r>
      </w:hyperlink>
    </w:p>
    <w:p>
      <w:pPr>
        <w:pStyle w:val="Heading3"/>
      </w:pPr>
      <w:bookmarkStart w:id="48" w:name="中俄在量子计算领域积极合作"/>
      <w:r>
        <w:t xml:space="preserve">中俄在量子计算领域积极合作</w:t>
      </w:r>
      <w:bookmarkEnd w:id="48"/>
    </w:p>
    <w:p>
      <w:pPr>
        <w:pStyle w:val="FirstParagraph"/>
      </w:pPr>
      <w:r>
        <w:t xml:space="preserve">在莫斯科举行的第20届纳米结构中光与物质相互作用物理国际会议期间，西湖大学光学实验室科学主任阿列克谢·卡沃金教授表示，中俄科学家在量子技术领域积极合作，在半导体量子计算联合研究方面更是突飞猛进。目前，在微电子领域，中国的发展速度要高于俄罗斯，一些中国公司正在追求移动电话、计算机技术和通信设备领域的世界领先地位，而俄罗斯在纳米物理领域的科技潜力极高，国内国外的俄罗斯科学家在低维系统物理学发展方面作用突出。</w:t>
      </w:r>
    </w:p>
    <w:p>
      <w:pPr>
        <w:pStyle w:val="TextBody"/>
      </w:pPr>
      <w:hyperlink r:id="rId49">
        <w:r>
          <w:rPr>
            <w:rStyle w:val="Hyperlink"/>
          </w:rPr>
          <w:t xml:space="preserve">http://www.chinanews.com/it/2019/07-09/8888060.shtml</w:t>
        </w:r>
      </w:hyperlink>
    </w:p>
    <w:p>
      <w:pPr>
        <w:pStyle w:val="Heading2"/>
      </w:pPr>
      <w:bookmarkStart w:id="50" w:name="行业"/>
      <w:r>
        <w:t xml:space="preserve">行业</w:t>
      </w:r>
      <w:bookmarkEnd w:id="50"/>
    </w:p>
    <w:p>
      <w:pPr>
        <w:pStyle w:val="Heading3"/>
      </w:pPr>
      <w:bookmarkStart w:id="51" w:name="人民币位列全球第五大支付货币"/>
      <w:r>
        <w:t xml:space="preserve">人民币位列全球第五大支付货币</w:t>
      </w:r>
      <w:bookmarkEnd w:id="51"/>
    </w:p>
    <w:p>
      <w:pPr>
        <w:pStyle w:val="FirstParagraph"/>
      </w:pPr>
      <w:r>
        <w:t xml:space="preserve">2019年7月6日，在2019年国际货币论坛上，中国人民大学国际货币研究所（IMI）发布《人民币国际化报告2019》。</w:t>
      </w:r>
    </w:p>
    <w:p>
      <w:pPr>
        <w:pStyle w:val="TextBody"/>
      </w:pPr>
      <w:r>
        <w:t xml:space="preserve">《报告》显示，2018年末，人民币国际化指数（RII）为2.95%，较2017年初回升了95.8%，实现强势反弹，SWIFT官方数据显示，人民币位列全球第五大支付货币。今年第一季度，RII的初步匡算值为3.2%，位列美元、欧元、日元、英镑之后。2009年底，RII只有0.02%，人民币在国际市场上的使用几乎完全空白。截至2018年底，RII达到2.95%。目前，在全球范围内，国际贸易的人民币结算份额为2.05%；在包括直接投资、国际信贷、国际债券与票据等在内的国际金融交易中，人民币计价的综合占比为4.9%；在全球官方外汇储备资产中，人民币占比为1.89%。</w:t>
      </w:r>
    </w:p>
    <w:p>
      <w:pPr>
        <w:pStyle w:val="TextBody"/>
      </w:pPr>
      <w:hyperlink r:id="rId52">
        <w:r>
          <w:rPr>
            <w:rStyle w:val="Hyperlink"/>
          </w:rPr>
          <w:t xml:space="preserve">http://xw.sinoins.com/2019-07/09/content_297501.htm</w:t>
        </w:r>
      </w:hyperlink>
    </w:p>
    <w:p>
      <w:pPr>
        <w:pStyle w:val="Heading3"/>
      </w:pPr>
      <w:bookmarkStart w:id="53" w:name="新机动车维修管理规定施行汽车后市场行业迎来政策利好"/>
      <w:r>
        <w:t xml:space="preserve">新《机动车维修管理规定》施行，汽车后市场行业迎来政策利好</w:t>
      </w:r>
      <w:bookmarkEnd w:id="53"/>
    </w:p>
    <w:p>
      <w:pPr>
        <w:pStyle w:val="FirstParagraph"/>
      </w:pPr>
      <w:r>
        <w:t xml:space="preserve">2019年7月8日，交通运输部发布关于修改《机动车维修管理规定》（下简称《规定》）的决定，自发布之日起施行。新规对机动车维修经营进行更为规范的要求，旨在促进行业良性健康发展，鼓励连锁型维修企业合规发展。有观点认为，随着《规定》的施行，汽车后市场迎来政策利好。</w:t>
      </w:r>
    </w:p>
    <w:p>
      <w:pPr>
        <w:pStyle w:val="TextBody"/>
      </w:pPr>
      <w:hyperlink r:id="rId54">
        <w:r>
          <w:rPr>
            <w:rStyle w:val="Hyperlink"/>
          </w:rPr>
          <w:t xml:space="preserve">http://www.ifnews.com/broadcast/52640.html</w:t>
        </w:r>
      </w:hyperlink>
    </w:p>
    <w:p>
      <w:pPr>
        <w:pStyle w:val="Heading3"/>
      </w:pPr>
      <w:bookmarkStart w:id="55" w:name="进出口银行非洲业务已覆盖46个国家"/>
      <w:r>
        <w:t xml:space="preserve">进出口银行非洲业务已覆盖46个国家</w:t>
      </w:r>
      <w:bookmarkEnd w:id="55"/>
    </w:p>
    <w:p>
      <w:pPr>
        <w:pStyle w:val="FirstParagraph"/>
      </w:pPr>
      <w:r>
        <w:t xml:space="preserve">截至目前，中国进出口银行非洲业务已覆盖46个国家，累计签约金额超过6000亿元人民币，支持了一大批经济社会效益突出的重大项目。进出口银行未来将着力做好对非业务发展规划；支持投建营一体化；严控项目建设质量；践行新发展理念，加大对绿色清洁能源、新能源和可再生资源开发利用等领域的扶持力度。</w:t>
      </w:r>
    </w:p>
    <w:p>
      <w:pPr>
        <w:pStyle w:val="TextBody"/>
      </w:pPr>
      <w:hyperlink r:id="rId56">
        <w:r>
          <w:rPr>
            <w:rStyle w:val="Hyperlink"/>
          </w:rPr>
          <w:t xml:space="preserve">http://xw.sinoins.com/2019-07/09/content_297507.htm</w:t>
        </w:r>
      </w:hyperlink>
    </w:p>
    <w:p>
      <w:pPr>
        <w:pStyle w:val="Heading3"/>
      </w:pPr>
      <w:bookmarkStart w:id="57" w:name="gartner最新报告腾讯云iaas市场增速全球第一"/>
      <w:r>
        <w:t xml:space="preserve">Gartner最新报告：腾讯云IaaS市场增速全球第一</w:t>
      </w:r>
      <w:bookmarkEnd w:id="57"/>
    </w:p>
    <w:p>
      <w:pPr>
        <w:pStyle w:val="FirstParagraph"/>
      </w:pPr>
      <w:r>
        <w:t xml:space="preserve">国际权威咨询机构Gartner发布最新的《Market Share Analysis: IaaS and IUS, Worldwide, 2018》。报告显示，腾讯云2018年在IaaS（基础设施即服务）及IUS（基础设施公用事业服务）领域的增速达到128%，整体市场份额从2017年的全球18位上升到2018年的全球第6位，增速全球第一。</w:t>
      </w:r>
    </w:p>
    <w:p>
      <w:pPr>
        <w:pStyle w:val="TextBody"/>
      </w:pPr>
      <w:hyperlink r:id="rId58">
        <w:r>
          <w:rPr>
            <w:rStyle w:val="Hyperlink"/>
          </w:rPr>
          <w:t xml:space="preserve">http://www.chinanews.com/business/2019/07-10/8889961.shtml</w:t>
        </w:r>
      </w:hyperlink>
    </w:p>
    <w:p>
      <w:pPr>
        <w:pStyle w:val="Heading2"/>
      </w:pPr>
      <w:bookmarkStart w:id="59" w:name="并购"/>
      <w:r>
        <w:t xml:space="preserve">并购</w:t>
      </w:r>
      <w:bookmarkEnd w:id="59"/>
    </w:p>
    <w:p>
      <w:pPr>
        <w:pStyle w:val="Heading3"/>
      </w:pPr>
      <w:bookmarkStart w:id="60" w:name="中国保利集团有限公司与中国中丝集团有限公司实施重组"/>
      <w:r>
        <w:t xml:space="preserve">中国保利集团有限公司与中国中丝集团有限公司实施重组</w:t>
      </w:r>
      <w:bookmarkEnd w:id="60"/>
    </w:p>
    <w:p>
      <w:pPr>
        <w:pStyle w:val="FirstParagraph"/>
      </w:pPr>
      <w:r>
        <w:t xml:space="preserve">国务院国资委今年7月8日发布消息，中国保利集团有限公司与中国中丝集团有限公司实施重组，中国中丝集团有限公司整体无偿划转进入中国保利集团有限公司，不再作为国资委直接监管企业。</w:t>
      </w:r>
    </w:p>
    <w:p>
      <w:pPr>
        <w:pStyle w:val="TextBody"/>
      </w:pPr>
      <w:r>
        <w:t xml:space="preserve">中国中丝集团有限公司是国务院国资委直接监管的唯一以丝绸为主业的中央企业集团。该集团2016年底拥有全资和控股子公司36家；资产总额52亿元，负债总额50.71亿元；当年营业总收入93.32亿元，利润总额5040.73万元，净利润887.55万元；国有资本保值增值率38.91%。中国保利集团有限公司于1992年经国务院、中央军委批准组建。2018年，营业收入突破3000亿元，利润总额超过400亿元。截至2018年底，集团资产总额超过万亿，位居世界500强第312位。中国保利集团拥有11家主要二级子公司，企业职工9万余人，并在境内外拥有5家上市公司。</w:t>
      </w:r>
    </w:p>
    <w:p>
      <w:pPr>
        <w:pStyle w:val="TextBody"/>
      </w:pPr>
      <w:r>
        <w:t xml:space="preserve">按照国务院国资委的规划，2019年将深入推进整合融合，国有企业加速通过并购重组，下一步重组将继续聚焦深化供给侧结构性改革，推动煤炭、电力、造船、化工、装备制造等行业加大去产能力度，提升行业集中度，同时，还要通过研发资源的整合，加快突破一批关键核心技术。</w:t>
      </w:r>
    </w:p>
    <w:p>
      <w:pPr>
        <w:pStyle w:val="TextBody"/>
      </w:pPr>
      <w:hyperlink r:id="rId61">
        <w:r>
          <w:rPr>
            <w:rStyle w:val="Hyperlink"/>
          </w:rPr>
          <w:t xml:space="preserve">https://finance.sina.com.cn/roll/2019-07-08/doc-ihytcitm0475240.shtml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- 2019年7月12日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f7e899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4" Type="http://schemas.openxmlformats.org/officeDocument/2006/relationships/hyperlink" Target="http://www.cet.com.cn/cjpd/gd/2288238.shtml" TargetMode="External"/><Relationship Id="rId58" Type="http://schemas.openxmlformats.org/officeDocument/2006/relationships/hyperlink" Target="http://www.chinanews.com/business/2019/07-10/8889961.shtml" TargetMode="External"/><Relationship Id="rId30" Type="http://schemas.openxmlformats.org/officeDocument/2006/relationships/hyperlink" Target="http://www.chinanews.com/fortune/2019/07-08/8887051.shtml" TargetMode="External"/><Relationship Id="rId49" Type="http://schemas.openxmlformats.org/officeDocument/2006/relationships/hyperlink" Target="http://www.chinanews.com/it/2019/07-09/8888060.shtml" TargetMode="External"/><Relationship Id="rId26" Type="http://schemas.openxmlformats.org/officeDocument/2006/relationships/hyperlink" Target="http://www.chinanews.com/stock/2019/07-05/8885637.shtml" TargetMode="External"/><Relationship Id="rId28" Type="http://schemas.openxmlformats.org/officeDocument/2006/relationships/hyperlink" Target="http://www.csrc.gov.cn/pub/newsite/zjhxwfb/xwdd/201907/t20190705_358947.html" TargetMode="External"/><Relationship Id="rId54" Type="http://schemas.openxmlformats.org/officeDocument/2006/relationships/hyperlink" Target="http://www.ifnews.com/broadcast/52640.html" TargetMode="External"/><Relationship Id="rId47" Type="http://schemas.openxmlformats.org/officeDocument/2006/relationships/hyperlink" Target="http://www.ifnews.com/broadcast/52643.html" TargetMode="External"/><Relationship Id="rId34" Type="http://schemas.openxmlformats.org/officeDocument/2006/relationships/hyperlink" Target="http://www.xinhuanet.com/fortune/2019-07/08/c_1210184196.htm" TargetMode="External"/><Relationship Id="rId39" Type="http://schemas.openxmlformats.org/officeDocument/2006/relationships/hyperlink" Target="http://www.xinhuanet.com/money/2019-07/08/c_1124722360.htm" TargetMode="External"/><Relationship Id="rId32" Type="http://schemas.openxmlformats.org/officeDocument/2006/relationships/hyperlink" Target="http://www.xinhuanet.com/money/2019-07/09/c_1124727470.htm" TargetMode="External"/><Relationship Id="rId37" Type="http://schemas.openxmlformats.org/officeDocument/2006/relationships/hyperlink" Target="http://xw.sinoins.com/2019-07/04/content_297098.htm" TargetMode="External"/><Relationship Id="rId52" Type="http://schemas.openxmlformats.org/officeDocument/2006/relationships/hyperlink" Target="http://xw.sinoins.com/2019-07/09/content_297501.htm" TargetMode="External"/><Relationship Id="rId56" Type="http://schemas.openxmlformats.org/officeDocument/2006/relationships/hyperlink" Target="http://xw.sinoins.com/2019-07/09/content_297507.htm" TargetMode="External"/><Relationship Id="rId41" Type="http://schemas.openxmlformats.org/officeDocument/2006/relationships/hyperlink" Target="https://finance.sina.com.cn/money/bank/bank_hydt/2019-07-08/doc-ihytcerm2243698.shtml" TargetMode="External"/><Relationship Id="rId61" Type="http://schemas.openxmlformats.org/officeDocument/2006/relationships/hyperlink" Target="https://finance.sina.com.cn/roll/2019-07-08/doc-ihytcitm0475240.shtml" TargetMode="External"/><Relationship Id="rId44" Type="http://schemas.openxmlformats.org/officeDocument/2006/relationships/hyperlink" Target="https://finance.sina.com.cn/roll/2019-07-11/doc-ihytcerm2776137.shtml" TargetMode="External"/><Relationship Id="rId9" Type="http://schemas.openxmlformats.org/officeDocument/2006/relationships/hyperlink" Target="http://www.charltonslaw.com.cn/ke-chuang-ban-xin-xi-gong-xiang-ji-shi-xin-cheng-jie-yi-jian-luo-d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4" Type="http://schemas.openxmlformats.org/officeDocument/2006/relationships/hyperlink" Target="http://www.cet.com.cn/cjpd/gd/2288238.shtml" TargetMode="External"/><Relationship Id="rId58" Type="http://schemas.openxmlformats.org/officeDocument/2006/relationships/hyperlink" Target="http://www.chinanews.com/business/2019/07-10/8889961.shtml" TargetMode="External"/><Relationship Id="rId30" Type="http://schemas.openxmlformats.org/officeDocument/2006/relationships/hyperlink" Target="http://www.chinanews.com/fortune/2019/07-08/8887051.shtml" TargetMode="External"/><Relationship Id="rId49" Type="http://schemas.openxmlformats.org/officeDocument/2006/relationships/hyperlink" Target="http://www.chinanews.com/it/2019/07-09/8888060.shtml" TargetMode="External"/><Relationship Id="rId26" Type="http://schemas.openxmlformats.org/officeDocument/2006/relationships/hyperlink" Target="http://www.chinanews.com/stock/2019/07-05/8885637.shtml" TargetMode="External"/><Relationship Id="rId28" Type="http://schemas.openxmlformats.org/officeDocument/2006/relationships/hyperlink" Target="http://www.csrc.gov.cn/pub/newsite/zjhxwfb/xwdd/201907/t20190705_358947.html" TargetMode="External"/><Relationship Id="rId54" Type="http://schemas.openxmlformats.org/officeDocument/2006/relationships/hyperlink" Target="http://www.ifnews.com/broadcast/52640.html" TargetMode="External"/><Relationship Id="rId47" Type="http://schemas.openxmlformats.org/officeDocument/2006/relationships/hyperlink" Target="http://www.ifnews.com/broadcast/52643.html" TargetMode="External"/><Relationship Id="rId34" Type="http://schemas.openxmlformats.org/officeDocument/2006/relationships/hyperlink" Target="http://www.xinhuanet.com/fortune/2019-07/08/c_1210184196.htm" TargetMode="External"/><Relationship Id="rId39" Type="http://schemas.openxmlformats.org/officeDocument/2006/relationships/hyperlink" Target="http://www.xinhuanet.com/money/2019-07/08/c_1124722360.htm" TargetMode="External"/><Relationship Id="rId32" Type="http://schemas.openxmlformats.org/officeDocument/2006/relationships/hyperlink" Target="http://www.xinhuanet.com/money/2019-07/09/c_1124727470.htm" TargetMode="External"/><Relationship Id="rId37" Type="http://schemas.openxmlformats.org/officeDocument/2006/relationships/hyperlink" Target="http://xw.sinoins.com/2019-07/04/content_297098.htm" TargetMode="External"/><Relationship Id="rId52" Type="http://schemas.openxmlformats.org/officeDocument/2006/relationships/hyperlink" Target="http://xw.sinoins.com/2019-07/09/content_297501.htm" TargetMode="External"/><Relationship Id="rId56" Type="http://schemas.openxmlformats.org/officeDocument/2006/relationships/hyperlink" Target="http://xw.sinoins.com/2019-07/09/content_297507.htm" TargetMode="External"/><Relationship Id="rId41" Type="http://schemas.openxmlformats.org/officeDocument/2006/relationships/hyperlink" Target="https://finance.sina.com.cn/money/bank/bank_hydt/2019-07-08/doc-ihytcerm2243698.shtml" TargetMode="External"/><Relationship Id="rId61" Type="http://schemas.openxmlformats.org/officeDocument/2006/relationships/hyperlink" Target="https://finance.sina.com.cn/roll/2019-07-08/doc-ihytcitm0475240.shtml" TargetMode="External"/><Relationship Id="rId44" Type="http://schemas.openxmlformats.org/officeDocument/2006/relationships/hyperlink" Target="https://finance.sina.com.cn/roll/2019-07-11/doc-ihytcerm2776137.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2019-07-12T02:38:35Z</dcterms:created>
  <dcterms:modified xsi:type="dcterms:W3CDTF">2019-07-12T02:38:35Z</dcterms:modified>
</cp:coreProperties>
</file>