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- 2019年8月2日</w:t>
      </w:r>
    </w:p>
    <w:p>
      <w:pPr>
        <w:pStyle w:val="ReadOnline"/>
      </w:pPr>
      <w:hyperlink r:id="rId9">
        <w:r>
          <w:rPr/>
          <w:t>online version</w:t>
        </w:r>
      </w:hyperlink>
    </w:p>
    <w:p>
      <w:pPr>
        <w:pStyle w:val="Title"/>
      </w:pPr>
      <w:r>
        <w:t>证监会发布《境外证券期货交易所驻华代表机构管理办法》</w:t>
      </w:r>
    </w:p>
    <w:p>
      <w:pPr>
        <w:pStyle w:val="Heading2"/>
      </w:pPr>
      <w:bookmarkStart w:id="21" w:name="简介"/>
      <w:r>
        <w:t xml:space="preserve">简介</w:t>
      </w:r>
      <w:bookmarkEnd w:id="21"/>
    </w:p>
    <w:p>
      <w:pPr>
        <w:pStyle w:val="FirstParagraph"/>
      </w:pPr>
      <w:r>
        <w:t xml:space="preserve">证监会发布《境外证券期货交易所驻华代表机构管理办法》；证监会发布《公开募集证券投资基金信息披露管理办法》及相关配套规则</w:t>
      </w:r>
    </w:p>
    <w:p>
      <w:pPr>
        <w:pStyle w:val="Heading2"/>
      </w:pPr>
      <w:bookmarkStart w:id="22" w:name="资本市场"/>
      <w:r>
        <w:t xml:space="preserve">资本市场</w:t>
      </w:r>
      <w:bookmarkEnd w:id="22"/>
    </w:p>
    <w:p>
      <w:pPr>
        <w:pStyle w:val="Heading3"/>
      </w:pPr>
      <w:bookmarkStart w:id="23" w:name="证监会发布境外证券期货交易所驻华代表机构管理办法"/>
      <w:r>
        <w:t xml:space="preserve">证监会发布《境外证券期货交易所驻华代表机构管理办法》</w:t>
      </w:r>
      <w:bookmarkEnd w:id="23"/>
    </w:p>
    <w:p>
      <w:pPr>
        <w:pStyle w:val="FirstParagraph"/>
      </w:pPr>
      <w:r>
        <w:t xml:space="preserve">证监会对《境外证券交易所驻华代表机构管理办法》（证监会令第44号）进行了修订，并于近日以《境外证券期货交易所驻华代表机构管理办法》（以下简称《管理办法》）正式发布。</w:t>
      </w:r>
    </w:p>
    <w:p>
      <w:pPr>
        <w:pStyle w:val="TextBody"/>
      </w:pPr>
      <w:r>
        <w:t xml:space="preserve">《管理办法》共六章十八条，包括总则、设立备案、变更与撤销、监督管理、法律责任及附则等。修订内容主要涉及四个方面：一是完善适用范围，把境外期货交易所代表处纳入监管。二是落实“放管服”改革成果，将代表处设立从审批改为事后备案，明确备案材料、备案程序等具体要求，并增加公示备案材料环节。三是规范代表处活动范围，加强风险防控。明确代表处活动范围为“从事联络、调研等非营利性活动”；市场介绍业务由事前批准改为事后报告，并新增负面清单；进一步明确相关禁止事项。四是强化事中事后监管，增加了备案、变更、撤销等事项透明度，以及对代表处违法违规行为进行公示并通报境外监管当局等内容。</w:t>
      </w:r>
    </w:p>
    <w:p>
      <w:pPr>
        <w:pStyle w:val="TextBody"/>
      </w:pPr>
      <w:hyperlink r:id="rId24">
        <w:r>
          <w:rPr>
            <w:rStyle w:val="Hyperlink"/>
          </w:rPr>
          <w:t xml:space="preserve">http://news.cnstock.com/news,bwkx-201907-4407682.htm</w:t>
        </w:r>
      </w:hyperlink>
    </w:p>
    <w:p>
      <w:pPr>
        <w:pStyle w:val="Heading3"/>
      </w:pPr>
      <w:bookmarkStart w:id="25" w:name="证监会发布公开募集证券投资基金信息披露管理办法及相关配套规则"/>
      <w:r>
        <w:t xml:space="preserve">证监会发布《公开募集证券投资基金信息披露管理办法》及相关配套规则</w:t>
      </w:r>
      <w:bookmarkEnd w:id="25"/>
    </w:p>
    <w:p>
      <w:pPr>
        <w:pStyle w:val="FirstParagraph"/>
      </w:pPr>
      <w:r>
        <w:t xml:space="preserve">为优化公募基金信息披露制度，切实保护投资者合法权益，证监会发布《公开募集证券投资基金信息披露管理办法》（以下简称《管理办法》）及相关配套规则，自2019年9月1日起施行。</w:t>
      </w:r>
    </w:p>
    <w:p>
      <w:pPr>
        <w:pStyle w:val="TextBody"/>
      </w:pPr>
      <w:r>
        <w:t xml:space="preserve">《管理办法》共八章四十二条，本次修订主要涉及以下内容：一是优化指定信息披露媒体制度，简化报刊披露内容。二是强调简明性与易得性，引入基金产品资料概要，提高投资者服务水平。三是强化风险揭示等关键信息的披露，提升投资者保护水平。四是加强事中事后监管，引导机构落实合规主体责任。</w:t>
      </w:r>
    </w:p>
    <w:p>
      <w:pPr>
        <w:pStyle w:val="TextBody"/>
      </w:pPr>
      <w:hyperlink r:id="rId26">
        <w:r>
          <w:rPr>
            <w:rStyle w:val="Hyperlink"/>
          </w:rPr>
          <w:t xml:space="preserve">http://news.cnstock.com/news,bwkx-201907-4407686.htm</w:t>
        </w:r>
      </w:hyperlink>
    </w:p>
    <w:p>
      <w:pPr>
        <w:pStyle w:val="Heading3"/>
      </w:pPr>
      <w:bookmarkStart w:id="27" w:name="上交所上半年重点查处六类信披违规行为"/>
      <w:r>
        <w:t xml:space="preserve">上交所上半年重点查处六类信披违规行为</w:t>
      </w:r>
      <w:bookmarkEnd w:id="27"/>
    </w:p>
    <w:p>
      <w:pPr>
        <w:pStyle w:val="FirstParagraph"/>
      </w:pPr>
      <w:r>
        <w:t xml:space="preserve">2019年上半年，上交所认真做好上市公司信息披露违规行为的查处工作，共发出公开谴责决定11份、通报批评决定30份、监管关注决定45份，合计86份，而上年同期案件数量为75份。其中，对违规性质极为严重的2名责任人分别予以公开认定3年和终身不适合担任上市公司董监高处分。案件处理共涉及41家上市公司、149名董监高、40名股东以及6名财务顾问项目主办人、1家年审机构、2名年审会计师，合计198人次，上年同期为179人次。</w:t>
      </w:r>
    </w:p>
    <w:p>
      <w:pPr>
        <w:pStyle w:val="TextBody"/>
      </w:pPr>
      <w:r>
        <w:t xml:space="preserve">上交所重点查处了六类违法违规行为，分别为：控股股东及其关联方资金占用、违规担保等恶性违规行为、并购重组中高额业绩承诺未完成的违规行为、公司管理层在重大交易中决策不审慎的不当行为、上市公司利用敏感信息概念炒作的违规行为、中介机构未勤勉尽责的违规行为、募集资金使用管理不规范的行为。</w:t>
      </w:r>
    </w:p>
    <w:p>
      <w:pPr>
        <w:pStyle w:val="TextBody"/>
      </w:pPr>
      <w:hyperlink r:id="rId28">
        <w:r>
          <w:rPr>
            <w:rStyle w:val="Hyperlink"/>
          </w:rPr>
          <w:t xml:space="preserve">http://www.xinhuanet.com/money/2019-07/31/c_1210222458.htm</w:t>
        </w:r>
      </w:hyperlink>
    </w:p>
    <w:p>
      <w:pPr>
        <w:pStyle w:val="Heading3"/>
      </w:pPr>
      <w:bookmarkStart w:id="29" w:name="政治局会议部署下半年经济工作"/>
      <w:r>
        <w:t xml:space="preserve">政治局会议部署下半年经济工作</w:t>
      </w:r>
      <w:bookmarkEnd w:id="29"/>
    </w:p>
    <w:p>
      <w:pPr>
        <w:pStyle w:val="FirstParagraph"/>
      </w:pPr>
      <w:r>
        <w:t xml:space="preserve">中共中央政治局2019年7月30日召开会议，分析研究当前经济形势，部署下半年经济工作。</w:t>
      </w:r>
    </w:p>
    <w:p>
      <w:pPr>
        <w:pStyle w:val="TextBody"/>
      </w:pPr>
      <w:r>
        <w:t xml:space="preserve">会议提出，要实施好积极的财政政策和稳健的货币政策。财政政策要加力提效，继续落实落细减税降费政策。货币政策要松紧适度，保持流动性合理充裕。会议重申，坚持房子是用来住的、不是用来炒的定位，落实房地产长效管理机制，不将房地产作为短期刺激经济的手段。会议还提出，推进金融供给侧结构性改革，引导金融机构增加对制造业、民营企业的中长期融资，把握好风险处置节奏和力度，压实金融机构、地方政府、金融监管部门责任。</w:t>
      </w:r>
    </w:p>
    <w:p>
      <w:pPr>
        <w:pStyle w:val="TextBody"/>
      </w:pPr>
      <w:hyperlink r:id="rId30">
        <w:r>
          <w:rPr>
            <w:rStyle w:val="Hyperlink"/>
          </w:rPr>
          <w:t xml:space="preserve">https://finance.sina.com.cn/roll/2019-07-31/doc-ihytcitm5804236.shtml</w:t>
        </w:r>
      </w:hyperlink>
    </w:p>
    <w:p>
      <w:pPr>
        <w:pStyle w:val="Heading3"/>
      </w:pPr>
      <w:bookmarkStart w:id="31" w:name="银行业首张汽车金融牌照落地"/>
      <w:r>
        <w:t xml:space="preserve">银行业首张汽车金融牌照落地</w:t>
      </w:r>
      <w:bookmarkEnd w:id="31"/>
    </w:p>
    <w:p>
      <w:pPr>
        <w:pStyle w:val="FirstParagraph"/>
      </w:pPr>
      <w:r>
        <w:t xml:space="preserve">近日，深圳银保监局批复同意平安银行汽车消费金融中心开业，营业范围包括购车及汽车融资相关贷款业务，汽车融资项下的咨询、代理业务，以及经中国银保监会批准的与汽车融资相关的其他业务。</w:t>
      </w:r>
    </w:p>
    <w:p>
      <w:pPr>
        <w:pStyle w:val="TextBody"/>
      </w:pPr>
      <w:r>
        <w:t xml:space="preserve">据查询，目前获得金融许可证的机构包括汽车金融公司和消费金融公司，但还没有汽车消费金融机构。平安银行此次获得监管批复，系银行业首张汽车金融专营牌照。</w:t>
      </w:r>
    </w:p>
    <w:p>
      <w:pPr>
        <w:pStyle w:val="TextBody"/>
      </w:pPr>
      <w:hyperlink r:id="rId32">
        <w:r>
          <w:rPr>
            <w:rStyle w:val="Hyperlink"/>
          </w:rPr>
          <w:t xml:space="preserve">http://xw.sinoins.com/2019-07/30/content_299798.htm</w:t>
        </w:r>
      </w:hyperlink>
    </w:p>
    <w:p>
      <w:pPr>
        <w:pStyle w:val="Heading3"/>
      </w:pPr>
      <w:bookmarkStart w:id="33" w:name="瑞华被证监会立案调查34家ipo企业中止审查470亿项目被牵连"/>
      <w:r>
        <w:t xml:space="preserve">瑞华被证监会立案调查：34家IPO企业中止审查，470亿项目被牵连</w:t>
      </w:r>
      <w:bookmarkEnd w:id="33"/>
    </w:p>
    <w:p>
      <w:pPr>
        <w:pStyle w:val="FirstParagraph"/>
      </w:pPr>
      <w:r>
        <w:t xml:space="preserve">受康得新财务造假事件影响，作为参与其审计业务的会计师事务所，瑞华会计师事务所（下称“瑞华”）不仅被证监会立案调查，还牵连了一系列的公司。截至2019年7月30日，34家拟上市公司IPO项目被迫中止，18家上市公司融资项目停摆。</w:t>
      </w:r>
    </w:p>
    <w:p>
      <w:pPr>
        <w:pStyle w:val="TextBody"/>
      </w:pPr>
      <w:r>
        <w:t xml:space="preserve">除了上述34家企业已叫“暂停”，还有44家IPO排队中的企业（不包含45家已终止审查的企业）现有的会计师事务所均为瑞华。这或许意味着，还有企业会因为瑞华被调查而中止IPO。除了拟上市公司被波及，不少上市公司的定增发行业务和可转债发行业务也受到影响。</w:t>
      </w:r>
    </w:p>
    <w:p>
      <w:pPr>
        <w:pStyle w:val="TextBody"/>
      </w:pPr>
      <w:hyperlink r:id="rId34">
        <w:r>
          <w:rPr>
            <w:rStyle w:val="Hyperlink"/>
          </w:rPr>
          <w:t xml:space="preserve">https://finance.sina.com.cn/roll/2019-07-31/doc-ihytcerm7447123.shtml</w:t>
        </w:r>
      </w:hyperlink>
    </w:p>
    <w:p>
      <w:pPr>
        <w:pStyle w:val="Heading2"/>
      </w:pPr>
      <w:bookmarkStart w:id="35" w:name="保险"/>
      <w:r>
        <w:t xml:space="preserve">保险</w:t>
      </w:r>
      <w:bookmarkEnd w:id="35"/>
    </w:p>
    <w:p>
      <w:pPr>
        <w:pStyle w:val="Heading3"/>
      </w:pPr>
      <w:bookmarkStart w:id="36" w:name="中国保险业风险评估报告2019发布"/>
      <w:r>
        <w:t xml:space="preserve">《中国保险业风险评估报告2019》发布</w:t>
      </w:r>
      <w:bookmarkEnd w:id="36"/>
    </w:p>
    <w:p>
      <w:pPr>
        <w:pStyle w:val="FirstParagraph"/>
      </w:pPr>
      <w:r>
        <w:t xml:space="preserve">近日，中国保险保障基金有限责任公司在京发布《中国保险业风险评估报告2019》（以下简称“报告”）。报告指出，2018年保险业转型发展取得积极成效，同时也要防范化解重大风险，包括保险行业转型风险、保险风险、流动性风险、信用风险、市场风险、治理风险等。</w:t>
      </w:r>
    </w:p>
    <w:p>
      <w:pPr>
        <w:pStyle w:val="TextBody"/>
      </w:pPr>
      <w:r>
        <w:t xml:space="preserve">尽管保险行业总体运行稳健，但行业面临挑战。报告将主要挑战归纳为八个方面：人身险业务转型仍处攻坚期、产险业务与高质量发展尚存差距、健康险业务发展面临多重挑战、部分公司经营性现金流趋紧、信用违约带来风险隐患、市场波动降低险资股票投资收益率、资产负债管理难度加大、公司治理及规范经营方面存在不足。</w:t>
      </w:r>
    </w:p>
    <w:p>
      <w:pPr>
        <w:pStyle w:val="TextBody"/>
      </w:pPr>
      <w:r>
        <w:t xml:space="preserve">保险行业风险评估专家委员会专家为报告撰写六篇风险观测专题文章，集中反映了对中小公司车险高质量发展、实施IFRS17面临的挑战、互联网保险风险、寿险公司保费增长模式及战略、税延养老保险及税优健康保险面临的风险、资产负债错配风险等问题及对策的思考和研究。</w:t>
      </w:r>
    </w:p>
    <w:p>
      <w:pPr>
        <w:pStyle w:val="TextBody"/>
      </w:pPr>
      <w:hyperlink r:id="rId37">
        <w:r>
          <w:rPr>
            <w:rStyle w:val="Hyperlink"/>
          </w:rPr>
          <w:t xml:space="preserve">http://xw.sinoins.com/2019-07/30/content_299824.htm</w:t>
        </w:r>
      </w:hyperlink>
    </w:p>
    <w:p>
      <w:pPr>
        <w:pStyle w:val="Heading3"/>
      </w:pPr>
      <w:bookmarkStart w:id="38" w:name="上半年保险业经营情况"/>
      <w:r>
        <w:t xml:space="preserve">​上半年保险业经营情况</w:t>
      </w:r>
      <w:bookmarkEnd w:id="38"/>
    </w:p>
    <w:p>
      <w:pPr>
        <w:pStyle w:val="FirstParagraph"/>
      </w:pPr>
      <w:r>
        <w:t xml:space="preserve">近日，中国银保监会公布了2019年上半年保险业经营情况。</w:t>
      </w:r>
    </w:p>
    <w:p>
      <w:pPr>
        <w:pStyle w:val="TextBody"/>
      </w:pPr>
      <w:r>
        <w:t xml:space="preserve">数据显示，1月-6月，原保险保费收入25537亿元，同比增长14.16%。其中，财产险业务实现保费收入5893亿元，同比增长8.29%；人身险业务实现保费收入19644亿元，同比增长16.04%。总保费收入与人身险保费收入增速不断放缓，财险业务增速与年初相比变化不大。从2019年3月开始，保险业提供的保险金额连续出现同比负增长。在赔款和给付支出方面，1月-6月，保险业总赔款为6232亿元，同比增长4.07%。截至6月末，行业资金运用余额173672亿元，较年初增长5.84%；行业总资产195026亿元，较年初增长6.39%；行业净资产22958亿元，较年初增长13.91%。</w:t>
      </w:r>
    </w:p>
    <w:p>
      <w:pPr>
        <w:pStyle w:val="TextBody"/>
      </w:pPr>
      <w:hyperlink r:id="rId39">
        <w:r>
          <w:rPr>
            <w:rStyle w:val="Hyperlink"/>
          </w:rPr>
          <w:t xml:space="preserve">http://xw.sinoins.com/2019-07/30/content_299786.htm</w:t>
        </w:r>
      </w:hyperlink>
    </w:p>
    <w:p>
      <w:pPr>
        <w:pStyle w:val="Heading2"/>
      </w:pPr>
      <w:bookmarkStart w:id="40" w:name="知产"/>
      <w:r>
        <w:t xml:space="preserve">知产</w:t>
      </w:r>
      <w:bookmarkEnd w:id="40"/>
    </w:p>
    <w:p>
      <w:pPr>
        <w:pStyle w:val="Heading3"/>
      </w:pPr>
      <w:bookmarkStart w:id="41" w:name="世界人工智能大会将在上海举行"/>
      <w:r>
        <w:t xml:space="preserve">2019世界人工智能大会将在上海举行</w:t>
      </w:r>
      <w:bookmarkEnd w:id="41"/>
    </w:p>
    <w:p>
      <w:pPr>
        <w:pStyle w:val="FirstParagraph"/>
      </w:pPr>
      <w:r>
        <w:t xml:space="preserve">2019世界人工智能大会将于今年8月29日至31日在上海世博中心和上海世博展览馆举办，并在徐汇滨江设分会场。本次大会以“智联世界，无限可能”为主题，坚持以“高端化、国际化、专业化、市场化、智能化”为特色。</w:t>
      </w:r>
    </w:p>
    <w:p>
      <w:pPr>
        <w:pStyle w:val="TextBody"/>
      </w:pPr>
      <w:r>
        <w:t xml:space="preserve">今年世界人工智能大会将围绕前沿算法、类脑智能、AI芯片、无人驾驶、智能机器人、AI+5G、AI+教育、AI+医疗、AI+工业，以及投融资等热门课题，推出10场主题论坛。</w:t>
      </w:r>
    </w:p>
    <w:p>
      <w:pPr>
        <w:pStyle w:val="TextBody"/>
      </w:pPr>
      <w:hyperlink r:id="rId42">
        <w:r>
          <w:rPr>
            <w:rStyle w:val="Hyperlink"/>
          </w:rPr>
          <w:t xml:space="preserve">http://www.ifnews.com/17/detail-42337.html</w:t>
        </w:r>
      </w:hyperlink>
    </w:p>
    <w:p>
      <w:pPr>
        <w:pStyle w:val="Heading2"/>
      </w:pPr>
      <w:bookmarkStart w:id="43" w:name="行业"/>
      <w:r>
        <w:t xml:space="preserve">行业</w:t>
      </w:r>
      <w:bookmarkEnd w:id="43"/>
    </w:p>
    <w:p>
      <w:pPr>
        <w:pStyle w:val="Heading3"/>
      </w:pPr>
      <w:bookmarkStart w:id="44" w:name="五部门开展财政支持深化民营和小微企业金融服务综合改革试点城市工作"/>
      <w:r>
        <w:t xml:space="preserve">五部门开展财政支持深化民营和小微企业金融服务综合改革试点城市工作</w:t>
      </w:r>
      <w:bookmarkEnd w:id="44"/>
    </w:p>
    <w:p>
      <w:pPr>
        <w:pStyle w:val="FirstParagraph"/>
      </w:pPr>
      <w:r>
        <w:t xml:space="preserve">财政部、科技部、工业和信息化部、人民银行、银保监会联合印发了《关于开展财政支持深化民营和小微企业金融服务综合改革试点城市工作的通知》（下简称“通知”）。《通知》指出，从2019年起，中央财政通过普惠金融发展专项资金每年安排约20亿元资金，支持一定数量的试点城市。试点期限暂定为3年，东、中、西部地区每个试点城市的奖励标准分别为3000万元、4000万元、5000万元。奖励资金可用于试点城市金融机构的民营和小微企业信贷风险补偿或代偿，或用于试点城市政府性融资担保机构资本补充。</w:t>
      </w:r>
    </w:p>
    <w:p>
      <w:pPr>
        <w:pStyle w:val="TextBody"/>
      </w:pPr>
      <w:hyperlink r:id="rId45">
        <w:r>
          <w:rPr>
            <w:rStyle w:val="Hyperlink"/>
          </w:rPr>
          <w:t xml:space="preserve">http://news.cnstock.com/news,bwkx-201907-4408186.htm</w:t>
        </w:r>
      </w:hyperlink>
    </w:p>
    <w:p>
      <w:pPr>
        <w:pStyle w:val="Heading3"/>
      </w:pPr>
      <w:bookmarkStart w:id="46" w:name="第二届进博会定于2019年11月5日至10日在上海举办"/>
      <w:r>
        <w:t xml:space="preserve">第二届进博会定于2019年11月5日至10日在上海举办</w:t>
      </w:r>
      <w:bookmarkEnd w:id="46"/>
    </w:p>
    <w:p>
      <w:pPr>
        <w:pStyle w:val="FirstParagraph"/>
      </w:pPr>
      <w:r>
        <w:t xml:space="preserve">在第二届中国国际进口博览会（下称“进博会”）倒计时100天之际，国务院新闻办召开新闻发布会，介绍第二届进博会筹备情况。</w:t>
      </w:r>
    </w:p>
    <w:p>
      <w:pPr>
        <w:pStyle w:val="TextBody"/>
      </w:pPr>
      <w:r>
        <w:t xml:space="preserve">据介绍，第二届进博会定于2019年11月5日至10日在上海国际会展中心举办。第二届进博会的内容仍由国家综合展、企业商业展和虹桥国际经济论坛组成。其中，国家综合展由受邀参展国展示其贸易投资领域有关情况，只展示不成交。企业商业展涵盖货物贸易和服务贸易。虹桥国际经济论坛包括主论坛和4场分论坛。</w:t>
      </w:r>
    </w:p>
    <w:p>
      <w:pPr>
        <w:pStyle w:val="TextBody"/>
      </w:pPr>
      <w:hyperlink r:id="rId47">
        <w:r>
          <w:rPr>
            <w:rStyle w:val="Hyperlink"/>
          </w:rPr>
          <w:t xml:space="preserve">http://www.ifnews.com/17/detail-42225.html</w:t>
        </w:r>
      </w:hyperlink>
    </w:p>
    <w:p>
      <w:pPr>
        <w:pStyle w:val="Heading3"/>
      </w:pPr>
      <w:bookmarkStart w:id="48" w:name="外汇局将继续稳妥有序推动资本项目开放"/>
      <w:r>
        <w:t xml:space="preserve">外汇局：将继续稳妥有序，推动资本项目开放</w:t>
      </w:r>
      <w:bookmarkEnd w:id="48"/>
    </w:p>
    <w:p>
      <w:pPr>
        <w:pStyle w:val="FirstParagraph"/>
      </w:pPr>
      <w:r>
        <w:t xml:space="preserve">国家外汇管理局7月30日召开2019年下半年外汇管理工作会议。会议将进一步促进高水平对外开放，稳妥有序推进资本项目开放，落实直接投资领域准入前国民待遇加负面清单管理，完善合格境外机构投资者制度（QFII/RQFII），深化跨国公司资金集中运营管理等纳入下半年重点工作。外汇局还表示，将继续健全跨境资本流动“宏观审慎+微观监管”两位一体管理框架，增强外部冲击风险防控能力，夯实外汇管理工作基础，完善外汇储备经营管理。</w:t>
      </w:r>
    </w:p>
    <w:p>
      <w:pPr>
        <w:pStyle w:val="TextBody"/>
      </w:pPr>
      <w:hyperlink r:id="rId49">
        <w:r>
          <w:rPr>
            <w:rStyle w:val="Hyperlink"/>
          </w:rPr>
          <w:t xml:space="preserve">http://www.xinhuanet.com/money/2019-07/31/c_1210222500.htm</w:t>
        </w:r>
      </w:hyperlink>
    </w:p>
    <w:p>
      <w:pPr>
        <w:pStyle w:val="Heading3"/>
      </w:pPr>
      <w:bookmarkStart w:id="50" w:name="上海出台全国首个数字贸易发展行动方案"/>
      <w:r>
        <w:t xml:space="preserve">上海出台全国首个数字贸易发展行动方案</w:t>
      </w:r>
      <w:bookmarkEnd w:id="50"/>
    </w:p>
    <w:p>
      <w:pPr>
        <w:pStyle w:val="FirstParagraph"/>
      </w:pPr>
      <w:r>
        <w:t xml:space="preserve">近日，上海市商务委员会、上海市发展和改革委员会、上海市经济和信息化委员会等9部门联合发布的《上海市数字贸易发展行动方案（2019-2021年）》（简称《行动方案》）。这一方案是全国数字贸易领域出台的首个纲领性文件。</w:t>
      </w:r>
    </w:p>
    <w:p>
      <w:pPr>
        <w:pStyle w:val="TextBody"/>
      </w:pPr>
      <w:r>
        <w:t xml:space="preserve">《行动方案》提出建设数字贸易跨境服务集聚区、扶持和激活原创内容知识产权、搭建数字贸易交易促进平台、推动建立全球数字合作城市联盟等12项主要任务，并从多方面明确推进数字贸易发展的保障举措。《行动方案》目标到2021年，上海力争数字贸易进出口总额突破400亿美元，计划打造5家估值超过百亿美元的数字贸易龙头企业，培育500家规模以上数字贸易重点企业，将上海打造成为“数字贸易国际枢纽港”。</w:t>
      </w:r>
    </w:p>
    <w:p>
      <w:pPr>
        <w:pStyle w:val="TextBody"/>
      </w:pPr>
      <w:hyperlink r:id="rId51">
        <w:r>
          <w:rPr>
            <w:rStyle w:val="Hyperlink"/>
          </w:rPr>
          <w:t xml:space="preserve">http://news.cnstock.com/industry,rdjj-201908-4409913.htm</w:t>
        </w:r>
      </w:hyperlink>
    </w:p>
    <w:p>
      <w:pPr>
        <w:pStyle w:val="Heading3"/>
      </w:pPr>
      <w:bookmarkStart w:id="52" w:name="第十二轮中美经贸高级别磋商在上海举行"/>
      <w:r>
        <w:t xml:space="preserve">第十二轮中美经贸高级别磋商在上海举行</w:t>
      </w:r>
      <w:bookmarkEnd w:id="52"/>
    </w:p>
    <w:p>
      <w:pPr>
        <w:pStyle w:val="FirstParagraph"/>
      </w:pPr>
      <w:r>
        <w:t xml:space="preserve">2019年7月30至31日，中共中央政治局委员、国务院副总理、中美全面经济对话中方牵头人刘鹤与美国贸易代表莱特希泽、财政部长姆努钦在上海举行第十二轮中美经贸高级别磋商。双方按照两国元首大阪会晤重要共识要求，就经贸领域共同关心的重大问题进行了坦诚、高效、建设性的深入交流。双方还讨论了中方根据国内需要增加自美农产品采购以及美方将为采购创造良好条件。</w:t>
      </w:r>
    </w:p>
    <w:p>
      <w:pPr>
        <w:pStyle w:val="TextBody"/>
      </w:pPr>
      <w:r>
        <w:t xml:space="preserve">商务部部长钟山，中国人民银行行长易纲，国家发展改革委副主任宁吉喆，中央财办副主任、财政部副部长廖岷，外交部副部长郑泽光，工业和信息化部副部长王志军，中央农办副主任、农业农村部副部长韩俊，商务部副部长兼国际贸易谈判副代表王受文参加磋商。</w:t>
      </w:r>
    </w:p>
    <w:p>
      <w:pPr>
        <w:pStyle w:val="TextBody"/>
      </w:pPr>
      <w:hyperlink r:id="rId53">
        <w:r>
          <w:rPr>
            <w:rStyle w:val="Hyperlink"/>
          </w:rPr>
          <w:t xml:space="preserve">http://news.cnstock.com/news,yw-201908-4409838.htm</w:t>
        </w:r>
      </w:hyperlink>
    </w:p>
    <w:p>
      <w:pPr>
        <w:pStyle w:val="Heading3"/>
      </w:pPr>
      <w:bookmarkStart w:id="54" w:name="商务部印发商务信用联合惩戒对象名单管理办法"/>
      <w:r>
        <w:t xml:space="preserve">商务部印发《商务信用联合惩戒对象名单管理办法》</w:t>
      </w:r>
      <w:bookmarkEnd w:id="54"/>
    </w:p>
    <w:p>
      <w:pPr>
        <w:pStyle w:val="FirstParagraph"/>
      </w:pPr>
      <w:r>
        <w:t xml:space="preserve">商务部于2019年7月31日印发《商务信用联合惩戒对象名单管理办法》，为完善商务信用联合惩戒机制，规范信用联合惩戒对象名单管理，加快构建商务领域以信用为基础的新型监管机制，从名单的认定、名单的发布和推送、名单的响应和退出对联合惩戒对象名单进行了规范。</w:t>
      </w:r>
    </w:p>
    <w:p>
      <w:pPr>
        <w:pStyle w:val="TextBody"/>
      </w:pPr>
      <w:hyperlink r:id="rId55">
        <w:r>
          <w:rPr>
            <w:rStyle w:val="Hyperlink"/>
          </w:rPr>
          <w:t xml:space="preserve">http://news.cnstock.com/news,bwkx-201907-4409637.htm</w:t>
        </w:r>
      </w:hyperlink>
    </w:p>
    <w:p>
      <w:pPr>
        <w:pStyle w:val="Heading2"/>
      </w:pPr>
      <w:bookmarkStart w:id="56" w:name="并购"/>
      <w:r>
        <w:t xml:space="preserve">并购</w:t>
      </w:r>
      <w:bookmarkEnd w:id="56"/>
    </w:p>
    <w:p>
      <w:pPr>
        <w:pStyle w:val="Heading3"/>
      </w:pPr>
      <w:bookmarkStart w:id="57" w:name="入股戴姆勒或致北汽财务承压标普穆迪纷纷下调评级展望"/>
      <w:r>
        <w:t xml:space="preserve">入股戴姆勒或致北汽财务承压，标普、穆迪纷纷下调评级展望</w:t>
      </w:r>
      <w:bookmarkEnd w:id="57"/>
    </w:p>
    <w:p>
      <w:pPr>
        <w:pStyle w:val="FirstParagraph"/>
      </w:pPr>
      <w:r>
        <w:t xml:space="preserve">近日，北京汽车集团有限公司（下称“北汽集团”）收购了戴姆勒集团5%的股份，正式成为戴姆勒集团第三大股东。2019年7月30日，国际信用评级机构——标普（S&amp;P）和穆迪（Moody）认为，北汽集团收购戴姆勒实现将导致公司财务承压，因此，将北汽集团的评级展望由稳定调至负面，但北汽集团目前的评级BBB+（标普）和Baa2（穆迪）保持不变。另外，标普还将北汽集团子公司北京汽车股份有限公司的评级展望由稳定调整至负面，但评级依然保持BBB+不变，北汽集团担保的优先无抵押债券的长期债项评级也为BBB+。</w:t>
      </w:r>
    </w:p>
    <w:p>
      <w:pPr>
        <w:pStyle w:val="TextBody"/>
      </w:pPr>
      <w:hyperlink r:id="rId58">
        <w:r>
          <w:rPr>
            <w:rStyle w:val="Hyperlink"/>
          </w:rPr>
          <w:t xml:space="preserve">http://www.ifnews.com/17/detail-42353.html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- 2019年8月2日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c2c0c8b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1" Type="http://schemas.openxmlformats.org/officeDocument/2006/relationships/hyperlink" Target="http://news.cnstock.com/industry,rdjj-201908-4409913.htm" TargetMode="External"/><Relationship Id="rId24" Type="http://schemas.openxmlformats.org/officeDocument/2006/relationships/hyperlink" Target="http://news.cnstock.com/news,bwkx-201907-4407682.htm" TargetMode="External"/><Relationship Id="rId26" Type="http://schemas.openxmlformats.org/officeDocument/2006/relationships/hyperlink" Target="http://news.cnstock.com/news,bwkx-201907-4407686.htm" TargetMode="External"/><Relationship Id="rId45" Type="http://schemas.openxmlformats.org/officeDocument/2006/relationships/hyperlink" Target="http://news.cnstock.com/news,bwkx-201907-4408186.htm" TargetMode="External"/><Relationship Id="rId55" Type="http://schemas.openxmlformats.org/officeDocument/2006/relationships/hyperlink" Target="http://news.cnstock.com/news,bwkx-201907-4409637.htm" TargetMode="External"/><Relationship Id="rId53" Type="http://schemas.openxmlformats.org/officeDocument/2006/relationships/hyperlink" Target="http://news.cnstock.com/news,yw-201908-4409838.htm" TargetMode="External"/><Relationship Id="rId47" Type="http://schemas.openxmlformats.org/officeDocument/2006/relationships/hyperlink" Target="http://www.ifnews.com/17/detail-42225.html" TargetMode="External"/><Relationship Id="rId42" Type="http://schemas.openxmlformats.org/officeDocument/2006/relationships/hyperlink" Target="http://www.ifnews.com/17/detail-42337.html" TargetMode="External"/><Relationship Id="rId58" Type="http://schemas.openxmlformats.org/officeDocument/2006/relationships/hyperlink" Target="http://www.ifnews.com/17/detail-42353.html" TargetMode="External"/><Relationship Id="rId28" Type="http://schemas.openxmlformats.org/officeDocument/2006/relationships/hyperlink" Target="http://www.xinhuanet.com/money/2019-07/31/c_1210222458.htm" TargetMode="External"/><Relationship Id="rId49" Type="http://schemas.openxmlformats.org/officeDocument/2006/relationships/hyperlink" Target="http://www.xinhuanet.com/money/2019-07/31/c_1210222500.htm" TargetMode="External"/><Relationship Id="rId39" Type="http://schemas.openxmlformats.org/officeDocument/2006/relationships/hyperlink" Target="http://xw.sinoins.com/2019-07/30/content_299786.htm" TargetMode="External"/><Relationship Id="rId32" Type="http://schemas.openxmlformats.org/officeDocument/2006/relationships/hyperlink" Target="http://xw.sinoins.com/2019-07/30/content_299798.htm" TargetMode="External"/><Relationship Id="rId37" Type="http://schemas.openxmlformats.org/officeDocument/2006/relationships/hyperlink" Target="http://xw.sinoins.com/2019-07/30/content_299824.htm" TargetMode="External"/><Relationship Id="rId34" Type="http://schemas.openxmlformats.org/officeDocument/2006/relationships/hyperlink" Target="https://finance.sina.com.cn/roll/2019-07-31/doc-ihytcerm7447123.shtml" TargetMode="External"/><Relationship Id="rId30" Type="http://schemas.openxmlformats.org/officeDocument/2006/relationships/hyperlink" Target="https://finance.sina.com.cn/roll/2019-07-31/doc-ihytcitm5804236.shtml" TargetMode="External"/><Relationship Id="rId9" Type="http://schemas.openxmlformats.org/officeDocument/2006/relationships/hyperlink" Target="http://www.charltonslaw.com.cn/zheng-jian-hui-fa-bu-jing-wai-zheng-quan-qi-huo-jiao-yi-suo-zhu-hua-dai-biao-ji-gou-guan-li-ban-fa"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1" Type="http://schemas.openxmlformats.org/officeDocument/2006/relationships/hyperlink" Target="http://news.cnstock.com/industry,rdjj-201908-4409913.htm" TargetMode="External"/><Relationship Id="rId24" Type="http://schemas.openxmlformats.org/officeDocument/2006/relationships/hyperlink" Target="http://news.cnstock.com/news,bwkx-201907-4407682.htm" TargetMode="External"/><Relationship Id="rId26" Type="http://schemas.openxmlformats.org/officeDocument/2006/relationships/hyperlink" Target="http://news.cnstock.com/news,bwkx-201907-4407686.htm" TargetMode="External"/><Relationship Id="rId45" Type="http://schemas.openxmlformats.org/officeDocument/2006/relationships/hyperlink" Target="http://news.cnstock.com/news,bwkx-201907-4408186.htm" TargetMode="External"/><Relationship Id="rId55" Type="http://schemas.openxmlformats.org/officeDocument/2006/relationships/hyperlink" Target="http://news.cnstock.com/news,bwkx-201907-4409637.htm" TargetMode="External"/><Relationship Id="rId53" Type="http://schemas.openxmlformats.org/officeDocument/2006/relationships/hyperlink" Target="http://news.cnstock.com/news,yw-201908-4409838.htm" TargetMode="External"/><Relationship Id="rId47" Type="http://schemas.openxmlformats.org/officeDocument/2006/relationships/hyperlink" Target="http://www.ifnews.com/17/detail-42225.html" TargetMode="External"/><Relationship Id="rId42" Type="http://schemas.openxmlformats.org/officeDocument/2006/relationships/hyperlink" Target="http://www.ifnews.com/17/detail-42337.html" TargetMode="External"/><Relationship Id="rId58" Type="http://schemas.openxmlformats.org/officeDocument/2006/relationships/hyperlink" Target="http://www.ifnews.com/17/detail-42353.html" TargetMode="External"/><Relationship Id="rId28" Type="http://schemas.openxmlformats.org/officeDocument/2006/relationships/hyperlink" Target="http://www.xinhuanet.com/money/2019-07/31/c_1210222458.htm" TargetMode="External"/><Relationship Id="rId49" Type="http://schemas.openxmlformats.org/officeDocument/2006/relationships/hyperlink" Target="http://www.xinhuanet.com/money/2019-07/31/c_1210222500.htm" TargetMode="External"/><Relationship Id="rId39" Type="http://schemas.openxmlformats.org/officeDocument/2006/relationships/hyperlink" Target="http://xw.sinoins.com/2019-07/30/content_299786.htm" TargetMode="External"/><Relationship Id="rId32" Type="http://schemas.openxmlformats.org/officeDocument/2006/relationships/hyperlink" Target="http://xw.sinoins.com/2019-07/30/content_299798.htm" TargetMode="External"/><Relationship Id="rId37" Type="http://schemas.openxmlformats.org/officeDocument/2006/relationships/hyperlink" Target="http://xw.sinoins.com/2019-07/30/content_299824.htm" TargetMode="External"/><Relationship Id="rId34" Type="http://schemas.openxmlformats.org/officeDocument/2006/relationships/hyperlink" Target="https://finance.sina.com.cn/roll/2019-07-31/doc-ihytcerm7447123.shtml" TargetMode="External"/><Relationship Id="rId30" Type="http://schemas.openxmlformats.org/officeDocument/2006/relationships/hyperlink" Target="https://finance.sina.com.cn/roll/2019-07-31/doc-ihytcitm580423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2019-08-02T02:24:17Z</dcterms:created>
  <dcterms:modified xsi:type="dcterms:W3CDTF">2019-08-02T02:24:17Z</dcterms:modified>
</cp:coreProperties>
</file>