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- 2019年8月9日</w:t>
      </w:r>
    </w:p>
    <w:p>
      <w:pPr>
        <w:pStyle w:val="ReadOnline"/>
      </w:pPr>
      <w:hyperlink r:id="rId9">
        <w:r>
          <w:rPr/>
          <w:t>online version</w:t>
        </w:r>
      </w:hyperlink>
    </w:p>
    <w:p>
      <w:pPr>
        <w:pStyle w:val="Title"/>
      </w:pPr>
      <w:r>
        <w:t>一行两会联合发文，扩大交易所债市参与现券交易银行范围</w:t>
      </w:r>
    </w:p>
    <w:p>
      <w:pPr>
        <w:pStyle w:val="Heading2"/>
      </w:pPr>
      <w:bookmarkStart w:id="21" w:name="简介"/>
      <w:r>
        <w:t xml:space="preserve">简介</w:t>
      </w:r>
      <w:bookmarkEnd w:id="21"/>
    </w:p>
    <w:p>
      <w:pPr>
        <w:pStyle w:val="FirstParagraph"/>
      </w:pPr>
      <w:r>
        <w:t xml:space="preserve">一行两会联合发文，扩大交易所债市参与现券交易银行范围；中银协发布两指引，银行要把好贸易真实性审核之门；沪深港交易所就同股不同权标的纳入港股通达成共识；保险业新添差异化监管工具——保险资产负债管理；央行：加快推进我国法定数字货币研发</w:t>
      </w:r>
    </w:p>
    <w:p>
      <w:pPr>
        <w:pStyle w:val="Heading2"/>
      </w:pPr>
      <w:bookmarkStart w:id="22" w:name="资本市场"/>
      <w:r>
        <w:t xml:space="preserve">资本市场</w:t>
      </w:r>
      <w:bookmarkEnd w:id="22"/>
    </w:p>
    <w:p>
      <w:pPr>
        <w:pStyle w:val="Heading3"/>
      </w:pPr>
      <w:bookmarkStart w:id="23" w:name="一行两会联合发文扩大交易所债市参与现券交易银行范围"/>
      <w:r>
        <w:t xml:space="preserve">一行两会联合发文，扩大交易所债市参与现券交易银行范围</w:t>
      </w:r>
      <w:bookmarkEnd w:id="23"/>
    </w:p>
    <w:p>
      <w:pPr>
        <w:pStyle w:val="FirstParagraph"/>
      </w:pPr>
      <w:r>
        <w:t xml:space="preserve">近日，证监会与人民银行、银保监会联合发布了通知，扩大在交易所债券市场参与现券交易的银行范围。</w:t>
      </w:r>
    </w:p>
    <w:p>
      <w:pPr>
        <w:pStyle w:val="TextBody"/>
      </w:pPr>
      <w:r>
        <w:t xml:space="preserve">根据该通知，经过前期试点，自2019年8月2日起将在证券交易所参与债券交易的银行范围扩大至包括政策性银行、国家开发银行、国有大型商业银行、股份制商业银行、城市商业银行、在华外资银行、境内上市的其他银行。银行应在依法合规、风险可控、商业可持续的前提下，在证券交易所参与债券现券的竞价交易；银行参与证券交易所债券交易涉及的证券账户开立、债券登记、存管、托管及结算业务，由中国证券登记结算有限责任公司依照法律和规则办理。参与债券竞价交易的银行，应制定相关内控及风险管理制度，规范操作流程，防范有关风险。</w:t>
      </w:r>
    </w:p>
    <w:p>
      <w:pPr>
        <w:pStyle w:val="TextBody"/>
      </w:pPr>
      <w:hyperlink r:id="rId24">
        <w:r>
          <w:rPr>
            <w:rStyle w:val="Hyperlink"/>
          </w:rPr>
          <w:t xml:space="preserve">http://news.cnstock.com/news,yw-201908-4412632.htm</w:t>
        </w:r>
      </w:hyperlink>
    </w:p>
    <w:p>
      <w:pPr>
        <w:pStyle w:val="Heading3"/>
      </w:pPr>
      <w:bookmarkStart w:id="25" w:name="中银协发布两指引银行要把好贸易真实性审核之门"/>
      <w:r>
        <w:t xml:space="preserve">中银协发布两指引，银行要把好贸易真实性审核之门</w:t>
      </w:r>
      <w:bookmarkEnd w:id="25"/>
    </w:p>
    <w:p>
      <w:pPr>
        <w:pStyle w:val="FirstParagraph"/>
      </w:pPr>
      <w:r>
        <w:t xml:space="preserve">2019年8月6日中国银行业协会该协会贸易金融专业委员会印发《中国银行业协会商业银行福费廷业务指引》（下称《福费廷指引》）和《中国银行业协会商业银行同业代付业务指引》（下称《同业代付指引》），旨在防范业务风险，加强业务管理，更好地发挥相关业务在优化金融资源配置、降低企业融资成本、服务实体经济发展等方面的作用。</w:t>
      </w:r>
    </w:p>
    <w:p>
      <w:pPr>
        <w:pStyle w:val="TextBody"/>
      </w:pPr>
      <w:r>
        <w:t xml:space="preserve">《福费廷指引》明确，福费廷是基于信用证等基础结算工具的贸易金融业务，具有贸易结算和融资的特点，是银行信用介入贸易融资链条的间接融资，属于贸易金融产品，应按照贸易金融惯例进行审查审批和单证处理，由贸易金融业务管理部门进行归口管理。福费廷业务包括一级市场、二级市场买入及转卖业务。买入业务是指某银行无追索权地买断开证行/保兑行确认到期付款且未到期债权的业务；转卖业务是指某银行将已买断的未到期债权转让给其他包买商的业务。根据《福费廷指引》，银行需建立健全业务管理规章制度，运用SWIFT或其他各方认可的渠道传递信息，通过合作协议明确双方的权利和义务。原则上，从业人员应具备国际结算或贸易融资资历，熟悉贸易金融的相关产品和服务，具有国际结算单证处理经验和上岗资格。</w:t>
      </w:r>
    </w:p>
    <w:p>
      <w:pPr>
        <w:pStyle w:val="TextBody"/>
      </w:pPr>
      <w:r>
        <w:t xml:space="preserve">《同业代付指引》所称同业代付，是指银行根据本行境内客户申请，通过境内同业机构为该客户的国际贸易结算提供的短期贸易融资便利和支付服务。涉及境外客户、境外同业机构的，不适用本指引。《同业代付指引》明确，接受本行客户申请、从同业机构融通资金并委托同业机构支付款项的银行称为“委托行”，为委托行提供资金来源和代付服务的银行称为“代付行”。同业代付的实质是贸易融资，委托行是本行客户的债权人，承担本行客户的信用风险；代付行是委托行的债权人，承担同业授信风险。</w:t>
      </w:r>
    </w:p>
    <w:p>
      <w:pPr>
        <w:pStyle w:val="TextBody"/>
      </w:pPr>
      <w:hyperlink r:id="rId26">
        <w:r>
          <w:rPr>
            <w:rStyle w:val="Hyperlink"/>
          </w:rPr>
          <w:t xml:space="preserve">http://news.cnstock.com/news,bwkx-201908-4412526.htm</w:t>
        </w:r>
      </w:hyperlink>
    </w:p>
    <w:p>
      <w:pPr>
        <w:pStyle w:val="Heading3"/>
      </w:pPr>
      <w:bookmarkStart w:id="27" w:name="中国人民银行将在香港发行300亿元人民币央行票据"/>
      <w:r>
        <w:t xml:space="preserve">中国人民银行将在香港发行300亿元人民币央行票据</w:t>
      </w:r>
      <w:bookmarkEnd w:id="27"/>
    </w:p>
    <w:p>
      <w:pPr>
        <w:pStyle w:val="FirstParagraph"/>
      </w:pPr>
      <w:r>
        <w:t xml:space="preserve">为完善香港人民币债券收益率曲线，中国人民银行将于2019年8月14日在香港发行两期人民币央行票据，总发行量为300亿元，其中3个月期央行票据200亿元，1年期央行票据100亿元。</w:t>
      </w:r>
    </w:p>
    <w:p>
      <w:pPr>
        <w:pStyle w:val="TextBody"/>
      </w:pPr>
      <w:hyperlink r:id="rId28">
        <w:r>
          <w:rPr>
            <w:rStyle w:val="Hyperlink"/>
          </w:rPr>
          <w:t xml:space="preserve">http://news.cnstock.com/news,bwkx-201908-4412019.htm</w:t>
        </w:r>
      </w:hyperlink>
    </w:p>
    <w:p>
      <w:pPr>
        <w:pStyle w:val="Heading3"/>
      </w:pPr>
      <w:bookmarkStart w:id="29" w:name="银保监会严查银行违规收费和变相抬高融资成本行为"/>
      <w:r>
        <w:t xml:space="preserve">银保监会严查银行违规收费和变相抬高融资成本行为</w:t>
      </w:r>
      <w:bookmarkEnd w:id="29"/>
    </w:p>
    <w:p>
      <w:pPr>
        <w:pStyle w:val="FirstParagraph"/>
      </w:pPr>
      <w:r>
        <w:t xml:space="preserve">近日，国务院新闻办公室举行“治理违规涉企收费，减轻企业负担”吹风会。银保监会将严肃查处银行违规收费和变相抬高企业融资成本的行为，通过官方网站发布或者召开通报会等形式公开曝光违规涉企服务收费典型案例，接受社会监督，以最大限度地约束违规银行的行为，警示整个行业类似乱象。</w:t>
      </w:r>
    </w:p>
    <w:p>
      <w:pPr>
        <w:pStyle w:val="TextBody"/>
      </w:pPr>
      <w:r>
        <w:t xml:space="preserve">2019年8月3日，经国务院同意，市场监管总局会同发改委、工信部、民政部、财政部、国资委、银保监会等七部门联合印发了《关于进一步加强违规涉企收费治理工作的通知》，明确了4个方面治理违规涉企收费新举措：一是全面开展自查自纠；二是强化收费事项公开；三是违规涉企收费治理与“放管服”改革紧密结合；四是建立健全保障和评估机制。</w:t>
      </w:r>
    </w:p>
    <w:p>
      <w:pPr>
        <w:pStyle w:val="TextBody"/>
      </w:pPr>
      <w:hyperlink r:id="rId30">
        <w:r>
          <w:rPr>
            <w:rStyle w:val="Hyperlink"/>
          </w:rPr>
          <w:t xml:space="preserve">http://xw.sinoins.com/2019-08/07/content_300517.htm</w:t>
        </w:r>
      </w:hyperlink>
    </w:p>
    <w:p>
      <w:pPr>
        <w:pStyle w:val="Heading3"/>
      </w:pPr>
      <w:bookmarkStart w:id="31" w:name="沪深港交易所就同股不同权标的纳入港股通达成共识"/>
      <w:r>
        <w:t xml:space="preserve">沪深港交易所就同股不同权标的纳入港股通达成共识</w:t>
      </w:r>
      <w:bookmarkEnd w:id="31"/>
    </w:p>
    <w:p>
      <w:pPr>
        <w:pStyle w:val="FirstParagraph"/>
      </w:pPr>
      <w:r>
        <w:t xml:space="preserve">2019年8月2日晚间，上交所发布消息称，为进一步完善互联互通机制，沪深港交易所就在港上市的不同投票权架构（WVR）公司股票首次纳入港股通股票范围时须满足的条件达成一致意见。沪深交易所就此对相关业务规则进行了修订，并在同日分别向市场公开征求意见。</w:t>
      </w:r>
    </w:p>
    <w:p>
      <w:pPr>
        <w:pStyle w:val="TextBody"/>
      </w:pPr>
      <w:r>
        <w:t xml:space="preserve">下一步，沪深交易所将根据市场各方意见，对相关业务规则进一步修改完善，履行相关决策和审批程序后正式向市场发布。未来，沪深港三所将继续密切合作，共同完善互联互通机制，推动两地资本市场的协同、稳定、健康发展。</w:t>
      </w:r>
    </w:p>
    <w:p>
      <w:pPr>
        <w:pStyle w:val="TextBody"/>
      </w:pPr>
      <w:hyperlink r:id="rId32">
        <w:r>
          <w:rPr>
            <w:rStyle w:val="Hyperlink"/>
          </w:rPr>
          <w:t xml:space="preserve">http://www.szse.cn/aboutus/trends/news/t20190802_569210.html</w:t>
        </w:r>
      </w:hyperlink>
    </w:p>
    <w:p>
      <w:pPr>
        <w:pStyle w:val="Heading3"/>
      </w:pPr>
      <w:bookmarkStart w:id="33" w:name="证监会公开重组许可申请材料规范性说明"/>
      <w:r>
        <w:t xml:space="preserve">证监会公开重组许可申请材料规范性说明</w:t>
      </w:r>
      <w:bookmarkEnd w:id="33"/>
    </w:p>
    <w:p>
      <w:pPr>
        <w:pStyle w:val="FirstParagraph"/>
      </w:pPr>
      <w:r>
        <w:t xml:space="preserve">为落实“放管服”改革要求，证监会近日编制并公开《关于重大资产重组行政许可申请材料规范性的说明》（以下简称《说明》）。关于申请材料中经常出现的规范性问题，证监会将其列为即知即改的问题，进一步细化接收标准，有利于提高申报效率。</w:t>
      </w:r>
    </w:p>
    <w:p>
      <w:pPr>
        <w:pStyle w:val="TextBody"/>
      </w:pPr>
      <w:r>
        <w:t xml:space="preserve">《说明》细化了重组报告书、重组协议、财务报表、审计报告、评估报告等相关文件的签字盖章要求。对于拟购买资产因特定原因无法提供部分材料，以及跨境并购等特殊情况，《说明》结合客观实际，明确了替代性措施。此外，其他应当披露的信息或材料，不再作为接收或受理要件，由中介机构把关、申请人披露、交易所督促。</w:t>
      </w:r>
    </w:p>
    <w:p>
      <w:pPr>
        <w:pStyle w:val="TextBody"/>
      </w:pPr>
      <w:hyperlink r:id="rId34">
        <w:r>
          <w:rPr>
            <w:rStyle w:val="Hyperlink"/>
          </w:rPr>
          <w:t xml:space="preserve">http://www.xinhuanet.com/money/2019-08/07/c_1124845969.htm</w:t>
        </w:r>
      </w:hyperlink>
    </w:p>
    <w:p>
      <w:pPr>
        <w:pStyle w:val="Heading2"/>
      </w:pPr>
      <w:bookmarkStart w:id="35" w:name="保险"/>
      <w:r>
        <w:t xml:space="preserve">保险</w:t>
      </w:r>
      <w:bookmarkEnd w:id="35"/>
    </w:p>
    <w:p>
      <w:pPr>
        <w:pStyle w:val="Heading3"/>
      </w:pPr>
      <w:bookmarkStart w:id="36" w:name="保险业新添差异化监管工具保险资产负债管理"/>
      <w:r>
        <w:t xml:space="preserve">保险业新添差异化监管工具——保险资产负债管理</w:t>
      </w:r>
      <w:bookmarkEnd w:id="36"/>
    </w:p>
    <w:p>
      <w:pPr>
        <w:pStyle w:val="FirstParagraph"/>
      </w:pPr>
      <w:r>
        <w:t xml:space="preserve">银保监会近日向各保险机构下发《保险资产负债管理监管暂行办法》（下称《暂行办法》），继“偿二代”之后，保险业又迎来一重要监管工具——保险资产负债管理。</w:t>
      </w:r>
    </w:p>
    <w:p>
      <w:pPr>
        <w:pStyle w:val="TextBody"/>
      </w:pPr>
      <w:r>
        <w:t xml:space="preserve">保险资产负债管理是指，保险公司在风险偏好和其他约束条件下，持续对资产和负债相关策略进行制订、执行、监控和完善的过程。《暂行办法》将区分财产险公司和人身险公司，从多个维度综合评估资产负债匹配状况和管理能力，依据评估结果对保险公司实施差异化监管。</w:t>
      </w:r>
    </w:p>
    <w:p>
      <w:pPr>
        <w:pStyle w:val="TextBody"/>
      </w:pPr>
      <w:r>
        <w:t xml:space="preserve">银保监会将把资产负债管理能力评估结果，作为评估保险公司股权投资能力、不动产投资能力和衍生品运用能力的审慎性条件。对于资产负债管理能力高和匹配状况好的保险公司，根据市场需求和公司实际经营情况，监管部门将适当给予资金运用范围、模式、比例以及保险产品等方面的政策支持，鼓励经营审慎稳健的保险公司先行先试；对于资产负债管理能力较低或匹配状况较差的保险公司，综合考虑公司发展阶段、负债特征、资产结构和存在的风险，可采取一项或多项针对性的监管措施，包括但不限于：风险提示、监管谈话、下发监管函、监管通报、进行专项现场检查或现场调查、要求进行专项压力测试、要求限期整改存在的问题等；对于资产负债管理能力低或匹配状况差的保险公司，除上述监管措施之外，还可依据法律法规采取进一步的监管措施。</w:t>
      </w:r>
    </w:p>
    <w:p>
      <w:pPr>
        <w:pStyle w:val="TextBody"/>
      </w:pPr>
      <w:hyperlink r:id="rId37">
        <w:r>
          <w:rPr>
            <w:rStyle w:val="Hyperlink"/>
          </w:rPr>
          <w:t xml:space="preserve">http://news.cnstock.com/news,yw-201908-4412648.htm</w:t>
        </w:r>
      </w:hyperlink>
    </w:p>
    <w:p>
      <w:pPr>
        <w:pStyle w:val="Heading2"/>
      </w:pPr>
      <w:bookmarkStart w:id="38" w:name="税收"/>
      <w:r>
        <w:t xml:space="preserve">税收</w:t>
      </w:r>
      <w:bookmarkEnd w:id="38"/>
    </w:p>
    <w:p>
      <w:pPr>
        <w:pStyle w:val="Heading3"/>
      </w:pPr>
      <w:bookmarkStart w:id="39" w:name="对临港新片区符合条件企业在一定期限内所得税税率按15征收"/>
      <w:r>
        <w:t xml:space="preserve">对临港新片区符合条件企业在一定期限内所得税税率按15%征收</w:t>
      </w:r>
      <w:bookmarkEnd w:id="39"/>
    </w:p>
    <w:p>
      <w:pPr>
        <w:pStyle w:val="FirstParagraph"/>
      </w:pPr>
      <w:r>
        <w:t xml:space="preserve">2019年的8月6日的国务院召开新闻发布会，介绍了上海自贸试验区临港新片区的税收政策。</w:t>
      </w:r>
    </w:p>
    <w:p>
      <w:pPr>
        <w:pStyle w:val="TextBody"/>
      </w:pPr>
      <w:r>
        <w:t xml:space="preserve">第一，对与新片区产业发展规划相适应的，具有基础优势的集成电路、人工智能、生物医药、民用航空等重点行业的关键核心环节相关企业，实施一定期限（成立之日起5年内） 的企业所得税税率按照15%进行征收。第二，在其他地区先行试点的基础上，继续探索个人所得税政策对海外高层次人才的激励效应。第三，将积极探索通过自由贸易账户开展投融资以及金融业务的税收政策。第四，新片区方案明确了与国际船舶登记制度相配套的税收制度安排。第五，对境外进入新片区海关围网区域的货物予以保税或者免税。</w:t>
      </w:r>
    </w:p>
    <w:p>
      <w:pPr>
        <w:pStyle w:val="TextBody"/>
      </w:pPr>
      <w:hyperlink r:id="rId40">
        <w:r>
          <w:rPr>
            <w:rStyle w:val="Hyperlink"/>
          </w:rPr>
          <w:t xml:space="preserve">http://www.ifnews.com/17/detail-42552.html</w:t>
        </w:r>
      </w:hyperlink>
    </w:p>
    <w:p>
      <w:pPr>
        <w:pStyle w:val="Heading2"/>
      </w:pPr>
      <w:bookmarkStart w:id="41" w:name="知产"/>
      <w:r>
        <w:t xml:space="preserve">知产</w:t>
      </w:r>
      <w:bookmarkEnd w:id="41"/>
    </w:p>
    <w:p>
      <w:pPr>
        <w:pStyle w:val="Heading3"/>
      </w:pPr>
      <w:bookmarkStart w:id="42" w:name="美图注册meitu商标因与魅族meizu相似被驳回"/>
      <w:r>
        <w:t xml:space="preserve">美图注册“meitu”商标因与魅族“MEIZU”相似被驳回</w:t>
      </w:r>
      <w:bookmarkEnd w:id="42"/>
    </w:p>
    <w:p>
      <w:pPr>
        <w:pStyle w:val="FirstParagraph"/>
      </w:pPr>
      <w:r>
        <w:t xml:space="preserve">2019年8月5日，中国裁判文书网发布的厦门美图网科技有限公司（下称“美图”）与国家知识产权局一审行政判决书显示，法院驳回美图申请撤销原国家工商行政管理总局商标评审委员会作出的“meitu”商标驳回复审决定。</w:t>
      </w:r>
    </w:p>
    <w:p>
      <w:pPr>
        <w:pStyle w:val="TextBody"/>
      </w:pPr>
      <w:r>
        <w:t xml:space="preserve">美图于2017年5月9日申请“meitu”商标，但国家知识产权局（原国家工商行政管理总局商标评审委员会相关职责现由国家知识产权局统一行使）认为，该商标与珠海市魅族科技有限公司2015年6月26日申请的“MEIZU”商标（核定使用服务：第45类）在字母构成、呼叫发音等方面相近，仅在个别字母和字母大小写方面存在不同，整体上不存在显著差异，容易造成相关公众混淆误认，因此拒绝了美图的商标注册请求。与此同时，诉争商标除了前文所述的外形类似，在服务方面也构成类似。类似服务是指在目的、内容、方式、对象等方面相同，或者相关公众一般认为其存在特定联系、容易造成混淆的服务。其后，美图向北京知识产权法院提起上诉。2019年4月25日，美图的请求被北京知识产权法院一审驳回。</w:t>
      </w:r>
    </w:p>
    <w:p>
      <w:pPr>
        <w:pStyle w:val="TextBody"/>
      </w:pPr>
      <w:hyperlink r:id="rId43">
        <w:r>
          <w:rPr>
            <w:rStyle w:val="Hyperlink"/>
          </w:rPr>
          <w:t xml:space="preserve">http://www.ifnews.com/17/detail-42580.html</w:t>
        </w:r>
      </w:hyperlink>
    </w:p>
    <w:p>
      <w:pPr>
        <w:pStyle w:val="Heading2"/>
      </w:pPr>
      <w:bookmarkStart w:id="44" w:name="行业"/>
      <w:r>
        <w:t xml:space="preserve">行业</w:t>
      </w:r>
      <w:bookmarkEnd w:id="44"/>
    </w:p>
    <w:p>
      <w:pPr>
        <w:pStyle w:val="Heading3"/>
      </w:pPr>
      <w:bookmarkStart w:id="45" w:name="人民币对美元离岸和在岸汇率先后突破7"/>
      <w:r>
        <w:t xml:space="preserve">人民币对美元离岸和在岸汇率先后突破“7”</w:t>
      </w:r>
      <w:bookmarkEnd w:id="45"/>
    </w:p>
    <w:p>
      <w:pPr>
        <w:pStyle w:val="FirstParagraph"/>
      </w:pPr>
      <w:r>
        <w:t xml:space="preserve">2019年8月5日，在岸、离岸人民币对美元双双突破7元大关，创下11年来新低。</w:t>
      </w:r>
    </w:p>
    <w:p>
      <w:pPr>
        <w:pStyle w:val="TextBody"/>
      </w:pPr>
      <w:r>
        <w:t xml:space="preserve">中国人民银行有关负责人认为，受单边主义和贸易保护主义措施及对中国加征关税预期等影响，今天人民币对美元汇率有所贬值，突破了7元，但人民币对一篮子货币继续保持稳定和强势，这是市场供求和国际汇市波动的反映。</w:t>
      </w:r>
    </w:p>
    <w:p>
      <w:pPr>
        <w:pStyle w:val="TextBody"/>
      </w:pPr>
      <w:hyperlink r:id="rId46">
        <w:r>
          <w:rPr>
            <w:rStyle w:val="Hyperlink"/>
          </w:rPr>
          <w:t xml:space="preserve">http://www.xinhuanet.com/money/2019-08/06/c_1124841431.htm</w:t>
        </w:r>
      </w:hyperlink>
    </w:p>
    <w:p>
      <w:pPr>
        <w:pStyle w:val="Heading3"/>
      </w:pPr>
      <w:bookmarkStart w:id="47" w:name="双百九条剑指国企改革共性难题"/>
      <w:r>
        <w:t xml:space="preserve">“双百九条”剑指国企改革共性难题</w:t>
      </w:r>
      <w:bookmarkEnd w:id="47"/>
    </w:p>
    <w:p>
      <w:pPr>
        <w:pStyle w:val="FirstParagraph"/>
      </w:pPr>
      <w:r>
        <w:t xml:space="preserve">国务院国有企业改革领导小组办公室近日印发《关于支持鼓励“双百企业”进一步加大改革创新力度有关事项的通知》（下称《通知》），就“双百企业”推进综合性改革过程中遇到的共性问题，提出政策措施。</w:t>
      </w:r>
    </w:p>
    <w:p>
      <w:pPr>
        <w:pStyle w:val="TextBody"/>
      </w:pPr>
      <w:r>
        <w:t xml:space="preserve">混改与激励约束机制的建立是此次国企改革“双百行动”的热点。针对“混改”审批程序问题，《通知》提出，中央企业所属的主业处于充分竞争行业和领域的“双百企业”（商业一类“双百企业”），其混改方案由中央企业审批；对于中央企业所属的主业处于关系国家安全、国民经济命脉的重要行业和关键领域、主要承担重大专项任务的“双百企业”（商业二类“双百企业”），其混合所有制改革方案由中央企业审核报国资委批准；地方“双百企业”的混合所有制改革方案决策与批准程序按照各地国有资产监管相关政策执行。针对激励约束机制的建立，《通知》要求各中央企业和地方国资委要指导推动“双百企业”综合运用好各种正向激励政策和工具，坚持短期与中长期相结合，坚持结合实际、能用尽用，建立健全多层次、系统化的正向激励体系。</w:t>
      </w:r>
    </w:p>
    <w:p>
      <w:pPr>
        <w:pStyle w:val="TextBody"/>
      </w:pPr>
      <w:hyperlink r:id="rId48">
        <w:r>
          <w:rPr>
            <w:rStyle w:val="Hyperlink"/>
          </w:rPr>
          <w:t xml:space="preserve">http://news.cnstock.com/news,yw-201908-4411904.htm</w:t>
        </w:r>
      </w:hyperlink>
    </w:p>
    <w:p>
      <w:pPr>
        <w:pStyle w:val="Heading3"/>
      </w:pPr>
      <w:bookmarkStart w:id="49" w:name="央行加快推进我国法定数字货币研发"/>
      <w:r>
        <w:t xml:space="preserve">央行：加快推进我国法定数字货币研发</w:t>
      </w:r>
      <w:bookmarkEnd w:id="49"/>
    </w:p>
    <w:p>
      <w:pPr>
        <w:pStyle w:val="FirstParagraph"/>
      </w:pPr>
      <w:r>
        <w:t xml:space="preserve">中国人民银行8月2日召开2019年下半年工作电视会议，对下半年重点工作做出部署。会议要求，下半年要做好八项重点工作，其中一项重点工作就是，因势利导发展金融科技，加强跟踪调研，积极迎接新的挑战。加快推进我国法定数字货币（DC/EP）研发步伐，跟踪研究国内外虚拟货币发展趋势，继续加强互联网金融风险整治。</w:t>
      </w:r>
    </w:p>
    <w:p>
      <w:pPr>
        <w:pStyle w:val="TextBody"/>
      </w:pPr>
      <w:r>
        <w:t xml:space="preserve">我国法定数字货币的研发在几年前起步。2017年，中国人民银行数字货币研究所正式成立，开展数字货币研究。此后，该研究所在各地积极布局研发机构。2018年6月15日，深圳金融科技有限公司成立，该企业由中国人民银行数字货币研究所100%控股。2018年9月，“南京金融科技研究创新中心”和“中国人民银行数字货币研究所（南京）应用示范基地”正式揭牌成立。截至2019年8月4日，央行数字货币研究所申请了涉及数字货币的共74项专利。</w:t>
      </w:r>
    </w:p>
    <w:p>
      <w:pPr>
        <w:pStyle w:val="TextBody"/>
      </w:pPr>
      <w:hyperlink r:id="rId50">
        <w:r>
          <w:rPr>
            <w:rStyle w:val="Hyperlink"/>
          </w:rPr>
          <w:t xml:space="preserve">http://news.cnstock.com/news,yw-201908-4411277.htm</w:t>
        </w:r>
      </w:hyperlink>
    </w:p>
    <w:p>
      <w:pPr>
        <w:pStyle w:val="Heading3"/>
      </w:pPr>
      <w:bookmarkStart w:id="51" w:name="金砖国家未来网络研究院中国分院在深圳揭牌"/>
      <w:r>
        <w:t xml:space="preserve">金砖国家未来网络研究院中国分院在深圳揭牌</w:t>
      </w:r>
      <w:bookmarkEnd w:id="51"/>
    </w:p>
    <w:p>
      <w:pPr>
        <w:pStyle w:val="FirstParagraph"/>
      </w:pPr>
      <w:r>
        <w:t xml:space="preserve">2019年8月6日金砖国家未来网络研究院中国分院成立仪式在深圳举行。中国、柬埔寨、埃及、老挝、俄罗斯、南非、菲律宾等金砖国家和其他发展中国家通信部门，以及国际电信联盟（ITU）、全球移动通信系统协会（GSMA）等国际组织的有关负责人出席会议。</w:t>
      </w:r>
    </w:p>
    <w:p>
      <w:pPr>
        <w:pStyle w:val="TextBody"/>
      </w:pPr>
      <w:hyperlink r:id="rId52">
        <w:r>
          <w:rPr>
            <w:rStyle w:val="Hyperlink"/>
          </w:rPr>
          <w:t xml:space="preserve">http://news.cnstock.com/news,bwkx-201908-4412513.htm</w:t>
        </w:r>
      </w:hyperlink>
    </w:p>
    <w:p>
      <w:pPr>
        <w:pStyle w:val="Heading3"/>
      </w:pPr>
      <w:bookmarkStart w:id="53" w:name="上海获批创建邮轮旅游示范区国内首个邮轮港进境免税店将开业"/>
      <w:r>
        <w:t xml:space="preserve">上海获批创建邮轮旅游示范区，国内首个邮轮港进境免税店将开业</w:t>
      </w:r>
      <w:bookmarkEnd w:id="53"/>
    </w:p>
    <w:p>
      <w:pPr>
        <w:pStyle w:val="FirstParagraph"/>
      </w:pPr>
      <w:r>
        <w:t xml:space="preserve">近日，国家文化和旅游部批复上海创建中国首个邮轮旅游发展示范区，这是上海2012年获批中国首个邮轮旅游发展实验区的全面升级，将在邮轮旅游政策创新、辐射范围、服务能级等方面实现跨越。与此同时，营业面积达1700平方米的国内首个邮轮港进境免税店将于今年中国国际进口博览会期间正式开业。</w:t>
      </w:r>
    </w:p>
    <w:p>
      <w:pPr>
        <w:pStyle w:val="TextBody"/>
      </w:pPr>
      <w:hyperlink r:id="rId54">
        <w:r>
          <w:rPr>
            <w:rStyle w:val="Hyperlink"/>
          </w:rPr>
          <w:t xml:space="preserve">http://news.cnstock.com/news,bwkx-201908-4412027.htm</w:t>
        </w:r>
      </w:hyperlink>
    </w:p>
    <w:p>
      <w:pPr>
        <w:pStyle w:val="Heading3"/>
      </w:pPr>
      <w:bookmarkStart w:id="55" w:name="海关总署前7个月我国外贸进出口总值17.41万亿元"/>
      <w:r>
        <w:t xml:space="preserve">海关总署：前7个月我国外贸进出口总值17.41万亿元</w:t>
      </w:r>
      <w:bookmarkEnd w:id="55"/>
    </w:p>
    <w:p>
      <w:pPr>
        <w:pStyle w:val="FirstParagraph"/>
      </w:pPr>
      <w:r>
        <w:t xml:space="preserve">2019年8月8日，海关总署发布今年前7个月我国外贸进出口情况。前7个月我国外贸进出口总值17.41万亿元，同比增长4.2%，其中，出口9.48万亿元，增长6.7%；进口7.93万亿元，增长1.3%。外贸进出口延续平稳增长势头。前7个月，欧盟、东盟和美国仍为我国前三大贸易伙伴。其中，与欧盟进出口2.72万亿元，增长10.8%；与东盟进出口2.35万亿元，增长11.3%；与美国进出口2.1万亿元，下降8.1%。</w:t>
      </w:r>
    </w:p>
    <w:p>
      <w:pPr>
        <w:pStyle w:val="TextBody"/>
      </w:pPr>
      <w:r>
        <w:t xml:space="preserve">前7个月我国外贸继续保持稳中提质的发展势头，我国与“一带一路”沿线国家外贸进出口5.03万亿元，增长10.2%；民营企业成为拉动我国外贸的主力军，进出口7.31万亿元，同比增长11.8%，增速居各类型企业之首。</w:t>
      </w:r>
    </w:p>
    <w:p>
      <w:pPr>
        <w:pStyle w:val="TextBody"/>
      </w:pPr>
      <w:hyperlink r:id="rId56">
        <w:r>
          <w:rPr>
            <w:rStyle w:val="Hyperlink"/>
          </w:rPr>
          <w:t xml:space="preserve">https://finance.sina.com.cn/china/2019-08-08/doc-ihytcitm7703706.shtml</w:t>
        </w:r>
      </w:hyperlink>
    </w:p>
    <w:p>
      <w:pPr>
        <w:pStyle w:val="Heading2"/>
      </w:pPr>
      <w:bookmarkStart w:id="57" w:name="并购"/>
      <w:r>
        <w:t xml:space="preserve">并购</w:t>
      </w:r>
      <w:bookmarkEnd w:id="57"/>
    </w:p>
    <w:p>
      <w:pPr>
        <w:pStyle w:val="Heading3"/>
      </w:pPr>
      <w:bookmarkStart w:id="58" w:name="下城国拟溢价24投15亿元入主润达医疗"/>
      <w:r>
        <w:t xml:space="preserve">下城国拟溢价24%投15亿元入主润达医疗</w:t>
      </w:r>
      <w:bookmarkEnd w:id="58"/>
    </w:p>
    <w:p>
      <w:pPr>
        <w:pStyle w:val="FirstParagraph"/>
      </w:pPr>
      <w:r>
        <w:t xml:space="preserve">润达医疗2019年8月5日公告，公司实际控制人及大股东出于降低股票质押比例较高的问题为目的，同时以确保管理层稳定为前提，拟协议转让合计1.16亿股股票（占公司总股本的20.02%）给杭州市下城区国有投资控股集团有限公司（下称“下城国投”），另加上部分股份的表决权授予，最终，杭州下城区国资将实际控制润达医疗。</w:t>
      </w:r>
    </w:p>
    <w:p>
      <w:pPr>
        <w:pStyle w:val="TextBody"/>
      </w:pPr>
      <w:r>
        <w:t xml:space="preserve">润达医疗于8月1日与下城国投签署《股份转让意向性框架协议》，协议显示，目标股份的转让价格为每股12.95元，较最新收盘价溢价24%，总价约15亿元。若本次股份转让实施完成，加上部分股份的表决权授予，下城国投将持有不少于26%的公司股东大会表决权，成为公司的控股股东。由于杭州市下城区财政局持有下城国投100%股权，若交易完成，润达医疗实际控制人将由刘辉和朱文怡变更为杭州市下城区人民政府。</w:t>
      </w:r>
    </w:p>
    <w:p>
      <w:pPr>
        <w:pStyle w:val="TextBody"/>
      </w:pPr>
      <w:r>
        <w:t xml:space="preserve">公告显示，本次签订的协议为意向性协议，最终方案尚需待签订正式《股份转让协议》确定。</w:t>
      </w:r>
    </w:p>
    <w:p>
      <w:pPr>
        <w:pStyle w:val="TextBody"/>
      </w:pPr>
      <w:hyperlink r:id="rId59">
        <w:r>
          <w:rPr>
            <w:rStyle w:val="Hyperlink"/>
          </w:rPr>
          <w:t xml:space="preserve">http://company.cnstock.com/company/scp_gsxw/201908/4411345.htm</w:t>
        </w:r>
      </w:hyperlink>
    </w:p>
    <w:p>
      <w:pPr>
        <w:pStyle w:val="Heading3"/>
      </w:pPr>
      <w:bookmarkStart w:id="60" w:name="腾讯洽购全球最大唱片公司环球音乐10股权"/>
      <w:r>
        <w:t xml:space="preserve">腾讯洽购全球最大唱片公司环球音乐10%股权</w:t>
      </w:r>
      <w:bookmarkEnd w:id="60"/>
    </w:p>
    <w:p>
      <w:pPr>
        <w:pStyle w:val="FirstParagraph"/>
      </w:pPr>
      <w:r>
        <w:t xml:space="preserve">近日，法国媒体集团维旺迪（Vivendi）称，针对出售10%的环球音乐集团（UMG）股权一事，已开始与腾讯进行初步商谈。</w:t>
      </w:r>
    </w:p>
    <w:p>
      <w:pPr>
        <w:pStyle w:val="TextBody"/>
      </w:pPr>
      <w:r>
        <w:t xml:space="preserve">维旺迪表示，本次交易如果达成，将为环球音乐带来300亿欧元（约合336亿美元）的初步估值（在完全稀释的基础上）。未来腾讯还拥有环球音乐10%股权的一年内认购期权。</w:t>
      </w:r>
    </w:p>
    <w:p>
      <w:pPr>
        <w:pStyle w:val="TextBody"/>
      </w:pPr>
      <w:r>
        <w:t xml:space="preserve">维旺迪和腾讯同时还在考虑战略商业合作的领域。维旺迪表示，公司期望加强合作，帮助环球音乐抓住数字化和新市场开放带来的增长机会。除了这些讨论之外，维旺迪还计划继续进一步向其它潜在合作伙伴出售环球音乐的少数股权。</w:t>
      </w:r>
    </w:p>
    <w:p>
      <w:pPr>
        <w:pStyle w:val="TextBody"/>
      </w:pPr>
      <w:hyperlink r:id="rId61">
        <w:r>
          <w:rPr>
            <w:rStyle w:val="Hyperlink"/>
          </w:rPr>
          <w:t xml:space="preserve">https://finance.sina.com.cn/stock/usstock/c/2019-08-06/doc-ihytcitm7257299.shtml</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法讯 - 中国 - 2019年8月9日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39bc0b2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59" Type="http://schemas.openxmlformats.org/officeDocument/2006/relationships/hyperlink" Target="http://company.cnstock.com/company/scp_gsxw/201908/4411345.htm" TargetMode="External"/><Relationship Id="rId28" Type="http://schemas.openxmlformats.org/officeDocument/2006/relationships/hyperlink" Target="http://news.cnstock.com/news,bwkx-201908-4412019.htm" TargetMode="External"/><Relationship Id="rId54" Type="http://schemas.openxmlformats.org/officeDocument/2006/relationships/hyperlink" Target="http://news.cnstock.com/news,bwkx-201908-4412027.htm" TargetMode="External"/><Relationship Id="rId52" Type="http://schemas.openxmlformats.org/officeDocument/2006/relationships/hyperlink" Target="http://news.cnstock.com/news,bwkx-201908-4412513.htm" TargetMode="External"/><Relationship Id="rId26" Type="http://schemas.openxmlformats.org/officeDocument/2006/relationships/hyperlink" Target="http://news.cnstock.com/news,bwkx-201908-4412526.htm" TargetMode="External"/><Relationship Id="rId50" Type="http://schemas.openxmlformats.org/officeDocument/2006/relationships/hyperlink" Target="http://news.cnstock.com/news,yw-201908-4411277.htm" TargetMode="External"/><Relationship Id="rId48" Type="http://schemas.openxmlformats.org/officeDocument/2006/relationships/hyperlink" Target="http://news.cnstock.com/news,yw-201908-4411904.htm" TargetMode="External"/><Relationship Id="rId24" Type="http://schemas.openxmlformats.org/officeDocument/2006/relationships/hyperlink" Target="http://news.cnstock.com/news,yw-201908-4412632.htm" TargetMode="External"/><Relationship Id="rId37" Type="http://schemas.openxmlformats.org/officeDocument/2006/relationships/hyperlink" Target="http://news.cnstock.com/news,yw-201908-4412648.htm" TargetMode="External"/><Relationship Id="rId40" Type="http://schemas.openxmlformats.org/officeDocument/2006/relationships/hyperlink" Target="http://www.ifnews.com/17/detail-42552.html" TargetMode="External"/><Relationship Id="rId43" Type="http://schemas.openxmlformats.org/officeDocument/2006/relationships/hyperlink" Target="http://www.ifnews.com/17/detail-42580.html" TargetMode="External"/><Relationship Id="rId32" Type="http://schemas.openxmlformats.org/officeDocument/2006/relationships/hyperlink" Target="http://www.szse.cn/aboutus/trends/news/t20190802_569210.html" TargetMode="External"/><Relationship Id="rId46" Type="http://schemas.openxmlformats.org/officeDocument/2006/relationships/hyperlink" Target="http://www.xinhuanet.com/money/2019-08/06/c_1124841431.htm" TargetMode="External"/><Relationship Id="rId34" Type="http://schemas.openxmlformats.org/officeDocument/2006/relationships/hyperlink" Target="http://www.xinhuanet.com/money/2019-08/07/c_1124845969.htm" TargetMode="External"/><Relationship Id="rId30" Type="http://schemas.openxmlformats.org/officeDocument/2006/relationships/hyperlink" Target="http://xw.sinoins.com/2019-08/07/content_300517.htm" TargetMode="External"/><Relationship Id="rId56" Type="http://schemas.openxmlformats.org/officeDocument/2006/relationships/hyperlink" Target="https://finance.sina.com.cn/china/2019-08-08/doc-ihytcitm7703706.shtml" TargetMode="External"/><Relationship Id="rId61" Type="http://schemas.openxmlformats.org/officeDocument/2006/relationships/hyperlink" Target="https://finance.sina.com.cn/stock/usstock/c/2019-08-06/doc-ihytcitm7257299.shtml" TargetMode="External"/><Relationship Id="rId9" Type="http://schemas.openxmlformats.org/officeDocument/2006/relationships/hyperlink" Target="http://www.charltonslaw.com.cn/yi-hang-liang-hui-lian-he-fa-wen-kuo-da-jiao-yi-suo-zhai-shi-can-yu-xian-quan-jiao-yi-yin-hang-fan-wei"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59" Type="http://schemas.openxmlformats.org/officeDocument/2006/relationships/hyperlink" Target="http://company.cnstock.com/company/scp_gsxw/201908/4411345.htm" TargetMode="External"/><Relationship Id="rId28" Type="http://schemas.openxmlformats.org/officeDocument/2006/relationships/hyperlink" Target="http://news.cnstock.com/news,bwkx-201908-4412019.htm" TargetMode="External"/><Relationship Id="rId54" Type="http://schemas.openxmlformats.org/officeDocument/2006/relationships/hyperlink" Target="http://news.cnstock.com/news,bwkx-201908-4412027.htm" TargetMode="External"/><Relationship Id="rId52" Type="http://schemas.openxmlformats.org/officeDocument/2006/relationships/hyperlink" Target="http://news.cnstock.com/news,bwkx-201908-4412513.htm" TargetMode="External"/><Relationship Id="rId26" Type="http://schemas.openxmlformats.org/officeDocument/2006/relationships/hyperlink" Target="http://news.cnstock.com/news,bwkx-201908-4412526.htm" TargetMode="External"/><Relationship Id="rId50" Type="http://schemas.openxmlformats.org/officeDocument/2006/relationships/hyperlink" Target="http://news.cnstock.com/news,yw-201908-4411277.htm" TargetMode="External"/><Relationship Id="rId48" Type="http://schemas.openxmlformats.org/officeDocument/2006/relationships/hyperlink" Target="http://news.cnstock.com/news,yw-201908-4411904.htm" TargetMode="External"/><Relationship Id="rId24" Type="http://schemas.openxmlformats.org/officeDocument/2006/relationships/hyperlink" Target="http://news.cnstock.com/news,yw-201908-4412632.htm" TargetMode="External"/><Relationship Id="rId37" Type="http://schemas.openxmlformats.org/officeDocument/2006/relationships/hyperlink" Target="http://news.cnstock.com/news,yw-201908-4412648.htm" TargetMode="External"/><Relationship Id="rId40" Type="http://schemas.openxmlformats.org/officeDocument/2006/relationships/hyperlink" Target="http://www.ifnews.com/17/detail-42552.html" TargetMode="External"/><Relationship Id="rId43" Type="http://schemas.openxmlformats.org/officeDocument/2006/relationships/hyperlink" Target="http://www.ifnews.com/17/detail-42580.html" TargetMode="External"/><Relationship Id="rId32" Type="http://schemas.openxmlformats.org/officeDocument/2006/relationships/hyperlink" Target="http://www.szse.cn/aboutus/trends/news/t20190802_569210.html" TargetMode="External"/><Relationship Id="rId46" Type="http://schemas.openxmlformats.org/officeDocument/2006/relationships/hyperlink" Target="http://www.xinhuanet.com/money/2019-08/06/c_1124841431.htm" TargetMode="External"/><Relationship Id="rId34" Type="http://schemas.openxmlformats.org/officeDocument/2006/relationships/hyperlink" Target="http://www.xinhuanet.com/money/2019-08/07/c_1124845969.htm" TargetMode="External"/><Relationship Id="rId30" Type="http://schemas.openxmlformats.org/officeDocument/2006/relationships/hyperlink" Target="http://xw.sinoins.com/2019-08/07/content_300517.htm" TargetMode="External"/><Relationship Id="rId56" Type="http://schemas.openxmlformats.org/officeDocument/2006/relationships/hyperlink" Target="https://finance.sina.com.cn/china/2019-08-08/doc-ihytcitm7703706.shtml" TargetMode="External"/><Relationship Id="rId61" Type="http://schemas.openxmlformats.org/officeDocument/2006/relationships/hyperlink" Target="https://finance.sina.com.cn/stock/usstock/c/2019-08-06/doc-ihytcitm7257299.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2019-08-09T02:30:14Z</dcterms:created>
  <dcterms:modified xsi:type="dcterms:W3CDTF">2019-08-09T02:30:14Z</dcterms:modified>
</cp:coreProperties>
</file>