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- 2019年9月6日</w:t>
      </w:r>
    </w:p>
    <w:p>
      <w:pPr>
        <w:pStyle w:val="ReadOnline"/>
      </w:pPr>
      <w:hyperlink r:id="rId9">
        <w:r>
          <w:rPr/>
          <w:t>online version</w:t>
        </w:r>
      </w:hyperlink>
    </w:p>
    <w:p>
      <w:pPr>
        <w:pStyle w:val="Title"/>
      </w:pPr>
      <w:r>
        <w:t>摩根大通宣布将中国政府债券纳入摩根大通旗舰指数</w:t>
      </w:r>
    </w:p>
    <w:p>
      <w:pPr>
        <w:pStyle w:val="Heading2"/>
      </w:pPr>
      <w:bookmarkStart w:id="21" w:name="简介"/>
      <w:r>
        <w:t xml:space="preserve">简介</w:t>
      </w:r>
      <w:bookmarkEnd w:id="21"/>
    </w:p>
    <w:p>
      <w:pPr>
        <w:pStyle w:val="FirstParagraph"/>
      </w:pPr>
      <w:r>
        <w:t xml:space="preserve">摩根大通宣布将中国政府债券纳入摩根大通旗舰指数；《关于加强P2P网贷领域征信体系建设的通知》发布；银保监会完善人身险责任准备金评估利率形成机制</w:t>
      </w:r>
    </w:p>
    <w:p>
      <w:pPr>
        <w:pStyle w:val="Heading2"/>
      </w:pPr>
      <w:bookmarkStart w:id="22" w:name="资本市场"/>
      <w:r>
        <w:t xml:space="preserve">资本市场</w:t>
      </w:r>
      <w:bookmarkEnd w:id="22"/>
    </w:p>
    <w:p>
      <w:pPr>
        <w:pStyle w:val="Heading3"/>
      </w:pPr>
      <w:bookmarkStart w:id="23" w:name="摩根大通宣布将中国政府债券纳入摩根大通旗舰指数"/>
      <w:r>
        <w:t xml:space="preserve">摩根大通宣布将中国政府债券纳入摩根大通旗舰指数</w:t>
      </w:r>
      <w:bookmarkEnd w:id="23"/>
    </w:p>
    <w:p>
      <w:pPr>
        <w:pStyle w:val="FirstParagraph"/>
      </w:pPr>
      <w:r>
        <w:t xml:space="preserve">2019年9月4日，摩根大通宣布，以人民币计价的高流动性中国政府债券将于2020年2月28日起被纳入摩根大通旗舰全球新兴市场政府债券指数系列（Government Bond Index-Emerging Markets，简称GBI-EM），纳入工作将在10个月内分步完成。</w:t>
      </w:r>
    </w:p>
    <w:p>
      <w:pPr>
        <w:pStyle w:val="TextBody"/>
      </w:pPr>
      <w:r>
        <w:t xml:space="preserve">受此次纳入影响最大的摩根大通全球新兴市场政府债券指数系列，包括全球新兴市场多元化政府债券指数（GBI-EM Global Diversified，简称GBI-EM GD）、全球新兴市场政府债券指数（GBI-EM Global）、新兴市场政府债券指数（狭义）【GBI-EM（Narrow）】及新兴市场多元化政府债券指数（狭义）【GMI-EM（Narrow）Diversified】。跟踪全球新兴市场政府债券指数系列（GBI-EM）的资产规模约2260亿美元，其中全球新兴市场多元化政府债券指数（GBI-EM GD）占2020亿美元，此次纳入的中国政府债券将在完全纳入后达到该指数10%的权重上限。</w:t>
      </w:r>
    </w:p>
    <w:p>
      <w:pPr>
        <w:pStyle w:val="TextBody"/>
      </w:pPr>
      <w:r>
        <w:t xml:space="preserve">此次调整标志着有9只符合资格的高流动性中国政府债券，将于2020年2月28日起被纳入上述指数，其中包括6只已发行的债券以及3只定于2019年10月至12月期间发行的新债。</w:t>
      </w:r>
    </w:p>
    <w:p>
      <w:pPr>
        <w:pStyle w:val="TextBody"/>
      </w:pPr>
      <w:hyperlink r:id="rId24">
        <w:r>
          <w:rPr>
            <w:rStyle w:val="Hyperlink"/>
          </w:rPr>
          <w:t xml:space="preserve">http://news.cnstock.com/news,bwkx-201909-4426571.htm</w:t>
        </w:r>
      </w:hyperlink>
    </w:p>
    <w:p>
      <w:pPr>
        <w:pStyle w:val="Heading3"/>
      </w:pPr>
      <w:bookmarkStart w:id="25" w:name="关于加强p2p网贷领域征信体系建设的通知发布"/>
      <w:r>
        <w:t xml:space="preserve">《关于加强P2P网贷领域征信体系建设的通知》发布</w:t>
      </w:r>
      <w:bookmarkEnd w:id="25"/>
    </w:p>
    <w:p>
      <w:pPr>
        <w:pStyle w:val="FirstParagraph"/>
      </w:pPr>
      <w:r>
        <w:t xml:space="preserve">互联网金融风险专项整治工作领导小组、网络借贷风险专项整治工作领导小组2019年9月2日联合发布《关于加强P2P网贷领域征信体系建设的通知》（下简称《通知》）。《通知》表示，各地互联网金融风险专项整治工作领导小组、网贷风险专项整治工作领导小组组织辖内在营的P2P网贷机构接入金融信用信息基础数据库运行机构、百行征信等征信机构。</w:t>
      </w:r>
    </w:p>
    <w:p>
      <w:pPr>
        <w:pStyle w:val="TextBody"/>
      </w:pPr>
      <w:r>
        <w:t xml:space="preserve">《通知》明确，要加大对网贷领域失信人的惩戒力度。一是鼓励银行业金融机构、保险机构等按照风险定价原则，对P2P网贷领域失信人提高贷款利率和财产保险费率，或者限制向其提供贷款、保险等服务。二是鼓励各地依法建立跨部门联合惩戒机制，对失信行为加大社会惩戒力度，形成政府部门协同联动、行业组织自律管理、社会舆论广泛监督的共同治理格局。</w:t>
      </w:r>
    </w:p>
    <w:p>
      <w:pPr>
        <w:pStyle w:val="TextBody"/>
      </w:pPr>
      <w:r>
        <w:t xml:space="preserve">《通知》还明确，P2P网贷机构应当依法合规归集、报送相关信用信息，并向金融信用信息基础数据库运行机构、百行征信等征信机构提供所撮合网贷交易的利率信息。利率超过《最高人民法院关于审理民间借贷案件适用法律若干问题的规定》中有关人民法院支持的借贷利率的，信息主体有权按照《征信业管理条例》向金融信用信息基础数据库运行机构、百行征信等征信机构或P2P网贷机构提出异议，要求更正。</w:t>
      </w:r>
    </w:p>
    <w:p>
      <w:pPr>
        <w:pStyle w:val="TextBody"/>
      </w:pPr>
      <w:hyperlink r:id="rId26">
        <w:r>
          <w:rPr>
            <w:rStyle w:val="Hyperlink"/>
          </w:rPr>
          <w:t xml:space="preserve">https://tech.sina.com.cn/i/2019-09-05/doc-iicezueu3505809.shtml</w:t>
        </w:r>
      </w:hyperlink>
    </w:p>
    <w:p>
      <w:pPr>
        <w:pStyle w:val="Heading3"/>
      </w:pPr>
      <w:bookmarkStart w:id="27" w:name="首批商品期货etf将在深交所发行上市"/>
      <w:r>
        <w:t xml:space="preserve">首批商品期货ETF将在深交所发行上市</w:t>
      </w:r>
      <w:bookmarkEnd w:id="27"/>
    </w:p>
    <w:p>
      <w:pPr>
        <w:pStyle w:val="FirstParagraph"/>
      </w:pPr>
      <w:r>
        <w:t xml:space="preserve">近日，境内首批商品期货ETF产品——华夏饲料豆粕期货ETF、建信易盛郑商所能源化工期货ETF、大成有色金属期货ETF获得中国证监会准予注册的批复，将在深交所发行上市。商品期货ETF通常跟踪商品期货价格指数，投资于相应指数所包含的期货合约，上述三只商品期货ETF分别跟踪大商所饲料豆粕期货指数、易盛郑商所能源化工指数A、上期所有色金属期货指数。</w:t>
      </w:r>
    </w:p>
    <w:p>
      <w:pPr>
        <w:pStyle w:val="TextBody"/>
      </w:pPr>
      <w:r>
        <w:t xml:space="preserve">截至2019年8月底，深交所ETF数量63只，场内资产净值约1,106亿元，较2018年底分别增长17%、51%。</w:t>
      </w:r>
    </w:p>
    <w:p>
      <w:pPr>
        <w:pStyle w:val="TextBody"/>
      </w:pPr>
      <w:hyperlink r:id="rId28">
        <w:r>
          <w:rPr>
            <w:rStyle w:val="Hyperlink"/>
          </w:rPr>
          <w:t xml:space="preserve">http://www.szse.cn/aboutus/trends/news/t20190902_570372.html</w:t>
        </w:r>
      </w:hyperlink>
    </w:p>
    <w:p>
      <w:pPr>
        <w:pStyle w:val="Heading3"/>
      </w:pPr>
      <w:bookmarkStart w:id="29" w:name="上交所上证一带一路主题等指数样本股调整"/>
      <w:r>
        <w:t xml:space="preserve">上交所：上证一带一路主题等指数样本股调整</w:t>
      </w:r>
      <w:bookmarkEnd w:id="29"/>
    </w:p>
    <w:p>
      <w:pPr>
        <w:pStyle w:val="FirstParagraph"/>
      </w:pPr>
      <w:r>
        <w:t xml:space="preserve">上交所2019年9月2日发布消息，根据指数规则，中证指数有限公司与上海证券交易所决定于2019年9月16日起，将对上证一带一路主题等指数的样本股做出调整。</w:t>
      </w:r>
    </w:p>
    <w:p>
      <w:pPr>
        <w:pStyle w:val="TextBody"/>
      </w:pPr>
      <w:hyperlink r:id="rId30">
        <w:r>
          <w:rPr>
            <w:rStyle w:val="Hyperlink"/>
          </w:rPr>
          <w:t xml:space="preserve">http://news.cnstock.com/news,bwkx-201909-4425282.htm</w:t>
        </w:r>
      </w:hyperlink>
    </w:p>
    <w:p>
      <w:pPr>
        <w:pStyle w:val="Heading2"/>
      </w:pPr>
      <w:bookmarkStart w:id="31" w:name="保险"/>
      <w:r>
        <w:t xml:space="preserve">保险</w:t>
      </w:r>
      <w:bookmarkEnd w:id="31"/>
    </w:p>
    <w:p>
      <w:pPr>
        <w:pStyle w:val="Heading3"/>
      </w:pPr>
      <w:bookmarkStart w:id="32" w:name="银保监会完善人身险责任准备金评估利率形成机制"/>
      <w:r>
        <w:t xml:space="preserve">银保监会完善人身险责任准备金评估利率形成机制</w:t>
      </w:r>
      <w:bookmarkEnd w:id="32"/>
    </w:p>
    <w:p>
      <w:pPr>
        <w:pStyle w:val="FirstParagraph"/>
      </w:pPr>
      <w:r>
        <w:t xml:space="preserve">近日，中国银保监会发布《关于完善人身保险业责任准备金评估利率形成机制及调整责任准备金评估利率有关事项的通知》（以下简称《通知》）。</w:t>
      </w:r>
    </w:p>
    <w:p>
      <w:pPr>
        <w:pStyle w:val="TextBody"/>
      </w:pPr>
      <w:r>
        <w:t xml:space="preserve">《通知》的主要内容有三点：一是支持中国保险行业协会设立人身保险业责任准备金评估利率专家咨询委员会，定期研究讨论评估利率调整的必要性及其影响，形成相关建议供监管部门决策参考。二是优化人身保险业责任准备金评估利率形成机制。三是调整部分险种的评估利率水平。</w:t>
      </w:r>
    </w:p>
    <w:p>
      <w:pPr>
        <w:pStyle w:val="TextBody"/>
      </w:pPr>
      <w:r>
        <w:t xml:space="preserve">按照《通知》要求，自发布之日起，人身保险业责任准备金评估利率执行以下规定：1.2013年8月5日以后签发的普通型人身保险保单评估利率上限为年复利3.5%和预定利率的较小者；2013年8月5日以前签发的普通型人身保险保单评估利率继续执行原规定。2.分红型人身保险责任准备金的评估利率上限为年复利3%和预定利率的较小者。3.万能型人身保险责任准备金的评估利率上限为年复利3%。</w:t>
      </w:r>
    </w:p>
    <w:p>
      <w:pPr>
        <w:pStyle w:val="TextBody"/>
      </w:pPr>
      <w:hyperlink r:id="rId33">
        <w:r>
          <w:rPr>
            <w:rStyle w:val="Hyperlink"/>
          </w:rPr>
          <w:t xml:space="preserve">http://xw.sinoins.com/2019-09/02/content_303265.htm</w:t>
        </w:r>
      </w:hyperlink>
    </w:p>
    <w:p>
      <w:pPr>
        <w:pStyle w:val="Heading3"/>
      </w:pPr>
      <w:bookmarkStart w:id="34" w:name="关于明确银保监分局对车险违法违规行为采取监管措施有关事项的函下发"/>
      <w:r>
        <w:t xml:space="preserve">《关于明确银保监分局对车险违法违规行为采取监管措施有关事项的函》下发</w:t>
      </w:r>
      <w:bookmarkEnd w:id="34"/>
    </w:p>
    <w:p>
      <w:pPr>
        <w:pStyle w:val="FirstParagraph"/>
      </w:pPr>
      <w:r>
        <w:t xml:space="preserve">银保监会近日向各银保监局下发《关于明确银保监分局对车险违法违规行为采取监管措施有关事项的函》，明确表示银保监分局可对相关地市级及以下保险机构采取责令停止使用车险条款和费率的监管措施。</w:t>
      </w:r>
    </w:p>
    <w:p>
      <w:pPr>
        <w:pStyle w:val="TextBody"/>
      </w:pPr>
      <w:r>
        <w:t xml:space="preserve">银保监会依据保险法第一百三十六条和《关于进一步加强车险监管有关事项的通知》第三条的规定，银保监分局查实当地财险机构未按照规定使用车险条款、费率的行为后，可对相关地市级及以下保险机构采取责令停止使用车险条款和费率的监管措施。</w:t>
      </w:r>
    </w:p>
    <w:p>
      <w:pPr>
        <w:pStyle w:val="TextBody"/>
      </w:pPr>
      <w:r>
        <w:t xml:space="preserve">此外，为铲除涉嫌利益输送关联关系，建立不正当利益阻断机制，近日银保监会财险部起草了《关于在车险领域开展履职回避试点工作的通知（征求意见稿）》，要求财险机构关键人员在履职时应与同在相关产业链上的亲属避嫌，为进一步完善公司内控和规范市场秩序奠定基础。</w:t>
      </w:r>
    </w:p>
    <w:p>
      <w:pPr>
        <w:pStyle w:val="TextBody"/>
      </w:pPr>
      <w:hyperlink r:id="rId35">
        <w:r>
          <w:rPr>
            <w:rStyle w:val="Hyperlink"/>
          </w:rPr>
          <w:t xml:space="preserve">http://news.cnstock.com/news,jg-201909-4426269.htm</w:t>
        </w:r>
      </w:hyperlink>
    </w:p>
    <w:p>
      <w:pPr>
        <w:pStyle w:val="Heading2"/>
      </w:pPr>
      <w:bookmarkStart w:id="36" w:name="知产"/>
      <w:r>
        <w:t xml:space="preserve">知产</w:t>
      </w:r>
      <w:bookmarkEnd w:id="36"/>
    </w:p>
    <w:p>
      <w:pPr>
        <w:pStyle w:val="Heading3"/>
      </w:pPr>
      <w:bookmarkStart w:id="37" w:name="中国知识产权年会召开"/>
      <w:r>
        <w:t xml:space="preserve">中国知识产权年会召开</w:t>
      </w:r>
      <w:bookmarkEnd w:id="37"/>
    </w:p>
    <w:p>
      <w:pPr>
        <w:pStyle w:val="FirstParagraph"/>
      </w:pPr>
      <w:r>
        <w:t xml:space="preserve">2019年9月2日，以“知识产权与时代同行”为主题的第十届中国知识产权年会在杭州开幕。</w:t>
      </w:r>
    </w:p>
    <w:p>
      <w:pPr>
        <w:pStyle w:val="TextBody"/>
      </w:pPr>
      <w:r>
        <w:t xml:space="preserve">中国每年的专利、商标申请量稳居世界首位，通过《专利合作条约》途径提交的专利申请量和通过《商标国际注册马德里协定》提交的商标申请量，已经分别位居全球第二位和第三位，知识产权创造质量、保护效果、运用效益和国际影响力也在不断提升。</w:t>
      </w:r>
    </w:p>
    <w:p>
      <w:pPr>
        <w:pStyle w:val="TextBody"/>
      </w:pPr>
      <w:r>
        <w:t xml:space="preserve">知识产权工作在战略规划层面，将研究制定面向2035年的知识产权强国战略纲要，推动知识产权强国建设和知识产权战略实施接续推进、压茬进行。在法律制度层面，认真落实新颁布的外商投资法和新修订的商标法，实施更加严格的商标侵权惩罚性赔偿制度。同时，加快推进专利法的修改，建立侵权惩罚性赔偿制度和药品专利保护期补偿制度，延长外观设计专利保护期。在审查业务层面，持续提升知识产权审查质量和审查效率，提高专利、商标授权的及时性和权利的稳定性。从国际角度，将致力于更大力度加强知识产权保护与国际合作。</w:t>
      </w:r>
    </w:p>
    <w:p>
      <w:pPr>
        <w:pStyle w:val="TextBody"/>
      </w:pPr>
      <w:hyperlink r:id="rId38">
        <w:r>
          <w:rPr>
            <w:rStyle w:val="Hyperlink"/>
          </w:rPr>
          <w:t xml:space="preserve">http://news.cnstock.com/news,bwkx-201909-4425377.htm</w:t>
        </w:r>
      </w:hyperlink>
    </w:p>
    <w:p>
      <w:pPr>
        <w:pStyle w:val="Heading3"/>
      </w:pPr>
      <w:bookmarkStart w:id="39" w:name="国家统计局科学技术部和财政部联合发布了2018年全国科技经费投入统计公报"/>
      <w:r>
        <w:t xml:space="preserve">国家统计局、科学技术部和财政部联合发布了《2018年全国科技经费投入统计公报》</w:t>
      </w:r>
      <w:bookmarkEnd w:id="39"/>
    </w:p>
    <w:p>
      <w:pPr>
        <w:pStyle w:val="FirstParagraph"/>
      </w:pPr>
      <w:r>
        <w:t xml:space="preserve">日前，国家统计局、科学技术部和财政部联合发布了《2018年全国科技经费投入统计公报》（下简称《公报》）。</w:t>
      </w:r>
    </w:p>
    <w:p>
      <w:pPr>
        <w:pStyle w:val="TextBody"/>
      </w:pPr>
      <w:r>
        <w:t xml:space="preserve">《公报》数据显示，2018年我国R&amp;D经费投入总量为19677.9亿元，比上年增加2071.8亿元，增长11.8%，连续3年保持了两位数增速。且投入结构进一步优化，基础研究投入突破千亿元。政府财政投入不断增加，政策环境持续改善。</w:t>
      </w:r>
    </w:p>
    <w:p>
      <w:pPr>
        <w:pStyle w:val="TextBody"/>
      </w:pPr>
      <w:hyperlink r:id="rId40">
        <w:r>
          <w:rPr>
            <w:rStyle w:val="Hyperlink"/>
          </w:rPr>
          <w:t xml:space="preserve">http://news.cnstock.com/news,bwkx-201908-4424341.htm</w:t>
        </w:r>
      </w:hyperlink>
    </w:p>
    <w:p>
      <w:pPr>
        <w:pStyle w:val="Heading2"/>
      </w:pPr>
      <w:bookmarkStart w:id="41" w:name="行业"/>
      <w:r>
        <w:t xml:space="preserve">行业</w:t>
      </w:r>
      <w:bookmarkEnd w:id="41"/>
    </w:p>
    <w:p>
      <w:pPr>
        <w:pStyle w:val="Heading3"/>
      </w:pPr>
      <w:bookmarkStart w:id="42" w:name="国家发展改革委发布第三方市场合作指南和案例"/>
      <w:r>
        <w:t xml:space="preserve">国家发展改革委发布《第三方市场合作指南和案例》</w:t>
      </w:r>
      <w:bookmarkEnd w:id="42"/>
    </w:p>
    <w:p>
      <w:pPr>
        <w:pStyle w:val="FirstParagraph"/>
      </w:pPr>
      <w:r>
        <w:t xml:space="preserve">为更好服务企业开展第三方市场合作，国家发展改革委近日发布中英双语版《第三方市场合作指南和案例》（以下简称《指南和案例》）。</w:t>
      </w:r>
    </w:p>
    <w:p>
      <w:pPr>
        <w:pStyle w:val="TextBody"/>
      </w:pPr>
      <w:r>
        <w:t xml:space="preserve">第三方市场合作主要是指中国企业（含金融企业）与有关国家企业共同在第三方市场开展经济合作。</w:t>
      </w:r>
    </w:p>
    <w:p>
      <w:pPr>
        <w:pStyle w:val="TextBody"/>
      </w:pPr>
      <w:r>
        <w:t xml:space="preserve">《指南和案例》介绍了第三方市场合作的机制和平台。截至2019年6月，中方已与法国、日本、意大利、英国等14个国家签署第三方市场合作文件，建立第三方市场合作机制，共同为企业搭建合作平台、提供公共服务。并且《指南和案例》列举了案例，为有意开展第三方市场合作的中外企业提供参考。</w:t>
      </w:r>
    </w:p>
    <w:p>
      <w:pPr>
        <w:pStyle w:val="TextBody"/>
      </w:pPr>
      <w:r>
        <w:t xml:space="preserve">下一步，将以共建“一带一路”为引领，与有关方面共同推动第三方市场合作。</w:t>
      </w:r>
    </w:p>
    <w:p>
      <w:pPr>
        <w:pStyle w:val="TextBody"/>
      </w:pPr>
      <w:hyperlink r:id="rId43">
        <w:r>
          <w:rPr>
            <w:rStyle w:val="Hyperlink"/>
          </w:rPr>
          <w:t xml:space="preserve">http://news.cnstock.com/news,bwkx-201909-4426442.htm</w:t>
        </w:r>
      </w:hyperlink>
    </w:p>
    <w:p>
      <w:pPr>
        <w:pStyle w:val="Heading3"/>
      </w:pPr>
      <w:bookmarkStart w:id="44" w:name="国务院新闻办发表中国的核安全白皮书"/>
      <w:r>
        <w:t xml:space="preserve">国务院新闻办发表《中国的核安全》白皮书</w:t>
      </w:r>
      <w:bookmarkEnd w:id="44"/>
    </w:p>
    <w:p>
      <w:pPr>
        <w:pStyle w:val="FirstParagraph"/>
      </w:pPr>
      <w:r>
        <w:t xml:space="preserve">2019年9月3日国务院新闻办发表《中国的核安全》白皮书。这是中国发表的首部核安全白皮书。</w:t>
      </w:r>
    </w:p>
    <w:p>
      <w:pPr>
        <w:pStyle w:val="TextBody"/>
      </w:pPr>
      <w:r>
        <w:t xml:space="preserve">白皮书全文约1.1万字，由前言、正文和结束语组成。白皮书以中、英、法、俄、德、西、阿、日等8个语种发表，全面介绍了中国核安全事业的发展历程，阐述中国核安全的基本原则和政策主张，分享中国核安全监管的理念和实践，阐明中国推进全球核安全治理进程的决心和行动。</w:t>
      </w:r>
    </w:p>
    <w:p>
      <w:pPr>
        <w:pStyle w:val="TextBody"/>
      </w:pPr>
      <w:hyperlink r:id="rId45">
        <w:r>
          <w:rPr>
            <w:rStyle w:val="Hyperlink"/>
          </w:rPr>
          <w:t xml:space="preserve">http://news.cnstock.com/news,bwkx-201909-4425839.htm</w:t>
        </w:r>
      </w:hyperlink>
    </w:p>
    <w:p>
      <w:pPr>
        <w:pStyle w:val="Heading3"/>
      </w:pPr>
      <w:bookmarkStart w:id="46" w:name="国办印发体育强国建设纲要"/>
      <w:r>
        <w:t xml:space="preserve">国办印发《体育强国建设纲要》</w:t>
      </w:r>
      <w:bookmarkEnd w:id="46"/>
    </w:p>
    <w:p>
      <w:pPr>
        <w:pStyle w:val="FirstParagraph"/>
      </w:pPr>
      <w:r>
        <w:t xml:space="preserve">国务院办公厅日前印发《体育强国建设纲要》（以下简称《纲要》）。《纲要》提出，到2020年，建立与全面建成小康社会相适应的体育发展新机制。体育产业在实现高质量发展上取得新进展。到2035年，体育治理体系和治理能力实现现代化，体育产业更大更活更优，成为国民经济支柱性产业。到2050年，全面建成社会主义现代化体育强国，人民身体素养和健康水平、体育综合实力和国际影响力居于世界前列。</w:t>
      </w:r>
    </w:p>
    <w:p>
      <w:pPr>
        <w:pStyle w:val="TextBody"/>
      </w:pPr>
      <w:r>
        <w:t xml:space="preserve">《纲要》提出，完善公共财政体育投入机制，多渠道筹措资金支持体育强国建设。加大政府性基金与一般公共预算的统筹力度。加大政府向社会力量购买公共体育服务的力度。研究完善建设用地标准，在国家土地政策允许范围内，保障重要公益性体育设施和体育产业设施、项目必要用地，并依法依规办理用地手续。</w:t>
      </w:r>
    </w:p>
    <w:p>
      <w:pPr>
        <w:pStyle w:val="TextBody"/>
      </w:pPr>
      <w:hyperlink r:id="rId47">
        <w:r>
          <w:rPr>
            <w:rStyle w:val="Hyperlink"/>
          </w:rPr>
          <w:t xml:space="preserve">http://news.cnstock.com/theme,201909-4425695.htm</w:t>
        </w:r>
      </w:hyperlink>
    </w:p>
    <w:p>
      <w:pPr>
        <w:pStyle w:val="Heading3"/>
      </w:pPr>
      <w:bookmarkStart w:id="48" w:name="国家医疗保障局印发关于完善互联网医疗服务价格和医保支付政策的指导意见"/>
      <w:r>
        <w:t xml:space="preserve">国家医疗保障局印发《关于完善“互联网+”医疗服务价格和医保支付政策的指导意见》</w:t>
      </w:r>
      <w:bookmarkEnd w:id="48"/>
    </w:p>
    <w:p>
      <w:pPr>
        <w:pStyle w:val="FirstParagraph"/>
      </w:pPr>
      <w:r>
        <w:t xml:space="preserve">为贯彻落实党中央、国务院关于“互联网+”在医疗健康领域的创新和应用要求，近期，国家医保局印发了《关于完善“互联网+”医疗服务价格和医保支付政策的指导意见》（以下简称《指导意见》）。</w:t>
      </w:r>
    </w:p>
    <w:p>
      <w:pPr>
        <w:pStyle w:val="TextBody"/>
      </w:pPr>
      <w:r>
        <w:t xml:space="preserve">《指导意见》的政策要点是：一是深化“放管服”，聚焦医保支付的“互联网+”医疗服务。二是保证政策的协调性、延续性。明确“互联网+”条件下的医疗服务仍然是医疗服务，基本适用一般性的原则和政策。项目和价格纳入现有政策框架中。强调线上线下公平。三是体现“互联网+”新特点 ，《指导意见》结合其特点，细化了“互联网+”医疗服务价格和医保支付政策。</w:t>
      </w:r>
    </w:p>
    <w:p>
      <w:pPr>
        <w:pStyle w:val="TextBody"/>
      </w:pPr>
      <w:hyperlink r:id="rId49">
        <w:r>
          <w:rPr>
            <w:rStyle w:val="Hyperlink"/>
          </w:rPr>
          <w:t xml:space="preserve">http://news.cnstock.com/news,bwkx-201908-4424525.htm</w:t>
        </w:r>
      </w:hyperlink>
    </w:p>
    <w:p>
      <w:pPr>
        <w:pStyle w:val="Heading3"/>
      </w:pPr>
      <w:bookmarkStart w:id="50" w:name="第二届进博会汽车展区将增设自动驾驶体验区"/>
      <w:r>
        <w:t xml:space="preserve">第二届进博会汽车展区将增设自动驾驶体验区</w:t>
      </w:r>
      <w:bookmarkEnd w:id="50"/>
    </w:p>
    <w:p>
      <w:pPr>
        <w:pStyle w:val="FirstParagraph"/>
      </w:pPr>
      <w:r>
        <w:t xml:space="preserve">第二届中国国际进口博览会汽车展区展前供需对接会于2019年8月30日在国家会展中心（上海）举行。</w:t>
      </w:r>
    </w:p>
    <w:p>
      <w:pPr>
        <w:pStyle w:val="TextBody"/>
      </w:pPr>
      <w:r>
        <w:t xml:space="preserve">第二届进博会汽车展区将合理设置展区，分设整车、汽车生产及零部件、汽车养护用品及润滑油、汽车配套产品等主题，现场汇聚氢燃料电池车、自动驾驶汽车、古董车等众多中国首发产品。与上一届进博会相比，第二届进博会还将增设自动驾驶体验区。</w:t>
      </w:r>
    </w:p>
    <w:p>
      <w:pPr>
        <w:pStyle w:val="TextBody"/>
      </w:pPr>
      <w:hyperlink r:id="rId51">
        <w:r>
          <w:rPr>
            <w:rStyle w:val="Hyperlink"/>
          </w:rPr>
          <w:t xml:space="preserve">http://news.cnstock.com/news,bwkx-201908-4424524.htm</w:t>
        </w:r>
      </w:hyperlink>
    </w:p>
    <w:p>
      <w:pPr>
        <w:pStyle w:val="Heading3"/>
      </w:pPr>
      <w:bookmarkStart w:id="52" w:name="工信部将从四方面推动ic发展"/>
      <w:r>
        <w:t xml:space="preserve">工信部将从四方面推动IC发展</w:t>
      </w:r>
      <w:bookmarkEnd w:id="52"/>
    </w:p>
    <w:p>
      <w:pPr>
        <w:pStyle w:val="FirstParagraph"/>
      </w:pPr>
      <w:r>
        <w:t xml:space="preserve">2019年9月3日第二届全球IC企业家大会暨第十七届中国国际半导体博览会于上海开幕。</w:t>
      </w:r>
    </w:p>
    <w:p>
      <w:pPr>
        <w:pStyle w:val="TextBody"/>
      </w:pPr>
      <w:r>
        <w:t xml:space="preserve">近年来，我国集成电路（IC）产业实现了长足发展，年均复合增长率超过20%。2018年，我国集成电路产业规模再创新高，实现销售收入6532亿元，同比增长20.7%。未来，在5G、智能网联汽车、人工智能、超高清视频等新兴应用驱动下，全球集成电路产业的市场需求仍将不断增长。</w:t>
      </w:r>
    </w:p>
    <w:p>
      <w:pPr>
        <w:pStyle w:val="TextBody"/>
      </w:pPr>
      <w:hyperlink r:id="rId53">
        <w:r>
          <w:rPr>
            <w:rStyle w:val="Hyperlink"/>
          </w:rPr>
          <w:t xml:space="preserve">http://news.cnstock.com/news,bwkx-201909-4425898.htm</w:t>
        </w:r>
      </w:hyperlink>
    </w:p>
    <w:p>
      <w:pPr>
        <w:pStyle w:val="Heading2"/>
      </w:pPr>
      <w:bookmarkStart w:id="54" w:name="并购"/>
      <w:r>
        <w:t xml:space="preserve">并购</w:t>
      </w:r>
      <w:bookmarkEnd w:id="54"/>
    </w:p>
    <w:p>
      <w:pPr>
        <w:pStyle w:val="Heading3"/>
      </w:pPr>
      <w:bookmarkStart w:id="55" w:name="株洲国投加固宜安科技实控人地位"/>
      <w:r>
        <w:t xml:space="preserve">株洲国投加固宜安科技实控人地位</w:t>
      </w:r>
      <w:bookmarkEnd w:id="55"/>
    </w:p>
    <w:p>
      <w:pPr>
        <w:pStyle w:val="FirstParagraph"/>
      </w:pPr>
      <w:r>
        <w:t xml:space="preserve">2019年9月2日晚间，东莞宜安科技股份有限公司（下称“宜安科技”）发布公告称，原控股股东宜安实业拟将上市公司7.33%的股权转让给株洲国投，作价4.86亿元，同时解除此前宜安实业委托给株洲国投的7.33%股份对应表决权。本次股份转让及表决权委托解除完成后，株洲国投将持有上市公司27.97%股权及对应的表决权，也将成拥有宜安科技表决权第一的大股东。</w:t>
      </w:r>
    </w:p>
    <w:p>
      <w:pPr>
        <w:pStyle w:val="TextBody"/>
      </w:pPr>
      <w:r>
        <w:t xml:space="preserve">株洲国投成立于1998年，是株洲市国资委出资设立的全资子公司，主要从事的投资业务，包括国有资产投资、经营；对实体经济项目开展股权投资、债权投资、短期财务性投资等金融业务。宜安科技成立于1993年，于2012年登陆创业板，是一家专业从事新材料研发、设计、生产、销售为一体的高新技术企业，主要产品包括新能源汽车零部件、笔记本电脑等消费电子结构件、液态金属产品、高端LED幕墙及工业配件、精密模具等。</w:t>
      </w:r>
    </w:p>
    <w:p>
      <w:pPr>
        <w:pStyle w:val="TextBody"/>
      </w:pPr>
      <w:r>
        <w:t xml:space="preserve">株洲国投的入主给宜安科技带来了巨大的资金支持，其可以利用资金投向主营业务，巩固现有的竞争优势。</w:t>
      </w:r>
    </w:p>
    <w:p>
      <w:pPr>
        <w:pStyle w:val="TextBody"/>
      </w:pPr>
      <w:hyperlink r:id="rId56">
        <w:r>
          <w:rPr>
            <w:rStyle w:val="Hyperlink"/>
          </w:rPr>
          <w:t xml:space="preserve">http://www.ifnews.com/17/detail-43487.html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- 2019年9月6日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fdf02de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0" Type="http://schemas.openxmlformats.org/officeDocument/2006/relationships/hyperlink" Target="http://news.cnstock.com/news,bwkx-201908-4424341.htm" TargetMode="External"/><Relationship Id="rId51" Type="http://schemas.openxmlformats.org/officeDocument/2006/relationships/hyperlink" Target="http://news.cnstock.com/news,bwkx-201908-4424524.htm" TargetMode="External"/><Relationship Id="rId49" Type="http://schemas.openxmlformats.org/officeDocument/2006/relationships/hyperlink" Target="http://news.cnstock.com/news,bwkx-201908-4424525.htm" TargetMode="External"/><Relationship Id="rId30" Type="http://schemas.openxmlformats.org/officeDocument/2006/relationships/hyperlink" Target="http://news.cnstock.com/news,bwkx-201909-4425282.htm" TargetMode="External"/><Relationship Id="rId38" Type="http://schemas.openxmlformats.org/officeDocument/2006/relationships/hyperlink" Target="http://news.cnstock.com/news,bwkx-201909-4425377.htm" TargetMode="External"/><Relationship Id="rId45" Type="http://schemas.openxmlformats.org/officeDocument/2006/relationships/hyperlink" Target="http://news.cnstock.com/news,bwkx-201909-4425839.htm" TargetMode="External"/><Relationship Id="rId53" Type="http://schemas.openxmlformats.org/officeDocument/2006/relationships/hyperlink" Target="http://news.cnstock.com/news,bwkx-201909-4425898.htm" TargetMode="External"/><Relationship Id="rId43" Type="http://schemas.openxmlformats.org/officeDocument/2006/relationships/hyperlink" Target="http://news.cnstock.com/news,bwkx-201909-4426442.htm" TargetMode="External"/><Relationship Id="rId24" Type="http://schemas.openxmlformats.org/officeDocument/2006/relationships/hyperlink" Target="http://news.cnstock.com/news,bwkx-201909-4426571.htm" TargetMode="External"/><Relationship Id="rId35" Type="http://schemas.openxmlformats.org/officeDocument/2006/relationships/hyperlink" Target="http://news.cnstock.com/news,jg-201909-4426269.htm" TargetMode="External"/><Relationship Id="rId47" Type="http://schemas.openxmlformats.org/officeDocument/2006/relationships/hyperlink" Target="http://news.cnstock.com/theme,201909-4425695.htm" TargetMode="External"/><Relationship Id="rId56" Type="http://schemas.openxmlformats.org/officeDocument/2006/relationships/hyperlink" Target="http://www.ifnews.com/17/detail-43487.html" TargetMode="External"/><Relationship Id="rId28" Type="http://schemas.openxmlformats.org/officeDocument/2006/relationships/hyperlink" Target="http://www.szse.cn/aboutus/trends/news/t20190902_570372.html" TargetMode="External"/><Relationship Id="rId33" Type="http://schemas.openxmlformats.org/officeDocument/2006/relationships/hyperlink" Target="http://xw.sinoins.com/2019-09/02/content_303265.htm" TargetMode="External"/><Relationship Id="rId26" Type="http://schemas.openxmlformats.org/officeDocument/2006/relationships/hyperlink" Target="https://tech.sina.com.cn/i/2019-09-05/doc-iicezueu3505809.shtml" TargetMode="External"/><Relationship Id="rId9" Type="http://schemas.openxmlformats.org/officeDocument/2006/relationships/hyperlink" Target="http://www.charltonslaw.com.cn/mo-gen-da-tong-xuan-bu-jiang-zhong-guo-zheng-fu-zhai-quan-na-ru-mo-gen-da-tong-qi-jian-zhi-shu"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0" Type="http://schemas.openxmlformats.org/officeDocument/2006/relationships/hyperlink" Target="http://news.cnstock.com/news,bwkx-201908-4424341.htm" TargetMode="External"/><Relationship Id="rId51" Type="http://schemas.openxmlformats.org/officeDocument/2006/relationships/hyperlink" Target="http://news.cnstock.com/news,bwkx-201908-4424524.htm" TargetMode="External"/><Relationship Id="rId49" Type="http://schemas.openxmlformats.org/officeDocument/2006/relationships/hyperlink" Target="http://news.cnstock.com/news,bwkx-201908-4424525.htm" TargetMode="External"/><Relationship Id="rId30" Type="http://schemas.openxmlformats.org/officeDocument/2006/relationships/hyperlink" Target="http://news.cnstock.com/news,bwkx-201909-4425282.htm" TargetMode="External"/><Relationship Id="rId38" Type="http://schemas.openxmlformats.org/officeDocument/2006/relationships/hyperlink" Target="http://news.cnstock.com/news,bwkx-201909-4425377.htm" TargetMode="External"/><Relationship Id="rId45" Type="http://schemas.openxmlformats.org/officeDocument/2006/relationships/hyperlink" Target="http://news.cnstock.com/news,bwkx-201909-4425839.htm" TargetMode="External"/><Relationship Id="rId53" Type="http://schemas.openxmlformats.org/officeDocument/2006/relationships/hyperlink" Target="http://news.cnstock.com/news,bwkx-201909-4425898.htm" TargetMode="External"/><Relationship Id="rId43" Type="http://schemas.openxmlformats.org/officeDocument/2006/relationships/hyperlink" Target="http://news.cnstock.com/news,bwkx-201909-4426442.htm" TargetMode="External"/><Relationship Id="rId24" Type="http://schemas.openxmlformats.org/officeDocument/2006/relationships/hyperlink" Target="http://news.cnstock.com/news,bwkx-201909-4426571.htm" TargetMode="External"/><Relationship Id="rId35" Type="http://schemas.openxmlformats.org/officeDocument/2006/relationships/hyperlink" Target="http://news.cnstock.com/news,jg-201909-4426269.htm" TargetMode="External"/><Relationship Id="rId47" Type="http://schemas.openxmlformats.org/officeDocument/2006/relationships/hyperlink" Target="http://news.cnstock.com/theme,201909-4425695.htm" TargetMode="External"/><Relationship Id="rId56" Type="http://schemas.openxmlformats.org/officeDocument/2006/relationships/hyperlink" Target="http://www.ifnews.com/17/detail-43487.html" TargetMode="External"/><Relationship Id="rId28" Type="http://schemas.openxmlformats.org/officeDocument/2006/relationships/hyperlink" Target="http://www.szse.cn/aboutus/trends/news/t20190902_570372.html" TargetMode="External"/><Relationship Id="rId33" Type="http://schemas.openxmlformats.org/officeDocument/2006/relationships/hyperlink" Target="http://xw.sinoins.com/2019-09/02/content_303265.htm" TargetMode="External"/><Relationship Id="rId26" Type="http://schemas.openxmlformats.org/officeDocument/2006/relationships/hyperlink" Target="https://tech.sina.com.cn/i/2019-09-05/doc-iicezueu3505809.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2019-09-06T02:52:00Z</dcterms:created>
  <dcterms:modified xsi:type="dcterms:W3CDTF">2019-09-06T02:52:00Z</dcterms:modified>
</cp:coreProperties>
</file>