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- 2019年12月20日</w:t>
      </w:r>
    </w:p>
    <w:p>
      <w:pPr>
        <w:pStyle w:val="ReadOnline"/>
      </w:pPr>
      <w:hyperlink r:id="rId9">
        <w:r>
          <w:rPr/>
          <w:t>online version</w:t>
        </w:r>
      </w:hyperlink>
    </w:p>
    <w:p>
      <w:pPr>
        <w:pStyle w:val="Title"/>
      </w:pPr>
      <w:r>
        <w:t>沪深300股指期权合约交易细则落地</w:t>
      </w:r>
    </w:p>
    <w:p>
      <w:pPr>
        <w:pStyle w:val="Heading2"/>
      </w:pPr>
      <w:bookmarkStart w:id="21" w:name="简介"/>
      <w:r>
        <w:t xml:space="preserve">简介</w:t>
      </w:r>
      <w:bookmarkEnd w:id="21"/>
    </w:p>
    <w:p>
      <w:pPr>
        <w:pStyle w:val="FirstParagraph"/>
      </w:pPr>
      <w:r>
        <w:t xml:space="preserve">沪深300股指期权合约交易细则落地；沪深交易所发布关于规范公司债券发行有关事项的通知；央行、外汇局：进一步便利境外机构投资者境内证券投资；互联网保险将迎新规，强调机构持牌和人员持证</w:t>
      </w:r>
    </w:p>
    <w:p>
      <w:pPr>
        <w:pStyle w:val="Heading2"/>
      </w:pPr>
      <w:bookmarkStart w:id="22" w:name="资本市场"/>
      <w:r>
        <w:t xml:space="preserve">资本市场</w:t>
      </w:r>
      <w:bookmarkEnd w:id="22"/>
    </w:p>
    <w:p>
      <w:pPr>
        <w:pStyle w:val="Heading3"/>
      </w:pPr>
      <w:bookmarkStart w:id="23" w:name="沪深300股指期权合约交易细则落地"/>
      <w:r>
        <w:t xml:space="preserve">沪深300股指期权合约交易细则落地</w:t>
      </w:r>
      <w:bookmarkEnd w:id="23"/>
    </w:p>
    <w:p>
      <w:pPr>
        <w:pStyle w:val="FirstParagraph"/>
      </w:pPr>
      <w:r>
        <w:t xml:space="preserve">2019年12月14日，中国金融期货交易所发布《沪深300股指期权合约》及相关业务规则。具体包括该期权合约交易细则，以及中金所交易细则、结算细则、风控管理办法、信息管理办法的修订等。</w:t>
      </w:r>
    </w:p>
    <w:p>
      <w:pPr>
        <w:pStyle w:val="TextBody"/>
      </w:pPr>
      <w:r>
        <w:t xml:space="preserve">《沪深300股指期权合约》规定：合约标的为沪深300指数；合约乘数为每点人民币100元；合约类型为看涨期权和看跌期权；报价单位为指数点，最小价格变动为0.2点；合约月份为当月、下2个月及随后3个季月；行权方式为欧式，即买方只可在期权合约到期日当天行使权利；交割方式是现金方式。</w:t>
      </w:r>
    </w:p>
    <w:p>
      <w:pPr>
        <w:pStyle w:val="TextBody"/>
      </w:pPr>
      <w:r>
        <w:t xml:space="preserve">《中国金融期货交易所交易细则》新增了第六条，对合约类型、行权价格间距做出规定；修改了第二十八条对“结算价”的定义。</w:t>
      </w:r>
    </w:p>
    <w:p>
      <w:pPr>
        <w:pStyle w:val="TextBody"/>
      </w:pPr>
      <w:r>
        <w:t xml:space="preserve">《中国金融期货交易所结算细则》新增了第四十条、第四十五条，以及第八十七条至第九十条。对期权权利金的支付、行权、履约做出规定。</w:t>
      </w:r>
    </w:p>
    <w:p>
      <w:pPr>
        <w:pStyle w:val="TextBody"/>
      </w:pPr>
      <w:r>
        <w:t xml:space="preserve">有关沪深300股指期权开户的资金条件，此次一并发布的《中国金融期货交易所交易者适当性制度管理办法》的第五条明确规定了期货公司就交易者对市场、产品的认知能力、风险控制与承受能力和经济实力的评估要求。</w:t>
      </w:r>
    </w:p>
    <w:p>
      <w:pPr>
        <w:pStyle w:val="TextBody"/>
      </w:pPr>
      <w:hyperlink r:id="rId24">
        <w:r>
          <w:rPr>
            <w:rStyle w:val="Hyperlink"/>
          </w:rPr>
          <w:t xml:space="preserve">http://stock.cnstock.com/stock/smk_gszbs/201912/4464925.htm</w:t>
        </w:r>
      </w:hyperlink>
    </w:p>
    <w:p>
      <w:pPr>
        <w:pStyle w:val="Heading3"/>
      </w:pPr>
      <w:bookmarkStart w:id="25" w:name="沪深交易所发布关于规范公司债券发行有关事项的通知"/>
      <w:r>
        <w:t xml:space="preserve">沪深交易所发布关于规范公司债券发行有关事项的通知</w:t>
      </w:r>
      <w:bookmarkEnd w:id="25"/>
    </w:p>
    <w:p>
      <w:pPr>
        <w:pStyle w:val="FirstParagraph"/>
      </w:pPr>
      <w:r>
        <w:t xml:space="preserve">2019年12月13日，上海证券交易所和深圳证券交易所同期发布《关于规范公司债券发行有关事项的通知》，指出发行人不得在发行环节直接或者间接认购自己发行的债券；发行人的董事、监事、高级管理人员、持股比例超过5%的股东及其他关联方参与相关债券认购，属于应披露的重大事项，等等。</w:t>
      </w:r>
    </w:p>
    <w:p>
      <w:pPr>
        <w:pStyle w:val="TextBody"/>
      </w:pPr>
      <w:hyperlink r:id="rId26">
        <w:r>
          <w:rPr>
            <w:rStyle w:val="Hyperlink"/>
          </w:rPr>
          <w:t xml:space="preserve">http://news.cnstock.com/news,bwkx-201912-4464421.htm</w:t>
        </w:r>
      </w:hyperlink>
    </w:p>
    <w:p>
      <w:pPr>
        <w:pStyle w:val="Heading3"/>
      </w:pPr>
      <w:bookmarkStart w:id="27" w:name="央行外汇局进一步便利境外机构投资者境内证券投资"/>
      <w:r>
        <w:t xml:space="preserve">央行、外汇局：进一步便利境外机构投资者境内证券投资</w:t>
      </w:r>
      <w:bookmarkEnd w:id="27"/>
    </w:p>
    <w:p>
      <w:pPr>
        <w:pStyle w:val="FirstParagraph"/>
      </w:pPr>
      <w:r>
        <w:t xml:space="preserve">为进一步便利境外投资者开展境内证券投资，中国人民银行、国家外汇管理局起草了《境外机构投资者境内证券投资资金管理规定（征求意见稿）》（下称《征求意见稿》），近日公开征求意见。</w:t>
      </w:r>
    </w:p>
    <w:p>
      <w:pPr>
        <w:pStyle w:val="TextBody"/>
      </w:pPr>
      <w:r>
        <w:t xml:space="preserve">人民银行在公告中称，此次《征求意见稿》正式征求意见，主要为落实取消投资额度限制后，对合格境外机构投资者及人民币合格境外机构投资者境内证券投资，进行资金管理和风险防范的相关要求。</w:t>
      </w:r>
    </w:p>
    <w:p>
      <w:pPr>
        <w:pStyle w:val="TextBody"/>
      </w:pPr>
      <w:r>
        <w:t xml:space="preserve">《征求意见稿》指出，中国人民银行、国家外汇管理局及其分支机构依法对合格投资者的资金账户、资金收付及汇兑等实施监督、管理和检查。规定还明确了证券投资和衍生品交易应当分别开立专用存款账户。此次一并发布的《合格投资者境内账户管理操作指引》中规定，已开立基本存款账户的合格投资者，应开立人民币专用存款账户，分为合格投资者投资境内证券市场的专用存款账户，以及开展境内衍生品交易的专用存款账户。</w:t>
      </w:r>
    </w:p>
    <w:p>
      <w:pPr>
        <w:pStyle w:val="TextBody"/>
      </w:pPr>
      <w:hyperlink r:id="rId28">
        <w:r>
          <w:rPr>
            <w:rStyle w:val="Hyperlink"/>
          </w:rPr>
          <w:t xml:space="preserve">http://news.cnstock.com/news,jg-201912-4464666.htm</w:t>
        </w:r>
      </w:hyperlink>
    </w:p>
    <w:p>
      <w:pPr>
        <w:pStyle w:val="Heading3"/>
      </w:pPr>
      <w:bookmarkStart w:id="29" w:name="国内首批能化期权pta甲醇期权在郑商所上市"/>
      <w:r>
        <w:t xml:space="preserve">国内首批能化期权——PTA、甲醇期权在郑商所上市</w:t>
      </w:r>
      <w:bookmarkEnd w:id="29"/>
    </w:p>
    <w:p>
      <w:pPr>
        <w:pStyle w:val="FirstParagraph"/>
      </w:pPr>
      <w:r>
        <w:t xml:space="preserve">PTA、甲醇期权2019年12月16日在郑州商品交易所（以下简称“郑商所”）上市交易。PTA、甲醇期权是首批上市的能源化工期权品种。目前，PTA期货已经实现国际化，甲醇期货也将积极启动引入境外交易者。</w:t>
      </w:r>
    </w:p>
    <w:p>
      <w:pPr>
        <w:pStyle w:val="TextBody"/>
      </w:pPr>
      <w:r>
        <w:t xml:space="preserve">据了解，PTA是以石油为原料的化工产品，也是化纤的主要原料，连接石油化工和纺织工业两大国民经济重要支柱产业。甲醇既是基础化工原料，也是新兴清洁能源，涉及能源、建材、医药等众多行业和领域。我国PTA和甲醇产能分别约占全球的一半和60%，产销量均位居世界第一。</w:t>
      </w:r>
    </w:p>
    <w:p>
      <w:pPr>
        <w:pStyle w:val="TextBody"/>
      </w:pPr>
      <w:hyperlink r:id="rId30">
        <w:r>
          <w:rPr>
            <w:rStyle w:val="Hyperlink"/>
          </w:rPr>
          <w:t xml:space="preserve">http://news.cnstock.com/news,bwkx-201912-4465138.htm</w:t>
        </w:r>
      </w:hyperlink>
    </w:p>
    <w:p>
      <w:pPr>
        <w:pStyle w:val="Heading3"/>
      </w:pPr>
      <w:bookmarkStart w:id="31" w:name="上交所首批信用保护凭证落地助力发行人债券融资"/>
      <w:r>
        <w:t xml:space="preserve">上交所首批信用保护凭证落地，助力发行人债券融资</w:t>
      </w:r>
      <w:bookmarkEnd w:id="31"/>
    </w:p>
    <w:p>
      <w:pPr>
        <w:pStyle w:val="FirstParagraph"/>
      </w:pPr>
      <w:r>
        <w:t xml:space="preserve">在前期信用保护合约试点基础上，经中国证监会批准，上交所近期推出信用保护凭证试点。2019年12月17日，首批信用保护凭证落地，共4单，合计名义本金1.33亿元，有效支持债券融资44.6亿元。</w:t>
      </w:r>
    </w:p>
    <w:p>
      <w:pPr>
        <w:pStyle w:val="TextBody"/>
      </w:pPr>
      <w:r>
        <w:t xml:space="preserve">在前期信用保护合约稳健运行基础上，中国证监会批准同意上交所开展信用保护凭证业务试点。据悉，交易所信用保护凭证是指由凭证创设机构创设为凭证持有人就参考实体或债务提供信用风险保护的可交易流通的金融工具，具有以下特点：一是定价方式更为市场化，主要是采取簿记建档等方式创设，市场化程度高；二是要素较为标准化，可以通过非公开方式转让流通；三是投资者参与便捷，在满足投资者适当性条件下投资者无须签署主协议，覆盖面更为广泛；四是透明度高，对信用保护凭证存续期有较为严格的信息披露要求。</w:t>
      </w:r>
    </w:p>
    <w:p>
      <w:pPr>
        <w:pStyle w:val="TextBody"/>
      </w:pPr>
      <w:hyperlink r:id="rId32">
        <w:r>
          <w:rPr>
            <w:rStyle w:val="Hyperlink"/>
          </w:rPr>
          <w:t xml:space="preserve">http://company.cnstock.com/company/scp_gsxw/201912/4466037.htm</w:t>
        </w:r>
      </w:hyperlink>
    </w:p>
    <w:p>
      <w:pPr>
        <w:pStyle w:val="Heading3"/>
      </w:pPr>
      <w:bookmarkStart w:id="33" w:name="澳门个人人民币跨境汇款业务将进一步便利"/>
      <w:r>
        <w:t xml:space="preserve">澳门个人人民币跨境汇款业务将进一步便利</w:t>
      </w:r>
      <w:bookmarkEnd w:id="33"/>
    </w:p>
    <w:p>
      <w:pPr>
        <w:pStyle w:val="FirstParagraph"/>
      </w:pPr>
      <w:r>
        <w:t xml:space="preserve">中国人民银行2019年12月18日发布公告，进一步便利澳门个人人民币跨境汇款业务，将澳门居民个人每人每天向内地人民币同名账户汇款限额由5万元提高至8万元。公告称，为进一步满足澳门人民币业务发展需要，经国务院批准，中国人民银行决定扩大为澳门银行办理人民币业务提供清算安排的范围。</w:t>
      </w:r>
    </w:p>
    <w:p>
      <w:pPr>
        <w:pStyle w:val="TextBody"/>
      </w:pPr>
      <w:r>
        <w:t xml:space="preserve">中国人民银行将继续支持澳门经济、贸易、投资以及人民币业务的发展。公告称，上述安排将在各项技术准备完成后，于近期实施。</w:t>
      </w:r>
    </w:p>
    <w:p>
      <w:pPr>
        <w:pStyle w:val="TextBody"/>
      </w:pPr>
      <w:hyperlink r:id="rId34">
        <w:r>
          <w:rPr>
            <w:rStyle w:val="Hyperlink"/>
          </w:rPr>
          <w:t xml:space="preserve">http://news.cnstock.com/news,yw-201912-4466629.htm</w:t>
        </w:r>
      </w:hyperlink>
    </w:p>
    <w:p>
      <w:pPr>
        <w:pStyle w:val="Heading3"/>
      </w:pPr>
      <w:bookmarkStart w:id="35" w:name="摩根大通证券中国有限公司获准开业"/>
      <w:r>
        <w:t xml:space="preserve">摩根大通证券（中国）有限公司获准开业</w:t>
      </w:r>
      <w:bookmarkEnd w:id="35"/>
    </w:p>
    <w:p>
      <w:pPr>
        <w:pStyle w:val="FirstParagraph"/>
      </w:pPr>
      <w:r>
        <w:t xml:space="preserve">2019年12月18日，摩根大通宣布，已获得中国证监会颁发的《经营证券期货业务许可证》，这标志着由摩根大通控股以及为实际控制人的证券公司——摩根大通证券（中国）有限公司（下称摩根大通证券（中国））可正式对外开展业务。</w:t>
      </w:r>
    </w:p>
    <w:p>
      <w:pPr>
        <w:pStyle w:val="TextBody"/>
      </w:pPr>
      <w:r>
        <w:t xml:space="preserve">摩根大通证券（中国）总部位于上海，将为中国以及国际客户提供全方位的金融产品与服务，包括证券经纪、证券投资咨询以及证券承销与保荐。</w:t>
      </w:r>
    </w:p>
    <w:p>
      <w:pPr>
        <w:pStyle w:val="TextBody"/>
      </w:pPr>
      <w:hyperlink r:id="rId36">
        <w:r>
          <w:rPr>
            <w:rStyle w:val="Hyperlink"/>
          </w:rPr>
          <w:t xml:space="preserve">http://news.cnstock.com/news,bwkx-201912-4466418.htm</w:t>
        </w:r>
      </w:hyperlink>
    </w:p>
    <w:p>
      <w:pPr>
        <w:pStyle w:val="Heading2"/>
      </w:pPr>
      <w:bookmarkStart w:id="37" w:name="保险"/>
      <w:r>
        <w:t xml:space="preserve">保险</w:t>
      </w:r>
      <w:bookmarkEnd w:id="37"/>
    </w:p>
    <w:p>
      <w:pPr>
        <w:pStyle w:val="Heading3"/>
      </w:pPr>
      <w:bookmarkStart w:id="38" w:name="互联网保险将迎新规强调机构持牌和人员持证"/>
      <w:r>
        <w:t xml:space="preserve">互联网保险将迎新规，强调机构持牌和人员持证</w:t>
      </w:r>
      <w:bookmarkEnd w:id="38"/>
    </w:p>
    <w:p>
      <w:pPr>
        <w:pStyle w:val="FirstParagraph"/>
      </w:pPr>
      <w:r>
        <w:t xml:space="preserve">银保监会就《互联网保险业务监管办法（征求意见稿）》（下称《办法》）小范围征求意见。新规延续了严监管态势，强调“机构持牌、人员持证”，厘清业务和监管边界，完善监管措施，同时防控风险与鼓励创新并举。这与当下互联网金融监管的总基调基本吻合。</w:t>
      </w:r>
    </w:p>
    <w:p>
      <w:pPr>
        <w:pStyle w:val="TextBody"/>
      </w:pPr>
      <w:r>
        <w:t xml:space="preserve">《办法》有五大要点。一是强调机构持牌、人员持证，明确互联网保险的销售经营主体必须是保险行业的持牌机构，即保险公司和保险中介机构。二是对第三方网络平台再定位，规定，只有保险法人机构自己设立的才是自营网络平台，第三方网络平台不具备销售保险的资质。三是重新定义专业互联网保险公司，规定专业互联网保险公司不设分支机构，不得线下销售保险，不得通过其他保险机构线下销售保险产品，但支持其在更大险种范围内进行线上经营。四是放行更多险种可以线上跨区域销售，保险公司线上跨区域销售险种的范围新增疾病保险、医疗保险，以及储蓄属性较强的养老年金保险等。五是疏堵结合规范从业人员营销宣传行为，要求投保和缴费界面须在持牌机构自营网络平台的情况下。</w:t>
      </w:r>
    </w:p>
    <w:p>
      <w:pPr>
        <w:pStyle w:val="TextBody"/>
      </w:pPr>
      <w:hyperlink r:id="rId39">
        <w:r>
          <w:rPr>
            <w:rStyle w:val="Hyperlink"/>
          </w:rPr>
          <w:t xml:space="preserve">http://news.cnstock.com/news,jg-201912-4464663.htm</w:t>
        </w:r>
      </w:hyperlink>
    </w:p>
    <w:p>
      <w:pPr>
        <w:pStyle w:val="Heading2"/>
      </w:pPr>
      <w:bookmarkStart w:id="40" w:name="税收"/>
      <w:r>
        <w:t xml:space="preserve">税收</w:t>
      </w:r>
      <w:bookmarkEnd w:id="40"/>
    </w:p>
    <w:p>
      <w:pPr>
        <w:pStyle w:val="Heading3"/>
      </w:pPr>
      <w:bookmarkStart w:id="41" w:name="个税汇算清缴将至多项政策落地"/>
      <w:r>
        <w:t xml:space="preserve">个税汇算清缴将至，多项政策落地</w:t>
      </w:r>
      <w:bookmarkEnd w:id="41"/>
    </w:p>
    <w:p>
      <w:pPr>
        <w:pStyle w:val="FirstParagraph"/>
      </w:pPr>
      <w:r>
        <w:t xml:space="preserve">我国实施新个税法后的首次个税年度汇算清缴将至，日前相关政策密集落地。财政部、国家税务总局2019年12月14日对外发布公告，明确个人所得税综合所得汇算清缴有关政策。同日，国家税务总局公布关于办理2019年度个人所得税综合所得汇算清缴的公告（征求意见稿），向社会征求意见。</w:t>
      </w:r>
    </w:p>
    <w:p>
      <w:pPr>
        <w:pStyle w:val="TextBody"/>
      </w:pPr>
      <w:r>
        <w:t xml:space="preserve">根据新个税法规定，2020年3月1日至6月30日，我国居民将迎来首次个税综合所得年度汇算清缴。此次汇算清缴的范围和内容，为2019年1月1日至12月31日取得的工资薪金、劳务报酬、稿酬、特许权使用费等四项所得，将实行“查漏补缺、汇总收支、按年算账、多退少补”，从而精准落实各项税前扣除和优惠政策，更好保障纳税人权益。</w:t>
      </w:r>
    </w:p>
    <w:p>
      <w:pPr>
        <w:pStyle w:val="TextBody"/>
      </w:pPr>
      <w:r>
        <w:t xml:space="preserve">纳税人需要补税但综合所得年收入不超过12万元、纳税人年度汇算需补税金额不超过400元、纳税人已预缴税额与年度应纳税额一致或不申请年度汇算退税——根据征求意见稿，纳税人若符合上述情形之一，就不需要办理年度汇算。</w:t>
      </w:r>
    </w:p>
    <w:p>
      <w:pPr>
        <w:pStyle w:val="TextBody"/>
      </w:pPr>
      <w:hyperlink r:id="rId42">
        <w:r>
          <w:rPr>
            <w:rStyle w:val="Hyperlink"/>
          </w:rPr>
          <w:t xml:space="preserve">http://news.cnstock.com/news,yw-201912-4465011.htm</w:t>
        </w:r>
      </w:hyperlink>
    </w:p>
    <w:p>
      <w:pPr>
        <w:pStyle w:val="Heading2"/>
      </w:pPr>
      <w:bookmarkStart w:id="43" w:name="知产"/>
      <w:r>
        <w:t xml:space="preserve">知产</w:t>
      </w:r>
      <w:bookmarkEnd w:id="43"/>
    </w:p>
    <w:p>
      <w:pPr>
        <w:pStyle w:val="Heading3"/>
      </w:pPr>
      <w:bookmarkStart w:id="44" w:name="中国北斗高密度发射创世界纪录"/>
      <w:r>
        <w:t xml:space="preserve">中国北斗高密度发射创世界纪录</w:t>
      </w:r>
      <w:bookmarkEnd w:id="44"/>
    </w:p>
    <w:p>
      <w:pPr>
        <w:pStyle w:val="FirstParagraph"/>
      </w:pPr>
      <w:r>
        <w:t xml:space="preserve">2019年12月16日，我国在西昌卫星发射中心成功发射第52、53颗北斗导航卫星，北斗三号全球系统核心星座部署完成的同时，创造了全球卫星导航系统组网速度的世界纪录。</w:t>
      </w:r>
    </w:p>
    <w:p>
      <w:pPr>
        <w:pStyle w:val="TextBody"/>
      </w:pPr>
      <w:r>
        <w:t xml:space="preserve">北斗系统是我国自主建设、独立运行的全球卫星导航系统，2009年启动北斗三号全球系统建设，2017年11月5日实现全球组网卫星的首次发射。在工程7大系统、300多家参研参建单位、10万余名科研人员的共同努力下，仅两年多时间，就连续成功实施18次组网发射，将28颗北斗三号组网卫星和2颗北斗二号备份卫星顺利送入预定轨道，以平均每月发射1.2颗卫星的高密度，刷新了全球卫星导航系统组网速度的世界纪录。</w:t>
      </w:r>
    </w:p>
    <w:p>
      <w:pPr>
        <w:pStyle w:val="TextBody"/>
      </w:pPr>
      <w:hyperlink r:id="rId45">
        <w:r>
          <w:rPr>
            <w:rStyle w:val="Hyperlink"/>
          </w:rPr>
          <w:t xml:space="preserve">http://news.cnstock.com/industry,rdjj-201912-4465373.htm</w:t>
        </w:r>
      </w:hyperlink>
    </w:p>
    <w:p>
      <w:pPr>
        <w:pStyle w:val="Heading2"/>
      </w:pPr>
      <w:bookmarkStart w:id="46" w:name="行业"/>
      <w:r>
        <w:t xml:space="preserve">行业</w:t>
      </w:r>
      <w:bookmarkEnd w:id="46"/>
    </w:p>
    <w:p>
      <w:pPr>
        <w:pStyle w:val="Heading3"/>
      </w:pPr>
      <w:bookmarkStart w:id="47" w:name="刘鹤主持召开国务院会议强调支持中小企业发展"/>
      <w:r>
        <w:t xml:space="preserve">刘鹤主持召开国务院会议强调，支持中小企业发展</w:t>
      </w:r>
      <w:bookmarkEnd w:id="47"/>
    </w:p>
    <w:p>
      <w:pPr>
        <w:pStyle w:val="FirstParagraph"/>
      </w:pPr>
      <w:r>
        <w:t xml:space="preserve">国务院促进中小企业发展工作领导小组第四次会议2019年12月13日在北京召开。</w:t>
      </w:r>
    </w:p>
    <w:p>
      <w:pPr>
        <w:pStyle w:val="TextBody"/>
      </w:pPr>
      <w:r>
        <w:t xml:space="preserve">会议强调，要创新中小企业金融服务考核激励机制，完善中小企业融资担保体系，加快推进中小企业信用信息平台建设，鼓励科技型中小企业上市融资，切实解决融资难、融资贵问题；要加大对市场结构的公平竞争审查，加强产权和知识产权保护，完善中小企业统计监测和发布制度；要加强中小企业国际交流合作，学习借鉴国际有益经验，提升中小企业高质量发展能力和水平。会议要求落实好党的十九届四中全会精神，抓紧修改完善《关于健全支持中小企业发展制度的若干意见》，形成支持中小企业发展的政策制度安排。各部门要提高工作效率，对支持中小企业发展的事情，坚持能办的尽快办，共同努力，真抓实干，把中小企业的事办好。</w:t>
      </w:r>
    </w:p>
    <w:p>
      <w:pPr>
        <w:pStyle w:val="TextBody"/>
      </w:pPr>
      <w:hyperlink r:id="rId48">
        <w:r>
          <w:rPr>
            <w:rStyle w:val="Hyperlink"/>
          </w:rPr>
          <w:t xml:space="preserve">http://news.cnstock.com/news,bwkx-201912-4464823.htm</w:t>
        </w:r>
      </w:hyperlink>
    </w:p>
    <w:p>
      <w:pPr>
        <w:pStyle w:val="Heading3"/>
      </w:pPr>
      <w:bookmarkStart w:id="49" w:name="国务院常务会议通过外商投资法实施条例草案"/>
      <w:r>
        <w:t xml:space="preserve">国务院常务会议通过外商投资法实施条例草案</w:t>
      </w:r>
      <w:bookmarkEnd w:id="49"/>
    </w:p>
    <w:p>
      <w:pPr>
        <w:pStyle w:val="FirstParagraph"/>
      </w:pPr>
      <w:r>
        <w:t xml:space="preserve">国务院总理李克强2019年12月12日主持召开国务院常务会议，通过《中华人民共和国外商投资法实施条例（草案）》，于明年1月1日与外商投资法同步配套实施，实化促进和保护外商投资的措施；部署推动进一步降低小微企业综合融资成本。</w:t>
      </w:r>
    </w:p>
    <w:p>
      <w:pPr>
        <w:pStyle w:val="TextBody"/>
      </w:pPr>
      <w:r>
        <w:t xml:space="preserve">《条例》围绕外商关切，从行政法规层面实化和明确了相关事项。一是平等对待内外资企业；二是强化投资保护；三是规定主管部门在审核有关行业、领域准入许可时，不得在许可条件、申请材料、审核环节、时限等方面对外国投资者设置歧视性要求；四是规定了不依法平等对待外资企业、违法限制外资企业平等参与标准制定、不履行政策承诺、强制转让技术等违法行为的法律责任；五是明确港澳投资者在内地投资参照外商投资法和《条例》执行；台湾地区投资者在大陆投资，适用台湾同胞投资保护法及其实施细则规定，未规定的事项参照外商投资法和《条例》执行。</w:t>
      </w:r>
    </w:p>
    <w:p>
      <w:pPr>
        <w:pStyle w:val="TextBody"/>
      </w:pPr>
      <w:hyperlink r:id="rId50">
        <w:r>
          <w:rPr>
            <w:rStyle w:val="Hyperlink"/>
          </w:rPr>
          <w:t xml:space="preserve">http://news.cnstock.com/news,yw-201912-4464623.htm</w:t>
        </w:r>
      </w:hyperlink>
    </w:p>
    <w:p>
      <w:pPr>
        <w:pStyle w:val="Heading3"/>
      </w:pPr>
      <w:bookmarkStart w:id="51" w:name="国家能源局发函征求意见明年光伏竞价沿用今年方案"/>
      <w:r>
        <w:t xml:space="preserve">国家能源局发函征求意见，明年光伏竞价沿用今年方案</w:t>
      </w:r>
      <w:bookmarkEnd w:id="51"/>
    </w:p>
    <w:p>
      <w:pPr>
        <w:pStyle w:val="FirstParagraph"/>
      </w:pPr>
      <w:r>
        <w:t xml:space="preserve">国家能源局近日已下发《关于征求对2020年光伏发电项目建设有关事项的通知（征求意见稿）意见的函》（下称《征求意见函》），就2020年的光伏项目管理政策，向各省能源主管部门征求意见。不过，最为关键的明年总补贴额度以及指导电价，仍需财政部和发展改革委进一步明确。</w:t>
      </w:r>
    </w:p>
    <w:p>
      <w:pPr>
        <w:pStyle w:val="TextBody"/>
      </w:pPr>
      <w:r>
        <w:t xml:space="preserve">另据《征求意见函》要求，有关单位须在12月31日前完成意见反馈，这表明2020年光伏新政将于2020年1月1日后出台。</w:t>
      </w:r>
    </w:p>
    <w:p>
      <w:pPr>
        <w:pStyle w:val="TextBody"/>
      </w:pPr>
      <w:hyperlink r:id="rId52">
        <w:r>
          <w:rPr>
            <w:rStyle w:val="Hyperlink"/>
          </w:rPr>
          <w:t xml:space="preserve">http://news.cnstock.com/industry,rdjj-201912-4466662.htm</w:t>
        </w:r>
      </w:hyperlink>
    </w:p>
    <w:p>
      <w:pPr>
        <w:pStyle w:val="Heading3"/>
      </w:pPr>
      <w:bookmarkStart w:id="53" w:name="我国首次发布原油进口周度到岸价格"/>
      <w:r>
        <w:t xml:space="preserve">我国首次发布原油进口周度到岸价格</w:t>
      </w:r>
      <w:bookmarkEnd w:id="53"/>
    </w:p>
    <w:p>
      <w:pPr>
        <w:pStyle w:val="FirstParagraph"/>
      </w:pPr>
      <w:r>
        <w:t xml:space="preserve">由海关总署全球贸易监测分析中心和上海石油天然气交易中心（下称“交易中心”）共同研发的中国原油综合进口到岸价格昨天在上海发布。这是我国首次发布原油进口周度价格，将进一步提高原油市场的透明度，为我国石油化工行业提供系统且权威的价格参考。</w:t>
      </w:r>
    </w:p>
    <w:p>
      <w:pPr>
        <w:pStyle w:val="TextBody"/>
      </w:pPr>
      <w:r>
        <w:t xml:space="preserve">中国原油进口到岸价格描述的是每周我国一般贸易项下进口原油到岸的平均价格，系统反映我国进口原油的价格水平，分两个层次：第一层次为中国原油综合进口到岸价格；第二层次为中国分质原油进口到岸价格，根据API度划分出轻质、中质、重质三种品质。</w:t>
      </w:r>
    </w:p>
    <w:p>
      <w:pPr>
        <w:pStyle w:val="TextBody"/>
      </w:pPr>
      <w:r>
        <w:t xml:space="preserve">最新发布的数据显示，2019年12月9日至15日，中国原油综合进口到岸价格为463元/桶，较前一周上涨2元/桶，涨幅0.27%。分品类看，中国轻质原油进口到岸价格为462元/桶，较前一周下跌1.47%；中国中质原油进口到岸价格为470元/桶，较前一周上涨2.10%；中国重质原油进口到岸价格为420元/桶，较前一周下跌2.79%。</w:t>
      </w:r>
    </w:p>
    <w:p>
      <w:pPr>
        <w:pStyle w:val="TextBody"/>
      </w:pPr>
      <w:hyperlink r:id="rId54">
        <w:r>
          <w:rPr>
            <w:rStyle w:val="Hyperlink"/>
          </w:rPr>
          <w:t xml:space="preserve">http://news.cnstock.com/industry,rdjj-201912-4466666.htm</w:t>
        </w:r>
      </w:hyperlink>
    </w:p>
    <w:p>
      <w:pPr>
        <w:pStyle w:val="Heading3"/>
      </w:pPr>
      <w:bookmarkStart w:id="55" w:name="游戏行业收入超过3100亿元增幅达到10.6"/>
      <w:r>
        <w:t xml:space="preserve">游戏行业收入超过3100亿元，增幅达到10.6%</w:t>
      </w:r>
      <w:bookmarkEnd w:id="55"/>
    </w:p>
    <w:p>
      <w:pPr>
        <w:pStyle w:val="FirstParagraph"/>
      </w:pPr>
      <w:r>
        <w:t xml:space="preserve">近日，第三方研究机构伽马数据发布了《2019中国游戏产业年度报告》（以下简称《报告》）。数据显示，2019年中国游戏市场和海外市场出口收入整体增速再次提升，收入超过3100亿元，增幅达到10.6%。</w:t>
      </w:r>
    </w:p>
    <w:p>
      <w:pPr>
        <w:pStyle w:val="TextBody"/>
      </w:pPr>
      <w:r>
        <w:t xml:space="preserve">其中，中国游戏市场实际销售收入2330.2亿元，增速为8.7%，较去年同期增速有所回升。游戏产业中最活跃的部分——中国移动游戏市场实际销售收入突破1513.7亿元，较去年同比增长13.0%。2019年中国游戏海外市场收入111.9亿美元，增涨16.7%。2019年，与游戏紧密相关的电子竞技游戏市场规模为969.6亿元，增幅达16.2%，移动电竞的发展成为主要驱动力。</w:t>
      </w:r>
    </w:p>
    <w:p>
      <w:pPr>
        <w:pStyle w:val="TextBody"/>
      </w:pPr>
      <w:hyperlink r:id="rId56">
        <w:r>
          <w:rPr>
            <w:rStyle w:val="Hyperlink"/>
          </w:rPr>
          <w:t xml:space="preserve">http://news.cnstock.com/industry,rdjj-201912-4466720.htm</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- 2019年12月20日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9d6bb37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32" Type="http://schemas.openxmlformats.org/officeDocument/2006/relationships/hyperlink" Target="http://company.cnstock.com/company/scp_gsxw/201912/4466037.htm" TargetMode="External"/><Relationship Id="rId45" Type="http://schemas.openxmlformats.org/officeDocument/2006/relationships/hyperlink" Target="http://news.cnstock.com/industry,rdjj-201912-4465373.htm" TargetMode="External"/><Relationship Id="rId52" Type="http://schemas.openxmlformats.org/officeDocument/2006/relationships/hyperlink" Target="http://news.cnstock.com/industry,rdjj-201912-4466662.htm" TargetMode="External"/><Relationship Id="rId54" Type="http://schemas.openxmlformats.org/officeDocument/2006/relationships/hyperlink" Target="http://news.cnstock.com/industry,rdjj-201912-4466666.htm" TargetMode="External"/><Relationship Id="rId56" Type="http://schemas.openxmlformats.org/officeDocument/2006/relationships/hyperlink" Target="http://news.cnstock.com/industry,rdjj-201912-4466720.htm" TargetMode="External"/><Relationship Id="rId26" Type="http://schemas.openxmlformats.org/officeDocument/2006/relationships/hyperlink" Target="http://news.cnstock.com/news,bwkx-201912-4464421.htm" TargetMode="External"/><Relationship Id="rId48" Type="http://schemas.openxmlformats.org/officeDocument/2006/relationships/hyperlink" Target="http://news.cnstock.com/news,bwkx-201912-4464823.htm" TargetMode="External"/><Relationship Id="rId30" Type="http://schemas.openxmlformats.org/officeDocument/2006/relationships/hyperlink" Target="http://news.cnstock.com/news,bwkx-201912-4465138.htm" TargetMode="External"/><Relationship Id="rId36" Type="http://schemas.openxmlformats.org/officeDocument/2006/relationships/hyperlink" Target="http://news.cnstock.com/news,bwkx-201912-4466418.htm" TargetMode="External"/><Relationship Id="rId39" Type="http://schemas.openxmlformats.org/officeDocument/2006/relationships/hyperlink" Target="http://news.cnstock.com/news,jg-201912-4464663.htm" TargetMode="External"/><Relationship Id="rId28" Type="http://schemas.openxmlformats.org/officeDocument/2006/relationships/hyperlink" Target="http://news.cnstock.com/news,jg-201912-4464666.htm" TargetMode="External"/><Relationship Id="rId50" Type="http://schemas.openxmlformats.org/officeDocument/2006/relationships/hyperlink" Target="http://news.cnstock.com/news,yw-201912-4464623.htm" TargetMode="External"/><Relationship Id="rId42" Type="http://schemas.openxmlformats.org/officeDocument/2006/relationships/hyperlink" Target="http://news.cnstock.com/news,yw-201912-4465011.htm" TargetMode="External"/><Relationship Id="rId34" Type="http://schemas.openxmlformats.org/officeDocument/2006/relationships/hyperlink" Target="http://news.cnstock.com/news,yw-201912-4466629.htm" TargetMode="External"/><Relationship Id="rId24" Type="http://schemas.openxmlformats.org/officeDocument/2006/relationships/hyperlink" Target="http://stock.cnstock.com/stock/smk_gszbs/201912/4464925.htm" TargetMode="External"/><Relationship Id="rId9" Type="http://schemas.openxmlformats.org/officeDocument/2006/relationships/hyperlink" Target="http://www.charltonslaw.com.cn/hu-shen-300-gu-zhi-qi-quan-he-yue-jiao-yi-xi-ze-luo-di"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32" Type="http://schemas.openxmlformats.org/officeDocument/2006/relationships/hyperlink" Target="http://company.cnstock.com/company/scp_gsxw/201912/4466037.htm" TargetMode="External"/><Relationship Id="rId45" Type="http://schemas.openxmlformats.org/officeDocument/2006/relationships/hyperlink" Target="http://news.cnstock.com/industry,rdjj-201912-4465373.htm" TargetMode="External"/><Relationship Id="rId52" Type="http://schemas.openxmlformats.org/officeDocument/2006/relationships/hyperlink" Target="http://news.cnstock.com/industry,rdjj-201912-4466662.htm" TargetMode="External"/><Relationship Id="rId54" Type="http://schemas.openxmlformats.org/officeDocument/2006/relationships/hyperlink" Target="http://news.cnstock.com/industry,rdjj-201912-4466666.htm" TargetMode="External"/><Relationship Id="rId56" Type="http://schemas.openxmlformats.org/officeDocument/2006/relationships/hyperlink" Target="http://news.cnstock.com/industry,rdjj-201912-4466720.htm" TargetMode="External"/><Relationship Id="rId26" Type="http://schemas.openxmlformats.org/officeDocument/2006/relationships/hyperlink" Target="http://news.cnstock.com/news,bwkx-201912-4464421.htm" TargetMode="External"/><Relationship Id="rId48" Type="http://schemas.openxmlformats.org/officeDocument/2006/relationships/hyperlink" Target="http://news.cnstock.com/news,bwkx-201912-4464823.htm" TargetMode="External"/><Relationship Id="rId30" Type="http://schemas.openxmlformats.org/officeDocument/2006/relationships/hyperlink" Target="http://news.cnstock.com/news,bwkx-201912-4465138.htm" TargetMode="External"/><Relationship Id="rId36" Type="http://schemas.openxmlformats.org/officeDocument/2006/relationships/hyperlink" Target="http://news.cnstock.com/news,bwkx-201912-4466418.htm" TargetMode="External"/><Relationship Id="rId39" Type="http://schemas.openxmlformats.org/officeDocument/2006/relationships/hyperlink" Target="http://news.cnstock.com/news,jg-201912-4464663.htm" TargetMode="External"/><Relationship Id="rId28" Type="http://schemas.openxmlformats.org/officeDocument/2006/relationships/hyperlink" Target="http://news.cnstock.com/news,jg-201912-4464666.htm" TargetMode="External"/><Relationship Id="rId50" Type="http://schemas.openxmlformats.org/officeDocument/2006/relationships/hyperlink" Target="http://news.cnstock.com/news,yw-201912-4464623.htm" TargetMode="External"/><Relationship Id="rId42" Type="http://schemas.openxmlformats.org/officeDocument/2006/relationships/hyperlink" Target="http://news.cnstock.com/news,yw-201912-4465011.htm" TargetMode="External"/><Relationship Id="rId34" Type="http://schemas.openxmlformats.org/officeDocument/2006/relationships/hyperlink" Target="http://news.cnstock.com/news,yw-201912-4466629.htm" TargetMode="External"/><Relationship Id="rId24" Type="http://schemas.openxmlformats.org/officeDocument/2006/relationships/hyperlink" Target="http://stock.cnstock.com/stock/smk_gszbs/201912/446492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2019-12-20T02:17:06Z</dcterms:created>
  <dcterms:modified xsi:type="dcterms:W3CDTF">2019-12-20T02:17:06Z</dcterms:modified>
</cp:coreProperties>
</file>