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- 2020年1月10日</w:t>
      </w:r>
    </w:p>
    <w:p>
      <w:pPr>
        <w:pStyle w:val="ReadOnline"/>
      </w:pPr>
      <w:hyperlink r:id="rId9">
        <w:r>
          <w:rPr/>
          <w:t>online version</w:t>
        </w:r>
      </w:hyperlink>
    </w:p>
    <w:p>
      <w:pPr>
        <w:pStyle w:val="Title"/>
      </w:pPr>
      <w:r>
        <w:t>新三板市场将迎接公募基金入市</w:t>
      </w:r>
    </w:p>
    <w:p>
      <w:pPr>
        <w:pStyle w:val="Heading2"/>
      </w:pPr>
      <w:bookmarkStart w:id="21" w:name="简介"/>
      <w:r>
        <w:t xml:space="preserve">简介</w:t>
      </w:r>
      <w:bookmarkEnd w:id="21"/>
    </w:p>
    <w:p>
      <w:pPr>
        <w:pStyle w:val="FirstParagraph"/>
      </w:pPr>
      <w:r>
        <w:t xml:space="preserve">新三板市场将迎接公募基金入市；上交所发布《上市公司创建信息披露示范公司试点工作实施办法（征求意见稿）》；全国银行间同业拆借中心将试运行利率期权交易；银保监会发布《关于推动银行业和保险业高质量发展的指导意见》</w:t>
      </w:r>
    </w:p>
    <w:p>
      <w:pPr>
        <w:pStyle w:val="Heading2"/>
      </w:pPr>
      <w:bookmarkStart w:id="22" w:name="资本市场"/>
      <w:r>
        <w:t xml:space="preserve">资本市场</w:t>
      </w:r>
      <w:bookmarkEnd w:id="22"/>
    </w:p>
    <w:p>
      <w:pPr>
        <w:pStyle w:val="Heading3"/>
      </w:pPr>
      <w:bookmarkStart w:id="23" w:name="新三板市场将迎接公募基金入市"/>
      <w:r>
        <w:t xml:space="preserve">新三板市场将迎接公募基金入市</w:t>
      </w:r>
      <w:bookmarkEnd w:id="23"/>
    </w:p>
    <w:p>
      <w:pPr>
        <w:pStyle w:val="FirstParagraph"/>
      </w:pPr>
      <w:r>
        <w:t xml:space="preserve">证监会公布《公开募集证券投资基金投资全国中小企业股份转让系统挂牌股票指引》（下称《指引》），并向社会公开征求意见。根据《指引》，符合条件的基金管理人将可依规投资新三板精选层股票。业内人士认为，《指引》发布意味着新三板市场通过全面深改引入长期资金的序幕正式拉开。</w:t>
      </w:r>
    </w:p>
    <w:p>
      <w:pPr>
        <w:pStyle w:val="TextBody"/>
      </w:pPr>
      <w:r>
        <w:t xml:space="preserve">《指引》共15条，从基金管理人准入、基金投资范围、流动性风险管理、基金估值、信息披露及风险揭示、投资者适当性管理等六方面，对公募基金参与新三板投资作出规范。</w:t>
      </w:r>
    </w:p>
    <w:p>
      <w:pPr>
        <w:pStyle w:val="TextBody"/>
      </w:pPr>
      <w:r>
        <w:t xml:space="preserve">具体而言，一是明确了基金管理人参与要求，基金管理人须具备相应投研能力，配备充足投研人员。二是规范了基金的投资范围，允许股票基金、混合基金、债券基金投资新三板精选层股票。三是加强流动性风险管理，要求基金管理人投资流动性良好的精选层股票，并审慎确定投资比例。四是规范公募基金估值，要求基金管理人和基金托管人采用公允估值方法对挂牌股票进行估值，当股票价值存在重大不确定性且面临潜在大额赎回申请时，可启用侧袋机制。五是强化信息披露及风险揭示，要求基金在定期报告中披露持有挂牌股票情况，在法律文件中揭示特有风险。六是加强投资者适当性管理，要求基金管理人会同销售机构，做好基金产品风险评级、投资者风险承受能力识别、投资者教育等工作。</w:t>
      </w:r>
    </w:p>
    <w:p>
      <w:pPr>
        <w:pStyle w:val="TextBody"/>
      </w:pPr>
      <w:hyperlink r:id="rId24">
        <w:r>
          <w:rPr>
            <w:rStyle w:val="Hyperlink"/>
          </w:rPr>
          <w:t xml:space="preserve">http://jrz.cnstock.com/yw/202001/4473092.htm</w:t>
        </w:r>
      </w:hyperlink>
    </w:p>
    <w:p>
      <w:pPr>
        <w:pStyle w:val="Heading3"/>
      </w:pPr>
      <w:bookmarkStart w:id="25" w:name="上交所发布上市公司创建信息披露示范公司试点工作实施办法征求意见稿"/>
      <w:r>
        <w:t xml:space="preserve">上交所发布《上市公司创建信息披露示范公司试点工作实施办法（征求意见稿）》</w:t>
      </w:r>
      <w:bookmarkEnd w:id="25"/>
    </w:p>
    <w:p>
      <w:pPr>
        <w:pStyle w:val="FirstParagraph"/>
      </w:pPr>
      <w:r>
        <w:t xml:space="preserve">2020年1月3日晚间，上交所发布《上市公司创建信息披露示范公司试点工作实施办法（征求意见稿）》（简称“《办法》”），旨在沪市主板公司中培育一批专注主业、运作规范、内控有效、信息披露透明、注重投资者回报的信息披露示范公司群体，引导并支持公司创建成为信披示范企业。</w:t>
      </w:r>
    </w:p>
    <w:p>
      <w:pPr>
        <w:pStyle w:val="TextBody"/>
      </w:pPr>
      <w:r>
        <w:t xml:space="preserve">《办法》分别设置了积极条件、消极条件 “护航”创建示范公司。根据《办法》，参与创建公司需满足一定的积极条件才能自主申报，包括信息披露评价达到3A或4A1B以上、持续经营能力稳定、内控健全、治理有效、具有较强的合规和风控能力、注重投资者回报等。</w:t>
      </w:r>
    </w:p>
    <w:p>
      <w:pPr>
        <w:pStyle w:val="TextBody"/>
      </w:pPr>
      <w:r>
        <w:t xml:space="preserve">《办法》也相应设置了消极条款，包括是否合规经营与规范运作、是否持续稳定经营、是否及时公平地履行信息披露义务等，一旦触及，将失去创建资格。</w:t>
      </w:r>
    </w:p>
    <w:p>
      <w:pPr>
        <w:pStyle w:val="TextBody"/>
      </w:pPr>
      <w:hyperlink r:id="rId26">
        <w:r>
          <w:rPr>
            <w:rStyle w:val="Hyperlink"/>
          </w:rPr>
          <w:t xml:space="preserve">http://news.cnstock.com/news,bwkx-202001-4472947.htm</w:t>
        </w:r>
      </w:hyperlink>
    </w:p>
    <w:p>
      <w:pPr>
        <w:pStyle w:val="Heading3"/>
      </w:pPr>
      <w:bookmarkStart w:id="27" w:name="全国银行间同业拆借中心将试运行利率期权交易"/>
      <w:r>
        <w:t xml:space="preserve">全国银行间同业拆借中心将试运行利率期权交易</w:t>
      </w:r>
      <w:bookmarkEnd w:id="27"/>
    </w:p>
    <w:p>
      <w:pPr>
        <w:pStyle w:val="FirstParagraph"/>
      </w:pPr>
      <w:r>
        <w:t xml:space="preserve">外汇交易中心发布公告称，为更好发挥银行间利率衍生品市场对实体经济支持作用，满足市场成员利率风险管理需求，完善利率风险定价机制，经人民银行批复同意，全国银行间同业拆借中心（下称交易中心）将于2020年2月24日起试运行利率期权交易及相关服务。</w:t>
      </w:r>
    </w:p>
    <w:p>
      <w:pPr>
        <w:pStyle w:val="TextBody"/>
      </w:pPr>
      <w:r>
        <w:t xml:space="preserve">具体来看，交易时间为每周一至周五（国家法定节假日调整除外）北京时间9:00-12:00，13:30-17:00。交易品种挂钩LPR1Y/LPR5Y的利率互换期权、利率上/下限期权。期权类型为欧式期权。</w:t>
      </w:r>
    </w:p>
    <w:p>
      <w:pPr>
        <w:pStyle w:val="TextBody"/>
      </w:pPr>
      <w:r>
        <w:t xml:space="preserve">已开通利率互换交易权限的市场成员需于2020年2月7日前提交《利率期权市场交易成员申请表》，申请开展利率期权交易。其他市场成员除提交申请表外，还需提交内部操作规程、风险管理制度等。交易中心提供对话报价和点击成交两种交易方式，各市场机构应根据自身需求开展利率期权交易。</w:t>
      </w:r>
    </w:p>
    <w:p>
      <w:pPr>
        <w:pStyle w:val="TextBody"/>
      </w:pPr>
      <w:r>
        <w:t xml:space="preserve">从报价机构来看，交易中心组织报价机构通过交易系统以点击成交报价等方式向市场提供利率期权双边报价，并进行日终波动率曲线报价。利率互换曲线报价机构可于2020年2月7日前向交易中心申请成为利率期权报价机构。</w:t>
      </w:r>
    </w:p>
    <w:p>
      <w:pPr>
        <w:pStyle w:val="TextBody"/>
      </w:pPr>
      <w:hyperlink r:id="rId28">
        <w:r>
          <w:rPr>
            <w:rStyle w:val="Hyperlink"/>
          </w:rPr>
          <w:t xml:space="preserve">http://news.cnstock.com/news,bwkx-202001-4472333.htm</w:t>
        </w:r>
      </w:hyperlink>
    </w:p>
    <w:p>
      <w:pPr>
        <w:pStyle w:val="Heading3"/>
      </w:pPr>
      <w:bookmarkStart w:id="29" w:name="银保监会发布关于推动银行业和保险业高质量发展的指导意见"/>
      <w:r>
        <w:t xml:space="preserve">银保监会发布《关于推动银行业和保险业高质量发展的指导意见》</w:t>
      </w:r>
      <w:bookmarkEnd w:id="29"/>
    </w:p>
    <w:p>
      <w:pPr>
        <w:pStyle w:val="FirstParagraph"/>
      </w:pPr>
      <w:r>
        <w:t xml:space="preserve">日前，中国银保监会发布了《关于推动银行业和保险业高质量发展的指导意见》（下称《意见》），规划了未来五年中国银行业保险业的发展路径。</w:t>
      </w:r>
    </w:p>
    <w:p>
      <w:pPr>
        <w:pStyle w:val="TextBody"/>
      </w:pPr>
      <w:r>
        <w:t xml:space="preserve">备受市场关注的是，《意见》明确提出：多渠道促进居民储蓄有效转化为资本市场长期资金。《意见》要求发挥银行保险机构在优化融资结构中的重要作用。有效发挥理财、保险、信托等产品的直接融资功能，培育价值投资和长期投资理念，改善资本市场投资者结构。大力发展企业年金、职业年金、各类健康和养老保险业务，多渠道促进居民储蓄有效转化为资本市场长期资金。</w:t>
      </w:r>
    </w:p>
    <w:p>
      <w:pPr>
        <w:pStyle w:val="TextBody"/>
      </w:pPr>
      <w:r>
        <w:t xml:space="preserve">《意见》提出，到2025年，实现金融结构更加优化，形成多层次、广覆盖、有差异的银行保险机构体系。</w:t>
      </w:r>
    </w:p>
    <w:p>
      <w:pPr>
        <w:pStyle w:val="TextBody"/>
      </w:pPr>
      <w:hyperlink r:id="rId30">
        <w:r>
          <w:rPr>
            <w:rStyle w:val="Hyperlink"/>
          </w:rPr>
          <w:t xml:space="preserve">http://news.cnstock.com/news,yw-202001-4473381.htm</w:t>
        </w:r>
      </w:hyperlink>
    </w:p>
    <w:p>
      <w:pPr>
        <w:pStyle w:val="Heading3"/>
      </w:pPr>
      <w:bookmarkStart w:id="31" w:name="财政部积极指导各地吸引外资银行参与地方政府债券承销"/>
      <w:r>
        <w:t xml:space="preserve">财政部积极指导各地吸引外资银行参与地方政府债券承销</w:t>
      </w:r>
      <w:bookmarkEnd w:id="31"/>
    </w:p>
    <w:p>
      <w:pPr>
        <w:pStyle w:val="FirstParagraph"/>
      </w:pPr>
      <w:r>
        <w:t xml:space="preserve">为贯彻党中央、国务院关于进一步扩大金融业对外开放的决策部署，财政部积极指导各地财政部门修改完善地方政府债券承销团组建办法，放开外商独资银行、中外合资银行、外国银行分行（以下统称外资银行）加入地方政府债券承销团的资格限制，按程序吸收外资银行加入承销团。截至目前，已有富邦华一银行（台资）加入宁波市、重庆市政府债券承销团，东亚银行（中国）（港资）加入天津市、广东省政府债券承销团，德意志银行（中国）（德资）加入青岛市政府债券承销团。外资银行加入地方政府债券承销团，有利于拓宽发行渠道，促进地方政府债券投资主体多元化，保障地方政府债券发行工作长期可持续，也有利于扩大政府债券市场对外开放，助推人民币国际化，提高我国债券市场的国际影响力。</w:t>
      </w:r>
    </w:p>
    <w:p>
      <w:pPr>
        <w:pStyle w:val="TextBody"/>
      </w:pPr>
      <w:hyperlink r:id="rId32">
        <w:r>
          <w:rPr>
            <w:rStyle w:val="Hyperlink"/>
          </w:rPr>
          <w:t xml:space="preserve">http://news.cnstock.com/news,bwkx-202001-4473659.htm</w:t>
        </w:r>
      </w:hyperlink>
    </w:p>
    <w:p>
      <w:pPr>
        <w:pStyle w:val="Heading3"/>
      </w:pPr>
      <w:bookmarkStart w:id="33" w:name="深交所优化债券交易规则及技术平台积极筹备公募reits试点"/>
      <w:r>
        <w:t xml:space="preserve">深交所：优化债券交易规则及技术平台，积极筹备公募REITs试点</w:t>
      </w:r>
      <w:bookmarkEnd w:id="33"/>
    </w:p>
    <w:p>
      <w:pPr>
        <w:pStyle w:val="FirstParagraph"/>
      </w:pPr>
      <w:r>
        <w:t xml:space="preserve">2020年1月7日，深交所组织召开2019年度债券监管业务座谈会，围绕贯彻落实中央经济工作会议精神，回顾总结2019年债券市场建设情况，研究部署2020年重点工作，更好服务实体经济和“双区”发展。</w:t>
      </w:r>
    </w:p>
    <w:p>
      <w:pPr>
        <w:pStyle w:val="TextBody"/>
      </w:pPr>
      <w:r>
        <w:t xml:space="preserve">会议通报了深交所债市工作相关情况。全年发行固收产品超1.7万亿元，同比增长20.4%。</w:t>
      </w:r>
    </w:p>
    <w:p>
      <w:pPr>
        <w:pStyle w:val="TextBody"/>
      </w:pPr>
      <w:r>
        <w:t xml:space="preserve">会议强调，深交所将按照证监会全面深化资本市场改革的整体部署，坚持新发展理念，增强风险防控能力，推动产品创新，完善基础制度，提升服务水平。一是提升防范化解市场风险能力，强化产品存续期监管，督促市场主体履职尽责，完善以发行人和受托管理人为核心的风险防范应对机制。二是优化债券交易规则及技术平台，改进二级市场流动性，进一步提升基础设施适应能力。三是积极服务粤港澳大湾区、先行示范区“双区”建设，持续推进大湾区债市基础平台建设，务实推进深交所债市高水平对外开放。四是持续推进固收产品创新，降低融资成本，支持科技创新、民营经济和中小企业，积极筹备公募REITs试点，培育知识产权证券化成熟模式，努力打造与中国特色社会主义先行示范区相适应的债券市场体系，助力建设具有高度适应性、竞争力、普惠性的现代金融体系。</w:t>
      </w:r>
    </w:p>
    <w:p>
      <w:pPr>
        <w:pStyle w:val="TextBody"/>
      </w:pPr>
      <w:hyperlink r:id="rId34">
        <w:r>
          <w:rPr>
            <w:rStyle w:val="Hyperlink"/>
          </w:rPr>
          <w:t xml:space="preserve">http://news.cnstock.com/news,bwkx-202001-4474364.htm</w:t>
        </w:r>
      </w:hyperlink>
    </w:p>
    <w:p>
      <w:pPr>
        <w:pStyle w:val="Heading2"/>
      </w:pPr>
      <w:bookmarkStart w:id="35" w:name="保险"/>
      <w:r>
        <w:t xml:space="preserve">保险</w:t>
      </w:r>
      <w:bookmarkEnd w:id="35"/>
    </w:p>
    <w:p>
      <w:pPr>
        <w:pStyle w:val="Heading3"/>
      </w:pPr>
      <w:bookmarkStart w:id="36" w:name="监管部门出手整顿百万医疗险"/>
      <w:r>
        <w:t xml:space="preserve">监管部门出手整顿百万医疗险</w:t>
      </w:r>
      <w:bookmarkEnd w:id="36"/>
    </w:p>
    <w:p>
      <w:pPr>
        <w:pStyle w:val="FirstParagraph"/>
      </w:pPr>
      <w:r>
        <w:t xml:space="preserve">近日，各保险公司收到银保监会人身险部下发的《关于规范短期健康保险业务有关问题的通知（征求意见稿）》（下称《通知》），对于续保、停售等备受争议的焦点进行了明确规范。</w:t>
      </w:r>
    </w:p>
    <w:p>
      <w:pPr>
        <w:pStyle w:val="TextBody"/>
      </w:pPr>
      <w:r>
        <w:t xml:space="preserve">百万医疗险多出自财险公司。根据规定，财险公司只能经营一年期及以下的短期健康险，不得经营长期健康险（保险期间超过一年或者虽不超过一年但含有保证续保条款的健康险产品）。因此《通知》要求产品设计时不能有歧义。保险公司开发的短期健康险产品应当在保险条款中，对保险期间、保险责任、除外责任、保费缴纳方式、等待期设置、宽限期设置、保险金额、免赔额、赔付比例、理赔条件、退保约定等，进行清晰、明确、无歧义的表述。</w:t>
      </w:r>
    </w:p>
    <w:p>
      <w:pPr>
        <w:pStyle w:val="TextBody"/>
      </w:pPr>
      <w:r>
        <w:t xml:space="preserve">财险公司的短期健康险属于非保证续保产品，因此不能含有保证续保条款。《通知》明确约束，要求保险公司开发的短期健康险产品中，应当在保险条款中明确表述“非保证续保”，包含以下表述：本产品保险期间为一年（或不超过一年）；保险期间届满，投保人需要重新向保险公司申请投保本产品，交纳保险费，并获得新的保险合同。并且明确要求，保险公司不得在短期健康险产品条款、宣传材料中使用“连续投保”、“自动续保”、“承诺续保”、“终身限额”等易与长期健康保险混淆的词句。</w:t>
      </w:r>
    </w:p>
    <w:p>
      <w:pPr>
        <w:pStyle w:val="TextBody"/>
      </w:pPr>
      <w:r>
        <w:t xml:space="preserve">根据《通知》要求，保险公司不得随意停售在售的短期健康险产品，如停售，应将停售的原因、时间以及后续服务措施等信息，通过便于公众知晓的方式披露告知保险消费者。并为已购买产品的保险消费者在保险期间内继续提供保障服务，在保险期间届满时提供必要且合理的转保服务。</w:t>
      </w:r>
    </w:p>
    <w:p>
      <w:pPr>
        <w:pStyle w:val="TextBody"/>
      </w:pPr>
      <w:hyperlink r:id="rId37">
        <w:r>
          <w:rPr>
            <w:rStyle w:val="Hyperlink"/>
          </w:rPr>
          <w:t xml:space="preserve">http://news.cnstock.com/news,yw-202001-4474477.htm</w:t>
        </w:r>
      </w:hyperlink>
    </w:p>
    <w:p>
      <w:pPr>
        <w:pStyle w:val="Heading3"/>
      </w:pPr>
      <w:bookmarkStart w:id="38" w:name="银保监会积极推动保险业对外开放将继续为外资保险公司优化市场营商环境"/>
      <w:r>
        <w:t xml:space="preserve">银保监会积极推动保险业对外开放，将继续为外资保险公司优化市场营商环境</w:t>
      </w:r>
      <w:bookmarkEnd w:id="38"/>
    </w:p>
    <w:p>
      <w:pPr>
        <w:pStyle w:val="FirstParagraph"/>
      </w:pPr>
      <w:r>
        <w:t xml:space="preserve">2020年1月2日的国务院政策例行吹风会上，银保监会人身保险监管部负责人刘宏表示，近年来，为深入贯彻落实党中央、国务院关于进一步扩大对外开放的决策部署，银保监会按照宜快不宜慢、宜早不宜迟的原则，积极推动保险业的对外开放，取得了比较显著的成效。</w:t>
      </w:r>
    </w:p>
    <w:p>
      <w:pPr>
        <w:pStyle w:val="TextBody"/>
      </w:pPr>
      <w:r>
        <w:t xml:space="preserve">在政策发布方面，2018年4月以来，银保监会先后对外发布涉及保险业对外开放的措施有14条，包括放宽和取消外资持股比例的限制，放宽外资机构在总资产、经营年限、股东资质等方面的限制等。在法规修订方面，2019年10月，国务院发布关于修改《中华人民共和国外资保险公司管理条例》的决定。同年12月，银保监会陆续发布《中华人民共和国外资保险公司管理条例实施细则》和《关于明确取消合资寿险公司外资股比限制时点的通知》，明确从2020年1月1日起，合资寿险公司的外资比例可以达到100%。</w:t>
      </w:r>
    </w:p>
    <w:p>
      <w:pPr>
        <w:pStyle w:val="TextBody"/>
      </w:pPr>
      <w:r>
        <w:t xml:space="preserve">刘宏健表示，下一步，银保监会将继续坚定不移地履行开放承诺，继续为外资保险公司在华发展营造国际化、法治化和市场化的市场营商环境。与此同时，银保监会将持续加强监管制度的建设，完善审慎性的标准，不断完善与开放水平相适应的监管方式方法，确保引入的机构具有优秀的专业能力、良好的风控能力和充足的资本实力，在有效防范风险前提下，促进金融和实体经济的高质量发展。</w:t>
      </w:r>
    </w:p>
    <w:p>
      <w:pPr>
        <w:pStyle w:val="TextBody"/>
      </w:pPr>
      <w:hyperlink r:id="rId39">
        <w:r>
          <w:rPr>
            <w:rStyle w:val="Hyperlink"/>
          </w:rPr>
          <w:t xml:space="preserve">http://news.cnstock.com/news,yw-202001-4472600.htm</w:t>
        </w:r>
      </w:hyperlink>
    </w:p>
    <w:p>
      <w:pPr>
        <w:pStyle w:val="Heading2"/>
      </w:pPr>
      <w:bookmarkStart w:id="40" w:name="税收"/>
      <w:r>
        <w:t xml:space="preserve">税收</w:t>
      </w:r>
      <w:bookmarkEnd w:id="40"/>
    </w:p>
    <w:p>
      <w:pPr>
        <w:pStyle w:val="Heading3"/>
      </w:pPr>
      <w:bookmarkStart w:id="41" w:name="税务总局下更大气力巩固和拓展减税降费成果"/>
      <w:r>
        <w:t xml:space="preserve">税务总局：下更大气力巩固和拓展减税降费成果</w:t>
      </w:r>
      <w:bookmarkEnd w:id="41"/>
    </w:p>
    <w:p>
      <w:pPr>
        <w:pStyle w:val="FirstParagraph"/>
      </w:pPr>
      <w:r>
        <w:t xml:space="preserve">2020年1月6日，全国税务工作会议在北京召开。会议指出，2019年全年累计新增减税降费超过2万亿元，占GDP比重超过2%，拉动全年GDP增长约0.8个百分点。2020年，更多的税收红利将释放：将以更扎实举措、下更大气力巩固和拓展减税降费成果，同时还将着力提高纳税缴费服务质量，持续优化税收营商环境。</w:t>
      </w:r>
    </w:p>
    <w:p>
      <w:pPr>
        <w:pStyle w:val="TextBody"/>
      </w:pPr>
      <w:hyperlink r:id="rId42">
        <w:r>
          <w:rPr>
            <w:rStyle w:val="Hyperlink"/>
          </w:rPr>
          <w:t xml:space="preserve">http://news.cnstock.com/news,yw-202001-4473941.htm</w:t>
        </w:r>
      </w:hyperlink>
    </w:p>
    <w:p>
      <w:pPr>
        <w:pStyle w:val="Heading2"/>
      </w:pPr>
      <w:bookmarkStart w:id="43" w:name="知产"/>
      <w:r>
        <w:t xml:space="preserve">知产</w:t>
      </w:r>
      <w:bookmarkEnd w:id="43"/>
    </w:p>
    <w:p>
      <w:pPr>
        <w:pStyle w:val="Heading3"/>
      </w:pPr>
      <w:bookmarkStart w:id="44" w:name="国家知识产权局列出2020年七大重点任务"/>
      <w:r>
        <w:t xml:space="preserve">国家知识产权局列出2020年七大重点任务</w:t>
      </w:r>
      <w:bookmarkEnd w:id="44"/>
    </w:p>
    <w:p>
      <w:pPr>
        <w:pStyle w:val="FirstParagraph"/>
      </w:pPr>
      <w:r>
        <w:t xml:space="preserve">全国知识产权局局长会议20202年1月6日在京召开。会议对2020年重点工作进行部署，包括加快制定知识产权强国战略纲要、强化知识产权保护、持续推进知识产权审查提质增效、大力促进知识产权价值实现、提升知识产权公共服务能力、更大力度加强知识产权保护国际合作以及强化知识产权事业综合保障七大重点任务。</w:t>
      </w:r>
    </w:p>
    <w:p>
      <w:pPr>
        <w:pStyle w:val="TextBody"/>
      </w:pPr>
      <w:hyperlink r:id="rId45">
        <w:r>
          <w:rPr>
            <w:rStyle w:val="Hyperlink"/>
          </w:rPr>
          <w:t xml:space="preserve">http://news.cnstock.com/theme,202001-4473944.htm</w:t>
        </w:r>
      </w:hyperlink>
    </w:p>
    <w:p>
      <w:pPr>
        <w:pStyle w:val="Heading2"/>
      </w:pPr>
      <w:bookmarkStart w:id="46" w:name="行业"/>
      <w:r>
        <w:t xml:space="preserve">行业</w:t>
      </w:r>
      <w:bookmarkEnd w:id="46"/>
    </w:p>
    <w:p>
      <w:pPr>
        <w:pStyle w:val="Heading3"/>
      </w:pPr>
      <w:bookmarkStart w:id="47" w:name="规范融资租赁业银保监会向社会征求意见"/>
      <w:r>
        <w:t xml:space="preserve">规范融资租赁业，银保监会向社会征求意见</w:t>
      </w:r>
      <w:bookmarkEnd w:id="47"/>
    </w:p>
    <w:p>
      <w:pPr>
        <w:pStyle w:val="FirstParagraph"/>
      </w:pPr>
      <w:r>
        <w:t xml:space="preserve">银保监会逐步行使对融资租赁企业的监督管理职能，《融资租赁公司监督管理暂行办法（征求意见稿）》（下称《办法》）近日向社会公开征求意见。《办法》通过清理“空壳”公司、对5类业务“划红线”、降低杠杆率、提高行业集中度等方式，健全审慎、统一的制度规范来夯实强化监管。</w:t>
      </w:r>
    </w:p>
    <w:p>
      <w:pPr>
        <w:pStyle w:val="TextBody"/>
      </w:pPr>
      <w:r>
        <w:t xml:space="preserve">银保监会指导地方金融监管部门做好融资租赁公司清理规范工作，在《办法》中设置不超过2年达标过渡期，过渡期内原则上暂停融资租赁公司的登记注册，并要求存量融资租赁公司在1年至2年内达到《办法》规定的有关监管要求。《办法》对租赁物范围进行界定，租赁物范围适用于融资租赁交易的租赁物为固定资产，另有规定的除外。《办法》中新增了部分审慎监管指标内容，如：融资租赁公司融资租赁和其他租赁资产比重不得低于总资产的60%；对一个关联方的全部融资租赁业务余额不得超过净资产的30%；对全部关联方的全部融资租赁业务余额不得超过净资产的50%等。《办法》负面清单列明5类业务，新增“融资租赁公司不得通过网络借贷信息中介机构、私募投资基金等渠道融资或转让资产”一项，未来融资租赁公司外部融资的方式只有银行授信、银行保理、商业保理、信托、转租赁、ABS、发债、境外借款、IPO上市等类型。</w:t>
      </w:r>
    </w:p>
    <w:p>
      <w:pPr>
        <w:pStyle w:val="TextBody"/>
      </w:pPr>
      <w:hyperlink r:id="rId48">
        <w:r>
          <w:rPr>
            <w:rStyle w:val="Hyperlink"/>
          </w:rPr>
          <w:t xml:space="preserve">http://news.cnstock.com/news,yw-202001-4475006.htm</w:t>
        </w:r>
      </w:hyperlink>
    </w:p>
    <w:p>
      <w:pPr>
        <w:pStyle w:val="Heading3"/>
      </w:pPr>
      <w:bookmarkStart w:id="49" w:name="工信部批准5g移动通信网等447项行业标准"/>
      <w:r>
        <w:t xml:space="preserve">工信部批准5G移动通信网等447项行业标准</w:t>
      </w:r>
      <w:bookmarkEnd w:id="49"/>
    </w:p>
    <w:p>
      <w:pPr>
        <w:pStyle w:val="FirstParagraph"/>
      </w:pPr>
      <w:r>
        <w:t xml:space="preserve">工业和信息化部2020年1月7日发布了《中华人民共和国工业和信息化部公告2019年第61号》，公布了工信部批准的《5G移动通信网，核心网总体技术要求》等447项行业标准。</w:t>
      </w:r>
    </w:p>
    <w:p>
      <w:pPr>
        <w:pStyle w:val="TextBody"/>
      </w:pPr>
      <w:r>
        <w:t xml:space="preserve">具体来看，447项行业标准包括通信行业标准32项、电子行业标准14项、化工行业标准151项、石化行业标准8项、冶金行业标准19项、有色金属行业标准4项、建材行业标准23项、机械行业标准39项、汽车行业标准3项、船舶行业标准29项、航空行业标准2项、轻工行业标准68项、纺织行业标准55项。</w:t>
      </w:r>
    </w:p>
    <w:p>
      <w:pPr>
        <w:pStyle w:val="TextBody"/>
      </w:pPr>
      <w:hyperlink r:id="rId50">
        <w:r>
          <w:rPr>
            <w:rStyle w:val="Hyperlink"/>
          </w:rPr>
          <w:t xml:space="preserve">http://news.cnstock.com/industry,rdjj-202001-4474512.htm</w:t>
        </w:r>
      </w:hyperlink>
    </w:p>
    <w:p>
      <w:pPr>
        <w:pStyle w:val="Heading3"/>
      </w:pPr>
      <w:bookmarkStart w:id="51" w:name="超高清视频标准体系建设指南2019版征求意见"/>
      <w:r>
        <w:t xml:space="preserve">《超高清视频标准体系建设指南（2019版）》征求意见</w:t>
      </w:r>
      <w:bookmarkEnd w:id="51"/>
    </w:p>
    <w:p>
      <w:pPr>
        <w:pStyle w:val="FirstParagraph"/>
      </w:pPr>
      <w:r>
        <w:t xml:space="preserve">近日，工信部、广电总局组织有关单位共同编制完成《超高清视频标准体系建设指南（2019版）》并公示，公开征求意见的截止日期为2020年2月6日。</w:t>
      </w:r>
    </w:p>
    <w:p>
      <w:pPr>
        <w:pStyle w:val="TextBody"/>
      </w:pPr>
      <w:r>
        <w:t xml:space="preserve">根据《超高清视频产业发展行动计划（2019-2022年）》的目标规划，到2022年，超高清视频产业总规模超过4万亿元，4K产业生态体系基本完善，8K关键技术产品研发和产业化取得突破，形成一批具有国际竞争力的企业。</w:t>
      </w:r>
    </w:p>
    <w:p>
      <w:pPr>
        <w:pStyle w:val="TextBody"/>
      </w:pPr>
      <w:r>
        <w:t xml:space="preserve">《指南》明示产业链重点：超高清视频产业链重点环节包括核心元器件、内容制播、网络传输、终端呈现以及行业应用。</w:t>
      </w:r>
    </w:p>
    <w:p>
      <w:pPr>
        <w:pStyle w:val="TextBody"/>
      </w:pPr>
      <w:r>
        <w:t xml:space="preserve">《指南》规划，到2020年，形成较为完善的超高清视频产业标准体系，制定急需国家标准或行业标准20项以上，重点研制基础通用、内容制播、终端呈现、行业应用等关键技术标准及测试标准；到2022年，制定标准50项以上，重点推进广播电视、文教娱乐、安防监控、医疗健康、智能交通、工业制造等重点领域行业应用的标准化工作。</w:t>
      </w:r>
    </w:p>
    <w:p>
      <w:pPr>
        <w:pStyle w:val="TextBody"/>
      </w:pPr>
      <w:hyperlink r:id="rId52">
        <w:r>
          <w:rPr>
            <w:rStyle w:val="Hyperlink"/>
          </w:rPr>
          <w:t xml:space="preserve">http://company.cnstock.com/company/scp_gsxw/202001/4473121.htm</w:t>
        </w:r>
      </w:hyperlink>
    </w:p>
    <w:p>
      <w:pPr>
        <w:pStyle w:val="Heading3"/>
      </w:pPr>
      <w:bookmarkStart w:id="53" w:name="民航局印发中国民航四型机场建设行动纲要2020-2035年"/>
      <w:r>
        <w:t xml:space="preserve">民航局印发《中国民航四型机场建设行动纲要（2020-2035年）》</w:t>
      </w:r>
      <w:bookmarkEnd w:id="53"/>
    </w:p>
    <w:p>
      <w:pPr>
        <w:pStyle w:val="FirstParagraph"/>
      </w:pPr>
      <w:r>
        <w:t xml:space="preserve">近日，民航局组织制定了《中国民航四型机场建设行动纲要（2020-2035年）》，向全行业印发。《行动纲要》指出，2020年是四型机场建设的顶层设计阶段。要按照新时代民航强国建设目标，明确四型机场建设的目标、任务和路径。</w:t>
      </w:r>
    </w:p>
    <w:p>
      <w:pPr>
        <w:pStyle w:val="TextBody"/>
      </w:pPr>
      <w:r>
        <w:t xml:space="preserve">《行动纲要》提出，要加快推进新一代移动通信系统建设及多网融合，提供广覆盖、低时延、高可靠、大带宽的网络通信服务。加快北斗导航在机场自动化作业、精准定位等领域的应用。逐步推进各项设施全面物联，为实现网络协同、智慧运行创造条件。实现重大交通基础设施工程的全生命周期性能监测，推广应用基于物联网的工程质量控制技术。</w:t>
      </w:r>
    </w:p>
    <w:p>
      <w:pPr>
        <w:pStyle w:val="TextBody"/>
      </w:pPr>
      <w:r>
        <w:t xml:space="preserve">要综合运用大数据、云计算、人工智能、区块链等新技术，收集、融合、统计和分析各类数据，实现辅助决策、资源调配、预测预警、优化控制等功能。</w:t>
      </w:r>
    </w:p>
    <w:p>
      <w:pPr>
        <w:pStyle w:val="TextBody"/>
      </w:pPr>
      <w:r>
        <w:t xml:space="preserve">要加快新增机场建设，优化完善全国机场网络体系；推进京津冀、长三角、粤港澳大湾区、成渝等世界级机场群建设；打造以机场为核心的综合交通枢纽；与基地航空公司发展战略充分对接，着力打造世界级航空枢纽机场；适度超前规划，提升现有机场运行保障能力；确保配套的空管、航油等工程与机场建设统筹管理、同步推进实施；提高“一市多场”规划研究水平，鼓励在接近终端容量且有条件的城市建设第二机场或疏解机场。</w:t>
      </w:r>
    </w:p>
    <w:p>
      <w:pPr>
        <w:pStyle w:val="TextBody"/>
      </w:pPr>
      <w:hyperlink r:id="rId54">
        <w:r>
          <w:rPr>
            <w:rStyle w:val="Hyperlink"/>
          </w:rPr>
          <w:t xml:space="preserve">http://news.cnstock.com/news,bwkx-202001-4474081.htm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- 2020年1月10日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36a53e2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2" Type="http://schemas.openxmlformats.org/officeDocument/2006/relationships/hyperlink" Target="http://company.cnstock.com/company/scp_gsxw/202001/4473121.htm" TargetMode="External"/><Relationship Id="rId24" Type="http://schemas.openxmlformats.org/officeDocument/2006/relationships/hyperlink" Target="http://jrz.cnstock.com/yw/202001/4473092.htm" TargetMode="External"/><Relationship Id="rId50" Type="http://schemas.openxmlformats.org/officeDocument/2006/relationships/hyperlink" Target="http://news.cnstock.com/industry,rdjj-202001-4474512.htm" TargetMode="External"/><Relationship Id="rId28" Type="http://schemas.openxmlformats.org/officeDocument/2006/relationships/hyperlink" Target="http://news.cnstock.com/news,bwkx-202001-4472333.htm" TargetMode="External"/><Relationship Id="rId26" Type="http://schemas.openxmlformats.org/officeDocument/2006/relationships/hyperlink" Target="http://news.cnstock.com/news,bwkx-202001-4472947.htm" TargetMode="External"/><Relationship Id="rId32" Type="http://schemas.openxmlformats.org/officeDocument/2006/relationships/hyperlink" Target="http://news.cnstock.com/news,bwkx-202001-4473659.htm" TargetMode="External"/><Relationship Id="rId54" Type="http://schemas.openxmlformats.org/officeDocument/2006/relationships/hyperlink" Target="http://news.cnstock.com/news,bwkx-202001-4474081.htm" TargetMode="External"/><Relationship Id="rId34" Type="http://schemas.openxmlformats.org/officeDocument/2006/relationships/hyperlink" Target="http://news.cnstock.com/news,bwkx-202001-4474364.htm" TargetMode="External"/><Relationship Id="rId39" Type="http://schemas.openxmlformats.org/officeDocument/2006/relationships/hyperlink" Target="http://news.cnstock.com/news,yw-202001-4472600.htm" TargetMode="External"/><Relationship Id="rId30" Type="http://schemas.openxmlformats.org/officeDocument/2006/relationships/hyperlink" Target="http://news.cnstock.com/news,yw-202001-4473381.htm" TargetMode="External"/><Relationship Id="rId42" Type="http://schemas.openxmlformats.org/officeDocument/2006/relationships/hyperlink" Target="http://news.cnstock.com/news,yw-202001-4473941.htm" TargetMode="External"/><Relationship Id="rId37" Type="http://schemas.openxmlformats.org/officeDocument/2006/relationships/hyperlink" Target="http://news.cnstock.com/news,yw-202001-4474477.htm" TargetMode="External"/><Relationship Id="rId48" Type="http://schemas.openxmlformats.org/officeDocument/2006/relationships/hyperlink" Target="http://news.cnstock.com/news,yw-202001-4475006.htm" TargetMode="External"/><Relationship Id="rId45" Type="http://schemas.openxmlformats.org/officeDocument/2006/relationships/hyperlink" Target="http://news.cnstock.com/theme,202001-4473944.htm" TargetMode="External"/><Relationship Id="rId9" Type="http://schemas.openxmlformats.org/officeDocument/2006/relationships/hyperlink" Target="http://www.charltonslaw.com.cn/xin-san-ban-shi-chang-jiang-ying-jie-gong-mu-ji-jin-ru-sh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2" Type="http://schemas.openxmlformats.org/officeDocument/2006/relationships/hyperlink" Target="http://company.cnstock.com/company/scp_gsxw/202001/4473121.htm" TargetMode="External"/><Relationship Id="rId24" Type="http://schemas.openxmlformats.org/officeDocument/2006/relationships/hyperlink" Target="http://jrz.cnstock.com/yw/202001/4473092.htm" TargetMode="External"/><Relationship Id="rId50" Type="http://schemas.openxmlformats.org/officeDocument/2006/relationships/hyperlink" Target="http://news.cnstock.com/industry,rdjj-202001-4474512.htm" TargetMode="External"/><Relationship Id="rId28" Type="http://schemas.openxmlformats.org/officeDocument/2006/relationships/hyperlink" Target="http://news.cnstock.com/news,bwkx-202001-4472333.htm" TargetMode="External"/><Relationship Id="rId26" Type="http://schemas.openxmlformats.org/officeDocument/2006/relationships/hyperlink" Target="http://news.cnstock.com/news,bwkx-202001-4472947.htm" TargetMode="External"/><Relationship Id="rId32" Type="http://schemas.openxmlformats.org/officeDocument/2006/relationships/hyperlink" Target="http://news.cnstock.com/news,bwkx-202001-4473659.htm" TargetMode="External"/><Relationship Id="rId54" Type="http://schemas.openxmlformats.org/officeDocument/2006/relationships/hyperlink" Target="http://news.cnstock.com/news,bwkx-202001-4474081.htm" TargetMode="External"/><Relationship Id="rId34" Type="http://schemas.openxmlformats.org/officeDocument/2006/relationships/hyperlink" Target="http://news.cnstock.com/news,bwkx-202001-4474364.htm" TargetMode="External"/><Relationship Id="rId39" Type="http://schemas.openxmlformats.org/officeDocument/2006/relationships/hyperlink" Target="http://news.cnstock.com/news,yw-202001-4472600.htm" TargetMode="External"/><Relationship Id="rId30" Type="http://schemas.openxmlformats.org/officeDocument/2006/relationships/hyperlink" Target="http://news.cnstock.com/news,yw-202001-4473381.htm" TargetMode="External"/><Relationship Id="rId42" Type="http://schemas.openxmlformats.org/officeDocument/2006/relationships/hyperlink" Target="http://news.cnstock.com/news,yw-202001-4473941.htm" TargetMode="External"/><Relationship Id="rId37" Type="http://schemas.openxmlformats.org/officeDocument/2006/relationships/hyperlink" Target="http://news.cnstock.com/news,yw-202001-4474477.htm" TargetMode="External"/><Relationship Id="rId48" Type="http://schemas.openxmlformats.org/officeDocument/2006/relationships/hyperlink" Target="http://news.cnstock.com/news,yw-202001-4475006.htm" TargetMode="External"/><Relationship Id="rId45" Type="http://schemas.openxmlformats.org/officeDocument/2006/relationships/hyperlink" Target="http://news.cnstock.com/theme,202001-44739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2020-01-10T03:43:01Z</dcterms:created>
  <dcterms:modified xsi:type="dcterms:W3CDTF">2020-01-10T03:43:01Z</dcterms:modified>
</cp:coreProperties>
</file>