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第17期</w:t>
      </w:r>
      <w:r>
        <w:t xml:space="preserve"> </w:t>
      </w:r>
      <w:r>
        <w:t xml:space="preserve">-</w:t>
      </w:r>
      <w:r>
        <w:t xml:space="preserve"> </w:t>
      </w:r>
      <w:r>
        <w:t xml:space="preserve">2003年08月04日</w:t>
      </w:r>
    </w:p>
    <w:p>
      <w:hyperlink r:id="rId21">
        <w:r>
          <w:rPr>
            <w:rStyle w:val="Link"/>
          </w:rPr>
          <w:t xml:space="preserve">网络版</w:t>
        </w:r>
      </w:hyperlink>
    </w:p>
    <w:p>
      <w:pPr>
        <w:pStyle w:val="Heading1"/>
      </w:pPr>
      <w:bookmarkStart w:id="22" w:name="法讯中国第17期"/>
      <w:bookmarkEnd w:id="22"/>
      <w:r>
        <w:t xml:space="preserve">法讯中国第17期</w:t>
      </w:r>
    </w:p>
    <w:p>
      <w:pPr>
        <w:pStyle w:val="Heading2"/>
      </w:pPr>
      <w:bookmarkStart w:id="23" w:name="资本市场-capital-markets"/>
      <w:bookmarkEnd w:id="23"/>
      <w:r>
        <w:t xml:space="preserve">资本市场 CAPITAL MARKETS</w:t>
      </w:r>
    </w:p>
    <w:p>
      <w:pPr>
        <w:pStyle w:val="Heading3"/>
      </w:pPr>
      <w:bookmarkStart w:id="24" w:name="新股首发融资额设定上限"/>
      <w:bookmarkEnd w:id="24"/>
      <w:r>
        <w:t xml:space="preserve">新股首发融资额设定上限</w:t>
      </w:r>
    </w:p>
    <w:p>
      <w:r>
        <w:t xml:space="preserve">　　据悉，监管部门日前已对新股发行时的融资规模作出明确限定，不少券商和拟上发审会企业也已接到通知，要求送审企业融资额度不得超过审核前一年公司净资产的两倍。根据这一通知精神，净资产两倍和市盈率20倍的“双二指标”将成为今后新股发行中的两项硬指标。</w:t>
      </w:r>
    </w:p>
    <w:p>
      <w:r>
        <w:t xml:space="preserve">　　“不超过净资产两倍”的要求，早在两年前就已经是新股发行审核时内部掌握的不成文规定，只不过一直没有正式明确，也没有对具体执行中的有关细节做明确界定，个别小盘高成长企业也有超限的情况出现。此次监管部门正式明确要求企业按照审核时前一年的净资产，而不是过去通常所执行的“以发行前一年的净资产”为基准，总融资额度不超过这一基准的两倍。由于目前过会企业比较多，不少企业从审核过会到正式发行时间比较长，此次通知将对那些“跨年度”发行项目造成一定影响，特别是一些具有较高成长性的企业，其一年间的净资产值变化较大，在新通知精神下其融资总额将受到较大影响。故也有部分券商建议，在目前从审核到发行跨度较长的特殊时期，应更灵活地掌握两倍净资产的基准时间，最好能以最新的净资产数据为标准。据悉，此次通知没有明确那些已过会尚未发行的企业是否执行两倍净资产的规定要求，据一些券商投行人士判断，根据发行审核的相关政策应该不会要求对这部分企业重新审核。</w:t>
      </w:r>
    </w:p>
    <w:p>
      <w:r>
        <w:t xml:space="preserve">　　对于这一政策的影响，业内人士分析认为，虽然这一发行政策已在内部执行了一段时间，但此次明确执行，仍会对新股发行市场产生重要影响。对募资总额的政策封顶，应有利于减少那些盲目圈钱的融资冲动，鼓励企业更审慎更严谨地选择募资项目。从另一方面来说，新股融资额度的控制也将在一定程度上减小市场的扩容压力，有利于证券市场的健康发展。</w:t>
      </w:r>
    </w:p>
    <w:p>
      <w:r>
        <w:t xml:space="preserve">　　严格执行两倍净资产标准后，会不会使那些确实具有高成长性的好企业不能够融得足够的资金?有业内人士指出，从再融资的标准由净资产收益率的10%降为6%可以看出，监管部门鼓励企业通过用好首次募资，以良好的投资效益争取更多的再融资机会。</w:t>
      </w:r>
    </w:p>
    <w:p>
      <w:pPr>
        <w:pStyle w:val="Heading3"/>
      </w:pPr>
      <w:bookmarkStart w:id="25" w:name="集资额可能过百亿长江电力八月发行方案过会"/>
      <w:bookmarkEnd w:id="25"/>
      <w:r>
        <w:t xml:space="preserve">集资额可能过百亿，长江电力八月发行方案过会</w:t>
      </w:r>
    </w:p>
    <w:p>
      <w:r>
        <w:t xml:space="preserve">　　7月18日下午，长江电力国内A股发行上市方案已经通过了证监会发行审核委员会。据悉，长江电力的发行和上市也会“快马加鞭”，可能会赶在华夏银行之前，在2003年8月三峡首批机组投产发电期间正式发行。而有关此次发行的消息有望在8月初正式公布。</w:t>
      </w:r>
    </w:p>
    <w:p>
      <w:r>
        <w:t xml:space="preserve">　　一位熟知情况的资深投行人士在接受本报记者采访时表示：作为三峡工程建设的上市融资项目，长江电力的改制、发行和上市工作一直高速运行在“绿色通道”中：</w:t>
      </w:r>
    </w:p>
    <w:p>
      <w:r>
        <w:t xml:space="preserve">　　2002年8月，经国务院领导批准，原国家经贸委批复了三峡总公司改制重组方案。由三峡总公司作为主发起人，以葛洲坝电厂经剥离评估的净资产作为出资，联合中国石油天然气集团公司、华能国际电力股份有限公司、中国核工程集团、中国葛洲坝水利水电工程集团有限公司、长江水利委员会长江勘测规划设计研究院共同发起设立中国长江电力股份有限公司，分别占有股份总额的89.5％、3％、3％、3％、1％和0.5％。</w:t>
      </w:r>
    </w:p>
    <w:p>
      <w:r>
        <w:t xml:space="preserve">　　2002年9月29日，中国长江电力股份有限公司宣布成立，股份公司下设三峡电厂、葛洲坝电厂、三峡梯调中心和检修厂，职工总人数约1700人。长江电力董事长由三峡总公司总经理陆佑楣出任，三峡总公司副总经理、党组书记李永安出任公司副董事长兼总经理。</w:t>
      </w:r>
    </w:p>
    <w:p>
      <w:r>
        <w:t xml:space="preserve">　　2002年11月21日，长江电力股份公司正式进人上市辅导期。并确定了中信证券、北京德恒律师事务所、中洲光华会计师事务所、中发国际资产评估公司等作为其上市中介机构。</w:t>
      </w:r>
    </w:p>
    <w:p>
      <w:r>
        <w:t xml:space="preserve">　　2003年6月6日，长江电力首次公开发行A股承销团组成，该承销团共由40家券商组成，中信证券为主承销商，广发证券、中银国际、国泰君安、银河证券为副主承销商。</w:t>
      </w:r>
    </w:p>
    <w:p>
      <w:r>
        <w:t xml:space="preserve">　　长江电力股份公司由2002年9月成立到7月 18日“过会”，为时尚不足一年，时间之短为国内证券市场少有。前述权威人士指出，原因在于此项目直接关系三峡工程建设的进程，极其特殊。</w:t>
      </w:r>
    </w:p>
    <w:p>
      <w:r>
        <w:t xml:space="preserve">　　按照三峡总公司的原计划，长江电力预计首次向市场发行约10亿股流通股，约占总股本的15％，募集资金约40亿元。</w:t>
      </w:r>
    </w:p>
    <w:p>
      <w:r>
        <w:t xml:space="preserve">　　而有未经证实的消息称，长江电力集资额“较管理层早前透露的40亿至60亿元为多”，甚至“可能超过百亿元”。</w:t>
      </w:r>
    </w:p>
    <w:p>
      <w:r>
        <w:t xml:space="preserve">　　有研究人士指出，长江电力副总经理毕亚雄今年初曾预计，长江电力2003年度的净利润将会达到10亿元，按照其发行前55亿股的总股本和目前新股发行20倍市盈率的标准推算，“首发融资超过百亿元”的可能性不大。</w:t>
      </w:r>
    </w:p>
    <w:p>
      <w:pPr>
        <w:pStyle w:val="Heading3"/>
      </w:pPr>
      <w:bookmarkStart w:id="26" w:name="山东推进上市公司国有股转让"/>
      <w:bookmarkEnd w:id="26"/>
      <w:r>
        <w:t xml:space="preserve">山东推进上市公司国有股转让</w:t>
      </w:r>
    </w:p>
    <w:p>
      <w:r>
        <w:t xml:space="preserve">　　山东省将大力度推进上市公司资产重组工作，及时化解金融风险，同时积极培育壮大骨干企业，优化全省经济结构。山东省委常委、常务副省长林廷生日前提出，上市公司重组要围绕优化国有企业股权结构，提高上市公司效益的目标展开，可通过向外商、民营企业、混合所有制企业以及公司经营管理者和员工转让国有股等各种形式，推进上市公司投资主体多元化与合理化，进一步全面提高上市公司的质量和水平。</w:t>
      </w:r>
    </w:p>
    <w:p>
      <w:r>
        <w:t xml:space="preserve">　　据了解，目前山东省共有73家企业发行的80只股票在境内外上市，数量在全国所有省市中排名第四。其中，仅境内上市的68家公司2002年度主营业务收入就超过955亿元，约占同期全省GDP的10%，这些公司已成为山东经济发展的重要支柱力量，尤其在募集资金、调整经济结构、推动企业改制、优化资源配置和扩大对外开放等方面发挥了重要作用。但是，由于多方面的原因，山东地区上市公司在发展过程中，也存在着诸如证券市场总体规模偏小，上市公司业绩水平下滑，行业结构、股权结构和法人治理结构不合理与不完善，资产重组步伐较慢等问题。</w:t>
      </w:r>
    </w:p>
    <w:p>
      <w:r>
        <w:t xml:space="preserve">　　为此，林廷生要求各级政府和有关部门、上市公司及其控股股东增强危机感和紧迫感，切实采取措施，促进上市公司快速健康发展。他提出，山东要严格上市公司的自律与监管，提高规范运作水平；上市公司及其控股股东要树立法律法规意识，严格按照公司法、证券法及相关规定，完善财会、信息披露、资金管理使用、公司重大决策等制度，依法履行上市公司的相关义务；各级政府要负起对证券市场和上市公司健康发展的责任，研究制定上市公司资产重组的政策措施和工作程序，加强对上市公司的领导工作，并进一步转变职能，把精力转到改善环境、提供服务和加强监管上来，支持配合证券监管部门搞好对上市公司的监管，帮助上市公司解决好发展中的问题。</w:t>
      </w:r>
    </w:p>
    <w:p>
      <w:r>
        <w:t xml:space="preserve">　　山东省副省长王仁元也在这次会议上作了发言，他指出，各级政府和有关部门要抓好机遇，用好政策，加大调整国有股比重的工作力度，推进国有企业现代企业制度建设。他强调，上市公司和控股股东要按照现代企业制度建设的要求查找问题，采取措施，尤其是控股股东要对占用上市公司资金、上市公司为大股东与关联企业担保和未做到"五分开"等问题进行认真清理，限期解决。</w:t>
      </w:r>
    </w:p>
    <w:p>
      <w:pPr>
        <w:pStyle w:val="Heading3"/>
      </w:pPr>
      <w:bookmarkStart w:id="27" w:name="摩根获准开立qfii人民币特殊账户"/>
      <w:bookmarkEnd w:id="27"/>
      <w:r>
        <w:t xml:space="preserve">摩根获准开立QFII人民币特殊账户</w:t>
      </w:r>
    </w:p>
    <w:p>
      <w:r>
        <w:t xml:space="preserve">　　日前，国家外汇管理局批准摩根士丹利国际有限公司（Morgan Stanley &amp; Co.，International Limited）在汇丰银行上海分行开立一个QFII人民币特殊账户。并明确汇丰银行上海分行应督促摩根士丹利国际有限公司按照《合格境外机构投资者境内证券投资管理暂行办法》、《合格境外机构投资者境内证券投资外汇管理暂行规定》及有关规定限定的人民币特殊账户使用范围使用该账户。</w:t>
      </w:r>
    </w:p>
    <w:p>
      <w:pPr>
        <w:pStyle w:val="Heading3"/>
      </w:pPr>
      <w:bookmarkStart w:id="28" w:name="外管局批准高盛qfii投资额5000万美元"/>
      <w:bookmarkEnd w:id="28"/>
      <w:r>
        <w:t xml:space="preserve">外管局批准高盛QFII投资额5000万美元</w:t>
      </w:r>
    </w:p>
    <w:p>
      <w:r>
        <w:t xml:space="preserve">　　国家外汇管理局日前发布公告称，批准高盛公司（Goldman Sachs ）合格境外机构投资者（QFII）投资额度5000万美元。</w:t>
      </w:r>
    </w:p>
    <w:p>
      <w:pPr>
        <w:pStyle w:val="Heading3"/>
      </w:pPr>
      <w:bookmarkStart w:id="29" w:name="深圳出现期证通业务"/>
      <w:bookmarkEnd w:id="29"/>
      <w:r>
        <w:t xml:space="preserve">深圳出现“期证通”业务</w:t>
      </w:r>
    </w:p>
    <w:p>
      <w:r>
        <w:t xml:space="preserve">　　据悉，深圳中期与恒远证券深圳营业部联合，推出首家期证通业务。</w:t>
      </w:r>
    </w:p>
    <w:p>
      <w:r>
        <w:t xml:space="preserve">　　投资者可在深圳中期与恒远证券公司两家公司的任一台电脑终端上，自由切换期货、证券行情分析系统，并在做证券和期货的转换过程中，实现资金的无缝对接，投资者的资金可以在期货资金帐户与证券资金帐户之间实现零时间划转。</w:t>
      </w:r>
    </w:p>
    <w:p>
      <w:r>
        <w:t xml:space="preserve">　　据深圳中期常务副总裁陈冬华先生介绍，此项期证通业务，是中期集团收购恒远证券后在深圳的一个试点。目前推出的期证通品种有:无风险低回报的债券品种(银翅计划及企业债套利)、中风险中回报的股票及套利品种(股票交易及期货套利)和高风险高回报的期货品种(期货投资)。</w:t>
      </w:r>
    </w:p>
    <w:p>
      <w:pPr>
        <w:pStyle w:val="Heading2"/>
      </w:pPr>
      <w:bookmarkStart w:id="30" w:name="税务taxation"/>
      <w:bookmarkEnd w:id="30"/>
      <w:r>
        <w:t xml:space="preserve">税务TAXATION</w:t>
      </w:r>
    </w:p>
    <w:p>
      <w:pPr>
        <w:pStyle w:val="Heading3"/>
      </w:pPr>
      <w:bookmarkStart w:id="31" w:name="国税总局明确改组改制企业所得税征管范围"/>
      <w:bookmarkEnd w:id="31"/>
      <w:r>
        <w:t xml:space="preserve">国税总局明确改组改制企业所得税征管范围</w:t>
      </w:r>
    </w:p>
    <w:p>
      <w:r>
        <w:t xml:space="preserve">　　国家税务总局日前发布了《关于所得税收入分享体制改革后税收征管范围的补充通知》，对所得税收入分享体制改革后企业所得税的征管范围作出进一步明确。从7月1日开始，改组改制以及经营形式发生变化的企业在缴纳所得税时，不会再为进国税局的门还是地税局的门而发愁了。</w:t>
      </w:r>
    </w:p>
    <w:p>
      <w:pPr>
        <w:pStyle w:val="Heading3"/>
      </w:pPr>
      <w:bookmarkStart w:id="32" w:name="国税总局商品房售出前不征收房产税"/>
      <w:bookmarkEnd w:id="32"/>
      <w:r>
        <w:t xml:space="preserve">国税总局：商品房售出前不征收房产税</w:t>
      </w:r>
    </w:p>
    <w:p>
      <w:r>
        <w:t xml:space="preserve">　　国家税务总局日前发出通知指出，鉴于房地产开发企业开发的商品房在出售前，对房地产开发企业而言是一种产品，因此，对房地产开发企业建造的商品房，在售出前，不征收房产税；但对售出前房地产开发企业已使用或出租、出借的商品房应按规定征收房产税。购置新建商品房，自房屋交付使用之次月起计征房产税和城镇土地使用税。</w:t>
      </w:r>
    </w:p>
    <w:p>
      <w:pPr>
        <w:pStyle w:val="Heading2"/>
      </w:pPr>
      <w:bookmarkStart w:id="33" w:name="房地产-real-estate"/>
      <w:bookmarkEnd w:id="33"/>
      <w:r>
        <w:t xml:space="preserve">房地产 REAL ESTATE</w:t>
      </w:r>
    </w:p>
    <w:p>
      <w:pPr>
        <w:pStyle w:val="Heading3"/>
      </w:pPr>
      <w:bookmarkStart w:id="34" w:name="国务院五大措施解决房地产市场发展中的问题"/>
      <w:bookmarkEnd w:id="34"/>
      <w:r>
        <w:t xml:space="preserve">国务院五大措施解决房地产市场发展中的问题</w:t>
      </w:r>
    </w:p>
    <w:p>
      <w:r>
        <w:t xml:space="preserve">　　国务院总理温家宝7月30日主持召开国务院常务会议，研究促进房地产市场健康发展等问题。会议强调，促进房地产市场持续健康发展，有利于扩大内需，促进消费，改善居民居住质量，提高人民群众生活水平。</w:t>
      </w:r>
    </w:p>
    <w:p>
      <w:r>
        <w:t xml:space="preserve">　　会议指出，要深化改革，加强宏观调控，切实解决房地产市场快速发展过程中出现的问题。重点做好以下工作：</w:t>
      </w:r>
    </w:p>
    <w:p>
      <w:r>
        <w:t xml:space="preserve">　　一是完善供应政策，调整供应结构。要加强经济适用住房的建设和管理，增加普通商品住房供应，控制高档商品住房建设。</w:t>
      </w:r>
    </w:p>
    <w:p>
      <w:r>
        <w:t xml:space="preserve">　　二是改革住房制度，健全市场体系。继续推进现有公房出售，完善住房补贴制度。</w:t>
      </w:r>
    </w:p>
    <w:p>
      <w:r>
        <w:t xml:space="preserve">　　三是发展住房信贷，强化管理服务。切实加强房地产贷款监管，完善个人住房贷款担保机制。</w:t>
      </w:r>
    </w:p>
    <w:p>
      <w:r>
        <w:t xml:space="preserve">　　四是改进规划管理，调控土地供应。充分发挥城乡规划的调控作用，合理确定各类住房用地的布局和比例。</w:t>
      </w:r>
    </w:p>
    <w:p>
      <w:r>
        <w:t xml:space="preserve">　　五是加强市场监管，整顿市场秩序。建立健全房地产市场信息系统和预警预报体系，完善市场监管制度，提高市场监管水平。</w:t>
      </w:r>
    </w:p>
    <w:p>
      <w:pPr>
        <w:pStyle w:val="Heading3"/>
      </w:pPr>
      <w:bookmarkStart w:id="35" w:name="国务院部署清理整顿各类开发区用地加强土地管理工作"/>
      <w:bookmarkEnd w:id="35"/>
      <w:r>
        <w:t xml:space="preserve">国务院部署清理整顿各类开发区用地、加强土地管理工作</w:t>
      </w:r>
    </w:p>
    <w:p>
      <w:r>
        <w:t xml:space="preserve">　　7月31日，国务院召开全国进一步治理整顿土地市场秩序电视电话会议，就清理整顿各类开发区用地，加强土地管理做出部署。</w:t>
      </w:r>
    </w:p>
    <w:p>
      <w:r>
        <w:t xml:space="preserve">　　国务院总理温家宝在对会议的重要批示中指出，土地是民生之本。保护土地是一项基本国策。实行最严格的土地管理制度，一是要完善土地产权与征地制度，健全土地管理法律体系；二要加强土地审批管理，杜绝乱批滥占耕地现象；三要清理整顿各类开发用地，强化对土地使用的监督；四要加强宏观调控和政策引导，防止盲目投资和低水平重复建设。</w:t>
      </w:r>
    </w:p>
    <w:p>
      <w:r>
        <w:t xml:space="preserve">　　国务院副总理曾培炎就整顿土地市场秩序提出了四点要求。</w:t>
      </w:r>
    </w:p>
    <w:p>
      <w:r>
        <w:t xml:space="preserve">　　第一，加强领导，狠抓落实。各级政府要把整顿土地市场秩序作为当前的一项重要任务。</w:t>
      </w:r>
    </w:p>
    <w:p>
      <w:r>
        <w:t xml:space="preserve">　　第二，突出重点，集中解决开发区违法违规占地问题。新设立和扩建的各级各类开发区一律暂停审批，国家级开发区确需扩建的，须报国务院审批。</w:t>
      </w:r>
    </w:p>
    <w:p>
      <w:r>
        <w:t xml:space="preserve">　　第三，加强督查指导，加大执法力度。国务院有关部门和各地方要集中力量开展专项督查。</w:t>
      </w:r>
    </w:p>
    <w:p>
      <w:r>
        <w:t xml:space="preserve">　　第四，进一步采取措施，全面加强土地管理工作。加强土地集中统一管理和土地审批管理。改革和完善征地制度。严格土地利用规划、计划管理，严格实施土地用途管制制度，加强耕地特别是基本农田保护。对不符合土地利用规划、计划的项目，不得批准立项、不得批准用地、不得批准贷款。坚决执行经营性用地招标、拍卖、挂牌出让制度，规范协议出让，严格限制划拨用地范围。</w:t>
      </w:r>
    </w:p>
    <w:p>
      <w:pPr>
        <w:pStyle w:val="Heading2"/>
      </w:pPr>
      <w:bookmarkStart w:id="36" w:name="wto"/>
      <w:bookmarkEnd w:id="36"/>
      <w:r>
        <w:t xml:space="preserve">WTO</w:t>
      </w:r>
    </w:p>
    <w:p>
      <w:pPr>
        <w:pStyle w:val="Heading3"/>
      </w:pPr>
      <w:bookmarkStart w:id="37" w:name="欧盟首次对中国产品实施wto特保调查期限9个月"/>
      <w:bookmarkEnd w:id="37"/>
      <w:r>
        <w:t xml:space="preserve">欧盟首次对中国产品实施WTO特保调查，期限9个月</w:t>
      </w:r>
    </w:p>
    <w:p>
      <w:r>
        <w:t xml:space="preserve">　　 据悉，德制成品进口商协会在2003／087／01号通函中向其会员企业通报，欧盟根据西班牙提出的申请，对中国商品(桔子罐头)首次实施WTO有限期特保调查，期限为9个月。</w:t>
      </w:r>
    </w:p>
    <w:p>
      <w:r>
        <w:t xml:space="preserve">　　 报道称，首起特保调查无论结局如何，明显预示着2004年底欧盟对中国纺织服装、鞋、陶瓷餐具等配额完全取消后，中国制成品向欧盟出口即将面临特保调查的可能性。</w:t>
      </w:r>
    </w:p>
    <w:p>
      <w:r>
        <w:t xml:space="preserve">　　 中国在加入世贸组织议定书中承诺，某一WTO成员国进口原产于中国的商品大量增加，或因进口导致该国市场受到损害，或感觉受到损害威胁时，可以在2001年12月11日至2013年12月11日期间对中国产品实行有限期的特保措施。</w:t>
      </w:r>
    </w:p>
    <w:p>
      <w:r>
        <w:t xml:space="preserve">　　 WTO特保措施与欧共体有关保护措施基本法规和欧共体对从非市场经济国家进口采取的保护0措施有着本质的区别。WTO特保措施规定，当一成员国某一商品进口增长迅速，或进口增加成为致使该国产业受损的主要原因，或受到损害威胁时，可申请特保措施，措施有两种选择，即增收附加关税或实行进口数量配额。</w:t>
      </w:r>
    </w:p>
    <w:p>
      <w:pPr>
        <w:pStyle w:val="Heading3"/>
      </w:pPr>
      <w:bookmarkStart w:id="38" w:name="中国打火机企业应诉欧盟反倾销获实质性胜诉"/>
      <w:bookmarkEnd w:id="38"/>
      <w:r>
        <w:t xml:space="preserve">中国打火机企业应诉欧盟反倾销获实质性胜诉</w:t>
      </w:r>
    </w:p>
    <w:p>
      <w:r>
        <w:t xml:space="preserve">　　 中国打火机企业在欧盟规定的１０天陈述期内，没有对欧洲打火机制造商联合会撤回反倾销诉讼表示异议，表明这起“洋官司”已自动终结，中国打火机企业应诉欧盟反倾销已取得实质性胜诉。</w:t>
      </w:r>
    </w:p>
    <w:p>
      <w:r>
        <w:t xml:space="preserve">　　 ２００２年６月２８日欧盟决定对产自中国的打火机（包括一次性打火机，金属外壳打火机和汽油打火机）进行反倾销立案。温州是中国打火机的主要生产基地，年产向欧盟出口的金属外壳打火机５亿只。</w:t>
      </w:r>
    </w:p>
    <w:p>
      <w:r>
        <w:t xml:space="preserve">　　 温州打火机协会在中国五金协会的协助下，邀请涉外法律专家举行了多次专题分析会。协会作出共同聘请律师、联合应诉的决策，抓住关键性材料，据理力争：温州金属外壳打火机的设计、材料、结构、功能、工艺、销价、消费对象等与欧洲打火机企业生产的一次性打火机有着很大区别；温州的打火机企业均属民营企业，不存在政府补贴问题，其产品不属于“低于成本销售”的倾销范畴。去年９月至１１月，欧盟反倾销委员会的官员多次来温州进行实地抽查。他们对东方打火机厂、温州市尼博公司等企业的产品、销售、财务等进行了严格核查。最终对应诉企业提出的意见和事实予以理解和认可，表示将如实向欧盟报告。</w:t>
      </w:r>
    </w:p>
    <w:p>
      <w:r>
        <w:t xml:space="preserve">　　 今年７月１７日，温州市打火机企业协会和东方打火机厂同时接到欧盟委员会贸易总司的决定书，决定书明确指出，欧洲打火机制造商联合会已于２００３年７月１４日撤回上述反倾销诉讼的申诉。并告知温州打火机协会及东方打火机厂等，可在１０天内对申诉方的撤诉递交意见。周大虎说，根据欧盟的有关条例，申诉方撤诉及应诉方无异议，表明此案已无诉讼主体，视同撤案。我们希望欧盟按照有关规则，尽早向中国打火机协会发出正式撤案公函。</w:t>
      </w:r>
    </w:p>
    <w:p>
      <w:pPr>
        <w:pStyle w:val="Heading3"/>
      </w:pPr>
      <w:bookmarkStart w:id="39" w:name="德国外贸进出自由外企一律享受国民待遇"/>
      <w:bookmarkEnd w:id="39"/>
      <w:r>
        <w:t xml:space="preserve">德国外贸“进出自由”，外企一律享受国民待遇</w:t>
      </w:r>
    </w:p>
    <w:p>
      <w:r>
        <w:t xml:space="preserve">　　 贸易是德国对外开放最早的服务行业，外国企业享受国民待遇，在德经营外贸进出口一般不需审批。外资企业在德投资实行登记制度，首先到该投资地区的地方法院进行商业注册，之后去地方政府（工商局）进行工商注册，公司即告成立。德国目前没有专门针对外国投资者的限制性措施，但以下几点应引起注意：</w:t>
      </w:r>
    </w:p>
    <w:p>
      <w:r>
        <w:t xml:space="preserve">　　 如果拟投资于药品、武器、动力燃油及某些有毒物品等的贸易，需要经济主管部门（联邦经济与技术部及专业管理部门）的审批；如果拟投资于批发、零售业，建立大型零售或批发市场，根据“建筑使用法规”（Baunutzungs－verordung），当地的建筑局将对建筑方案进行审批，审批的标准包括以下因素：建筑计划、开发费用、对环境的影响等。另外，新成立的商场不得损害市内已有零售企业的利益，对其形成排挤性竞争。</w:t>
      </w:r>
    </w:p>
    <w:p>
      <w:r>
        <w:t xml:space="preserve">　　 为保证企业之间的公平竞争，颁布实施一系列法律，对变相压价的无序竞争进行限制。主要有《反不正当竞争法》（Gesetzgegendenun－lauterenWettbewerb）、《折扣法》（Rabatt－gesetz）、《赠品法》（Zugabeverordung）等。根据《反不正当竞争法》规定，企业不得做不符合实际情况的广告宣传，《赠品法》和《折扣法》规定，不可赠送顾客太多的礼物，变相降价。同时，规定只有在以下情况可给予折扣：最终用户现金付款，最多可获得3％的折扣；一次性采购金额高，可给予通行的数量折扣（Mengennachlass）；公司员工折扣（Personalnachlass）。</w:t>
      </w:r>
    </w:p>
    <w:p>
      <w:r>
        <w:t xml:space="preserve">　　 通过《商场营业时间法》对零售和批发企业的营业时间进行限定。该法律规定，除火车站、机场、加油站等场所的商店外，其余商场只能在法定时间营业。</w:t>
      </w:r>
    </w:p>
    <w:p>
      <w:r>
        <w:t xml:space="preserve">　　 外国公司在德成立的企业以生产型为主，专业外贸公司不多。这些生产企业均设有国际部或采购部，负责进出口事务。德国的零售、批发市场已经形成了完整的体系，且封闭性较强，外国企业很难进入。此外，由于营业时间的限制以及人员、税务等各项费用太高，导致平均利润率很低，不足3％，外国企业在投资于该领域时都相当谨慎。</w:t>
      </w:r>
    </w:p>
    <w:p>
      <w:pPr>
        <w:pStyle w:val="Heading3"/>
      </w:pPr>
      <w:bookmarkStart w:id="40" w:name="美国多行业联盟准备就人民币政策联合对中国发起301条款诉讼申请"/>
      <w:bookmarkEnd w:id="40"/>
      <w:r>
        <w:t xml:space="preserve">美国多行业联盟准备就人民币政策联合对中国发起“301条款”诉讼申请</w:t>
      </w:r>
    </w:p>
    <w:p>
      <w:r>
        <w:t xml:space="preserve">　　 据悉，一个美国钢铁、纺织和其他制造业者的80个贸易团体组成的联盟--“稳健的美元”正在准备就中国的货币政策提起诉讼，以敦促布什政府使中国人民币升值。该申请很可能在下月提出，目前这个联盟正在其成员中讨论、游说，看看谁将为向美国贸易代表处立案而估计花费的20万美元费用做贡献。</w:t>
      </w:r>
    </w:p>
    <w:p>
      <w:r>
        <w:t xml:space="preserve">　　 如果申请成功，将是美国第一次用“301条款”来挑战一国的货币政策。正式的起诉将可能加速美国政府在WTO立案或者采取报复性关税。</w:t>
      </w:r>
    </w:p>
    <w:p>
      <w:r>
        <w:t xml:space="preserve">　　 这些制造业者们认为，中国人民币对美元的汇率在长达8年的时间里一直是8.2770，被低估了40%。这就为中国公司提供了不公平贸易的机会，同时也是违反WTO和国际货币基金组织规则的。</w:t>
      </w:r>
    </w:p>
    <w:p>
      <w:pPr>
        <w:pStyle w:val="Heading2"/>
      </w:pPr>
      <w:bookmarkStart w:id="41" w:name="公司与商业corporate-commercial"/>
      <w:bookmarkEnd w:id="41"/>
      <w:r>
        <w:t xml:space="preserve">公司与商业CORPORATE &amp; COMMERCIAL</w:t>
      </w:r>
    </w:p>
    <w:p>
      <w:pPr>
        <w:pStyle w:val="Heading3"/>
      </w:pPr>
      <w:bookmarkStart w:id="42" w:name="中央政府承诺对cepa作重大调整"/>
      <w:bookmarkEnd w:id="42"/>
      <w:r>
        <w:t xml:space="preserve">中央政府承诺对CEPA作重大调整</w:t>
      </w:r>
    </w:p>
    <w:p>
      <w:r>
        <w:t xml:space="preserve">　　日前，香港特区行政长官董建华正式对外界公布，中央政府已承诺对CEPA（香港内地更紧密经贸关系安排）作重大调整，新增了“积极研究允许香港银行在香港试行办理人民币个人业务、条件许可时优先考虑在香港开设人民币离岸中心”等6项内容。据悉，这不仅意味着外资银行垂涎已久的人民币个人业务将提前在香港实现，也意味着香港有可能成为人民币的离岸业务中心。</w:t>
      </w:r>
    </w:p>
    <w:p>
      <w:r>
        <w:t xml:space="preserve">　　这六项重大调整是：当中国具备开办人民币离岸业务条件时，优先考虑在香港开放；积极研究允许香港银行试办人民币个人业务，包括存款、汇款、兑换和信用卡业务；积极支持内地符合条件的企业到香港上市；积极研究将香港保险公司参股内地保险公司的比例，在现时的15%基础上再增加；273个零关税港产品原产地标准以及双方合作监管问题，在9月底前达成一致意见；扩大内地个人来港旅游，增加北京、上海两市试点。</w:t>
      </w:r>
    </w:p>
    <w:p>
      <w:pPr>
        <w:pStyle w:val="Heading3"/>
      </w:pPr>
      <w:bookmarkStart w:id="43" w:name="民营企业从9月1日起可以申请出版物的国内总发行权及批发权"/>
      <w:bookmarkEnd w:id="43"/>
      <w:r>
        <w:t xml:space="preserve">民营企业从9月1日起可以申请出版物的国内总发行权及批发权</w:t>
      </w:r>
    </w:p>
    <w:p>
      <w:r>
        <w:t xml:space="preserve">　　据新闻出版总署透露，从今年9月1日开始，具备一定资格的民营企业也可以和国有企业一样，申请出版物的国内总发行权及批发权，以往把民营企业称为二渠道的说法呼将不复存在。</w:t>
      </w:r>
    </w:p>
    <w:p>
      <w:r>
        <w:t xml:space="preserve">　　目前只有国有或国有控股的出版发行公司才能申请出版物的国内总发行权和批发权。而在9月1日开始实行的新规定中，具备一定资格的企业都可以申请总发行和批发，取消了对企业所有制的限制。但是，申请企业的注册资本由原来的1000万元提高到2000万元，经营场所面积也必须在1000平方米以上。</w:t>
      </w:r>
    </w:p>
    <w:p>
      <w:r>
        <w:t xml:space="preserve">　　新闻出版总署出版物发行管理司副司长张福海表示，“民营资本获得了与国有资本同等的市场准入的条件，它们不再受歧视。”</w:t>
      </w:r>
    </w:p>
    <w:p>
      <w:r>
        <w:t xml:space="preserve">　　对于外资和合资企业，要想申请出版物国内批发权，则要等到2004的12月。</w:t>
      </w:r>
    </w:p>
    <w:p>
      <w:pPr>
        <w:pStyle w:val="Heading3"/>
      </w:pPr>
      <w:bookmarkStart w:id="44" w:name="吴敬琏国资委应切实推进公司化改制"/>
      <w:bookmarkEnd w:id="44"/>
      <w:r>
        <w:t xml:space="preserve">吴敬琏：国资委应切实推进公司化改制</w:t>
      </w:r>
    </w:p>
    <w:p>
      <w:r>
        <w:t xml:space="preserve">　　经济学家吴敬琏日前就国资委成立后国有经济改革问题表示，国资委应切实加快国有企业的公司化改制，把绝大多数原有国企改造成多元持股的公司制企业。同时，国资委应建立所有者与经营者之间的制衡关系。</w:t>
      </w:r>
    </w:p>
    <w:p>
      <w:r>
        <w:t xml:space="preserve">　　他认为，国资委成立以后，“授权”某些企业或企业集团代行出资人职责的国有资产管理方式应当尽快退出历史舞台。国资委要依照《公司法》，对所属一级企业直接进行股权管理，或者继续保持它们“授权投资机构”的地位，使之成为一种为进行国有经济改革而设立的国资委派出机构，由国资委任命公务员领导；或者将其作为企业进行公司化改制，成为进行生产运作的运营性公司或专司资本运营的控股公司。</w:t>
      </w:r>
    </w:p>
    <w:p>
      <w:r>
        <w:t xml:space="preserve">　　他强调，国资委在已实现公司化改制的公司中代表国有股东行使“管人、管事、管资产”的职权，也必须在《公司法》的框架内进行。国资委要在这些企业中建立起所有者与经营者之间的制衡关系，使企业的法人治理结构(即公司治理结构)有效地发挥作用。</w:t>
      </w:r>
    </w:p>
    <w:p>
      <w:r>
        <w:t xml:space="preserve">　　他表示，要进一步推进国有经济布局的战略性调整，国资委应从不具优势的领域中逐步有序退出，用腾出来的资源改善政府的公共服务；应对国有产权变动进行规范，并动员社会各方进行监督，以维护定价、申购等方面的程序公正；在分级划拨国有资产之前，应将部分国资拨付给全国社会保障基金会，用以归还政府对国有企业老职工的隐性债务。</w:t>
      </w:r>
    </w:p>
    <w:p>
      <w:pPr>
        <w:pStyle w:val="Heading2"/>
      </w:pPr>
      <w:bookmarkStart w:id="45" w:name="外商投资-foreign-investment"/>
      <w:bookmarkEnd w:id="45"/>
      <w:r>
        <w:t xml:space="preserve">外商投资 FOREIGN INVESTMENT</w:t>
      </w:r>
    </w:p>
    <w:p>
      <w:pPr>
        <w:pStyle w:val="Heading3"/>
      </w:pPr>
      <w:bookmarkStart w:id="46" w:name="中国拟允许外商在部分地区建独资出口采购中心"/>
      <w:bookmarkEnd w:id="46"/>
      <w:r>
        <w:t xml:space="preserve">中国拟允许外商在部分地区建独资出口采购中心</w:t>
      </w:r>
    </w:p>
    <w:p>
      <w:r>
        <w:t xml:space="preserve">　　据悉，为鼓励跨国公司加大在华采购，中国将进一步放宽外商在华采购出口的政策，允许外商在部分地区兴办独资的出口采购中心，从事采购中国境内产品出口的业务及相关配套服务。</w:t>
      </w:r>
    </w:p>
    <w:p>
      <w:r>
        <w:t xml:space="preserve">　　据商务部副部长马秀红介绍，这一政策已得到国务院批准，商务部正在制定具体规定。</w:t>
      </w:r>
    </w:p>
    <w:p>
      <w:r>
        <w:t xml:space="preserve">　　目前跨国公司在华采购的五种渠道如下：</w:t>
      </w:r>
    </w:p>
    <w:p>
      <w:r>
        <w:t xml:space="preserve">　　一是根据今年1月原外经贸部颁布的《关于设立中外合资对外贸易公司暂行办法》，在全国范围内允许设立中外合资对外贸易公司，允许合资外贸公司在经批准的经营商品范围内自营或代理货物、技术出口及相关服务。</w:t>
      </w:r>
    </w:p>
    <w:p>
      <w:r>
        <w:t xml:space="preserve">　　二是根据原外经贸部外商投资性公司的有关规定，外商投资者在中国兴办的投资性公司，可以以经销的方式销售其投资企业生产的产品，可以以代理、经销或设立出口采购机构的方式出口不涉及出口配额、许可证管理的国内商品。</w:t>
      </w:r>
    </w:p>
    <w:p>
      <w:r>
        <w:t xml:space="preserve">　　三是根据《关于开展试点设立外商投资物流企业有关工作问题的通知》，符合条件的外商投资者可以在中国投资设立物流企业，有条件地从事出口业务。</w:t>
      </w:r>
    </w:p>
    <w:p>
      <w:r>
        <w:t xml:space="preserve">　　四是根据原外经贸部2001年下发的《关于扩大外商投资进出口经营权有关问题的通知》，年出口额在1000万美元以上的外商投资生产型企业，经批准可以从事非配额许可证管理、非专营商品的收购出口业务，并可以参加自产产品的出口配额招标。</w:t>
      </w:r>
    </w:p>
    <w:p>
      <w:r>
        <w:t xml:space="preserve">　　五是根据1999年颁布的《外商投资商业企业试点办法》，经国家批准设立的外商投资商业企业，可以从事组织国内产品的出口业务和自营商品的出口业务。</w:t>
      </w:r>
    </w:p>
    <w:p>
      <w:pPr>
        <w:pStyle w:val="Heading3"/>
      </w:pPr>
      <w:bookmarkStart w:id="47" w:name="首家电信服务合资企业获得批准"/>
      <w:bookmarkEnd w:id="47"/>
      <w:r>
        <w:t xml:space="preserve">首家电信服务合资企业获得批准</w:t>
      </w:r>
    </w:p>
    <w:p>
      <w:r>
        <w:t xml:space="preserve">　　近日，一家有外资参股的合资电信服务企业已经获得信息产业部批准，这是中国入世一年多以来电信领域批准的首家此类合资企业。</w:t>
      </w:r>
    </w:p>
    <w:p>
      <w:r>
        <w:t xml:space="preserve">　　据悉，新成立的合资公司名为“北京五洲纵横体育事业发展有限公司”，外方投资者是隶属于美国ESPN和星空传媒集团的子公司—ESPNSTAR Sports有限公司，中方是北京东方普晨投资咨询有限公司和深圳不凡广告有限公司。该公司注册资金为三十九万美元，其中外资占百分之三十股份，两家中方公司各占百分之三十五。这家合资企业主要在北京从事互联网信息服务。</w:t>
      </w:r>
    </w:p>
    <w:p>
      <w:pPr>
        <w:pStyle w:val="Heading2"/>
      </w:pPr>
      <w:bookmarkStart w:id="48" w:name="保险-insurance"/>
      <w:bookmarkEnd w:id="48"/>
      <w:r>
        <w:t xml:space="preserve">保险 INSURANCE</w:t>
      </w:r>
    </w:p>
    <w:p>
      <w:pPr>
        <w:pStyle w:val="Heading3"/>
      </w:pPr>
      <w:bookmarkStart w:id="49" w:name="保监会放宽保险公司高管人员任职限制"/>
      <w:bookmarkEnd w:id="49"/>
      <w:r>
        <w:t xml:space="preserve">保监会放宽保险公司高管人员任职限制</w:t>
      </w:r>
    </w:p>
    <w:p>
      <w:r>
        <w:t xml:space="preserve">　　中国保险监督管理委员会负责人28日说，保监会日前对《保险公司高级管理人员任职资格管理规定》进行修改，放宽了对保险公司高级管理人员任职的诸多限制。</w:t>
      </w:r>
    </w:p>
    <w:p>
      <w:r>
        <w:t xml:space="preserve">　　《保险公司高级管理人员任职资格管理规定》修改后，放宽了对保险公司高管人员任职前从业领域的限制，降低了从业年限要求，同时对一些专业领域具有突出才能或作出突出贡献的，可适当放宽学历或从业年限要求；取消了对保险公司董事长兼职的限制和对外资保险公司、合资保险公司外方人员汉语水平的限制；只对保险公司分支机构总经理（经理）进行任职资格审核，副职人员不再纳入审核范围；加强了对上市保险公司董事会组成人员的管理；增添了对高管人员是否有犯罪记录方面的审查标准。</w:t>
      </w:r>
    </w:p>
    <w:p>
      <w:r>
        <w:t xml:space="preserve">　　保监会负责人说，对高管人员任职资格管理规定进行修改，是为了适应保险业快速发展的需要，吸引更多优秀管理人员参与保险业的建设和发展。今年１至６月，中国内外资保险公司总保费收入２１２６．１亿元，比去年同期增长３２％。预计今年全年保费收入将超过４０００亿元</w:t>
      </w:r>
    </w:p>
    <w:p>
      <w:pPr>
        <w:pStyle w:val="Heading3"/>
      </w:pPr>
      <w:bookmarkStart w:id="50" w:name="外资保险公司管理条例实施细则征求意见稿出台"/>
      <w:bookmarkEnd w:id="50"/>
      <w:r>
        <w:t xml:space="preserve">《外资保险公司管理条例》实施细则（征求意见稿）出台</w:t>
      </w:r>
    </w:p>
    <w:p>
      <w:r>
        <w:t xml:space="preserve">　　中国保监会7月31日公布《外资保险公司管理条例实施细则》（征求意见稿），向社会各界征求意见，意见可以以信函、电子邮件形式在8月15日之前发送至中国保监会。</w:t>
      </w:r>
    </w:p>
    <w:p>
      <w:r>
        <w:t xml:space="preserve">　　《细则》（详见中国保监会网站www.sirc.gov.cn）称，外国人身保险公司申请设立合资人身保险公司时，外资比例不得超过合资人身保险公司总股本的百分之五十。在合资保险公司中，外国保险公司不得通过任何直接或间接的方式，使其所持合资保险公司的股份超过本细则规定的比例限制。</w:t>
      </w:r>
    </w:p>
    <w:p>
      <w:r>
        <w:t xml:space="preserve">　　《细则》规定，《外资保险公司管理条例》生效前已在华设立或获准筹建，但尚未开业的外资保险公司，其注册资本或营运资金不足二亿元人民币或其等值的自由兑换货币的，应在本实施细则生效后二年内补足；未在规定时间内补足的，不得增设分支机构。外资保险公司分公司营运资金不足二亿元人民币或其等值的自由兑换货币、且未在规定时间内补足的，不得改建为独资保险公司。</w:t>
      </w:r>
    </w:p>
    <w:p>
      <w:r>
        <w:t xml:space="preserve">　　《细则》规定，外资保险公司设立一年后，可以申请设立分支机构。外资保险公司在最低资本金人民币二亿元基础上，每申请新增设一家分公司，资本金需增加人民币二千万元。</w:t>
      </w:r>
    </w:p>
    <w:p>
      <w:pPr>
        <w:pStyle w:val="Heading2"/>
      </w:pPr>
      <w:bookmarkStart w:id="51" w:name="其他-other"/>
      <w:bookmarkEnd w:id="51"/>
      <w:r>
        <w:t xml:space="preserve">其他 OTHER</w:t>
      </w:r>
    </w:p>
    <w:p>
      <w:pPr>
        <w:pStyle w:val="Heading3"/>
      </w:pPr>
      <w:bookmarkStart w:id="52" w:name="中国公布第批实施强制性产品认证产品"/>
      <w:bookmarkEnd w:id="52"/>
      <w:r>
        <w:t xml:space="preserve">中国公布第—批实施强制性产品认证产品</w:t>
      </w:r>
    </w:p>
    <w:p>
      <w:r>
        <w:t xml:space="preserve">　　从今年8月1日起，中国将逐步在商业领域严格市场准入，国家公布的首批须通过强制认证的产品共有19大类132种。</w:t>
      </w:r>
    </w:p>
    <w:p>
      <w:r>
        <w:t xml:space="preserve">　　这些产品未获得指定机构的认证证书、未按规定加施认证标志，不得出厂销售、进口和在经营性活动中使用。各地质检部门届时将依法在全国开展3C认证专项执法检查。</w:t>
      </w:r>
    </w:p>
    <w:p>
      <w:r>
        <w:t xml:space="preserve">　　第—批实施强制性产品认证的产品目录如下：</w:t>
      </w:r>
    </w:p>
    <w:p>
      <w:r>
        <w:t xml:space="preserve">　　一、电线电缆(共5种)</w:t>
      </w:r>
    </w:p>
    <w:p>
      <w:r>
        <w:t xml:space="preserve">　　　　电线组件、矿用橡套软电缆、交流额定电压3KV及以下铁路机车车辆用电线电缆、额定电压450／750V及以下橡皮绝缘电线电缆、额定电压450／750V及以下聚氯乙烯绝缘电线电缆。</w:t>
      </w:r>
    </w:p>
    <w:p>
      <w:r>
        <w:t xml:space="preserve">　　二、电路开关及保护或连接用电器装置(共6种)</w:t>
      </w:r>
    </w:p>
    <w:p>
      <w:r>
        <w:t xml:space="preserve">　　　　器具耦合器(家用和类似用途、工业用)、插头插座(家用和类似用途、工业用)、热熔断体、小型熔断器的管状熔断体、家用和类似用途固定式电气装置的开关、家用和类似用途固定式电气装置电器附件外壳。</w:t>
      </w:r>
    </w:p>
    <w:p>
      <w:r>
        <w:t xml:space="preserve">　　三、低压电器(共9种)</w:t>
      </w:r>
    </w:p>
    <w:p>
      <w:r>
        <w:t xml:space="preserve">　　　　漏电保护器、断路器(含RCCB、RCBO、MCB)、熔断器、低压开关(隔离器、隔离开关、熔断器组合电器)、其他电路保护装置[保护器类：限流器、电路保护装置、过流保护器、热保护器、过载继电器、低压机电式接触器、电动机启动器]、继电器(36V电压≤1000V)、其他开关(电器开关、真空开关、压力开关、接近开关、脚踏开关、热敏开关、液位开关、按钮开关、限位开关、微动开关、倒顺开关、温度开关、行程开关、转换开关、自动转换开关、刀开关)、其他装置(接触器、电动机起动器、信号灯、辅助触头组件、主令控制器、交流半导体电动机控制器和起动器)、低压成套开关设备。</w:t>
      </w:r>
    </w:p>
    <w:p>
      <w:r>
        <w:t xml:space="preserve">　　四、小功率电动机(共1种)</w:t>
      </w:r>
    </w:p>
    <w:p>
      <w:r>
        <w:t xml:space="preserve">　　　　小功率电动机。</w:t>
      </w:r>
    </w:p>
    <w:p>
      <w:r>
        <w:t xml:space="preserve">　　五、电动工具</w:t>
      </w:r>
    </w:p>
    <w:p>
      <w:r>
        <w:t xml:space="preserve">　　　　电钻(含冲击电钻)、电动螺丝刀和冲击扳手、电动砂轮机、砂光机、圆锯、电锤(含电镐)、不易燃液体电喷枪、电剪刀(含双刃电剪刀、电冲剪)、攻丝机、往复锯(含曲线锯、刀锯)、插入式混凝土振动器、电链锯、电刨、电动修枝剪和电动草剪、电木铣和修边机、电动石材切割机(含大理石切割机)。</w:t>
      </w:r>
    </w:p>
    <w:p>
      <w:r>
        <w:t xml:space="preserve">　　六、电焊机(共15种)</w:t>
      </w:r>
    </w:p>
    <w:p>
      <w:r>
        <w:t xml:space="preserve">　　　　小型交流弧焊机、交流弧焊机、直流弧焊机、TIG弧焊机、MIG／MAG弧焊机、埋弧焊机、等离子弧切割机、等离子弧焊机、弧焊变压器防触电装置、焊接电缆耦合装置、电阻焊机、焊机送丝装置、TIG焊焊炬、MIG／MAG焊焊枪、电焊钳。</w:t>
      </w:r>
    </w:p>
    <w:p>
      <w:r>
        <w:t xml:space="preserve">　　七、家用和类似用途设备(共18种)</w:t>
      </w:r>
    </w:p>
    <w:p>
      <w:r>
        <w:t xml:space="preserve">　　　　1、家用电冰箱和食品冷冻箱：有效容积在500立升以下，家用或类似用途的有或无冷冻食品储藏室的电冰箱、冷冻食品储藏箱和食品冷冻箱及它们的组合。</w:t>
      </w:r>
    </w:p>
    <w:p>
      <w:r>
        <w:t xml:space="preserve">　　　　2、电风扇：单相交流和直流家用和类似用途的电风扇。</w:t>
      </w:r>
    </w:p>
    <w:p>
      <w:r>
        <w:t xml:space="preserve">　　　　3、空调器：制冷量不超过21000大卡／小时的家用及类似用途的空调器。</w:t>
      </w:r>
    </w:p>
    <w:p>
      <w:r>
        <w:t xml:space="preserve">　　　　4、电动机—压缩机：输入功率在5000W以下的家用和类似用途空调和制冷装置所用密闭式(全封闭型、半封闭型)电动机—压缩机。</w:t>
      </w:r>
    </w:p>
    <w:p>
      <w:r>
        <w:t xml:space="preserve">　　　　5、家用电动洗衣机：带或不带水加热装置、脱水装置或干衣装置的洗涤衣物的电动洗衣机。</w:t>
      </w:r>
    </w:p>
    <w:p>
      <w:r>
        <w:t xml:space="preserve">　　　　6、电热水器：把水加热至沸点以下的固定的贮水式和快热式。</w:t>
      </w:r>
    </w:p>
    <w:p>
      <w:r>
        <w:t xml:space="preserve">　　　　7、室内加热器：家用和类似用途的辐射式加热器、板状加热器、充液式加热器、风扇式加热器、对流式加热器、管状加热器。</w:t>
      </w:r>
    </w:p>
    <w:p>
      <w:r>
        <w:t xml:space="preserve">　　　　8、真空吸尘器：具有吸除干燥灰尘或液体的作用，由串激整流子电动机或直流电动机驱动的真空吸尘器。</w:t>
      </w:r>
    </w:p>
    <w:p>
      <w:r>
        <w:t xml:space="preserve">　　　　9、皮肤和毛发护理器具：用作人或动物皮肤或毛发护理并带有电热元件的电器。</w:t>
      </w:r>
    </w:p>
    <w:p>
      <w:r>
        <w:t xml:space="preserve">　　　　10、电熨斗：家用和类似用途的干式电熨斗和湿式(蒸汽)电熨斗。</w:t>
      </w:r>
    </w:p>
    <w:p>
      <w:r>
        <w:t xml:space="preserve">　　　　11、电磁灶：家用和类似用途的采用电磁能加热的灶具，它可以包含一个或多个电磁加热元件。</w:t>
      </w:r>
    </w:p>
    <w:p>
      <w:r>
        <w:t xml:space="preserve">　　　　12、电烤箱：包括额定容积不超过10升的家用和类似用途的电烤箱、面包烘烤器、华夫烙饼模和类似器具。</w:t>
      </w:r>
    </w:p>
    <w:p>
      <w:r>
        <w:t xml:space="preserve">　　　　13、电动食品加工器具：家用电动食品加工器和类似用途的多功能食品加工器。</w:t>
      </w:r>
    </w:p>
    <w:p>
      <w:r>
        <w:t xml:space="preserve">　　　　14、微波炉：频率在300MHz以上的一个或多个I.S.M.波段的电磁能量来加热食物和饮料的家用器具，它可带有着色功能和蒸汽功能。</w:t>
      </w:r>
    </w:p>
    <w:p>
      <w:r>
        <w:t xml:space="preserve">　　　　15、电灶、灶台、烤炉和类似器具：包括家用电灶、分离式固定烤炉、灶台、台式电灶、电灶的灶头、烤架和烤盘及内装式烤炉、烤架。</w:t>
      </w:r>
    </w:p>
    <w:p>
      <w:r>
        <w:t xml:space="preserve">　　　　16、吸油烟机：安装在家用烹调器具和炉灶的上部，带有风扇、电灯和控制调节器之类用于抽吸排除厨房中油烟的家用电器。</w:t>
      </w:r>
    </w:p>
    <w:p>
      <w:r>
        <w:t xml:space="preserve">　　　　17、液体加热器和冷热饮水机。</w:t>
      </w:r>
    </w:p>
    <w:p>
      <w:r>
        <w:t xml:space="preserve">　　　　18、电饭锅：采用电热元件加热的自动保温式或定时式电饭锅。</w:t>
      </w:r>
    </w:p>
    <w:p>
      <w:r>
        <w:t xml:space="preserve">　　八、音视频设备类(不包括广播级音响设备和汽车音响设备)(共16种)</w:t>
      </w:r>
    </w:p>
    <w:p>
      <w:r>
        <w:t xml:space="preserve">　　　　总输出功率在500W(有效值)以下的单扬声器和多扬声器有源音箱、音频功率放大器、调谐器、各种广播波段的收音机、各类载体形式的音视频录制、播放及处理设备(包括各类光盘磁带等载体形式)、及以上设备的组合，为音视频设备配套的电源适配器、各种成像方式的彩色电视接收机、监视器(不包括汽车用电视接收机)、黑白电视接收机及其他单色的电视接收机、显象(示)管、录像机、卫星电视广播接收机、电子琴、天线放大器、声音和电视信号的电缆分配系统设备与部件。</w:t>
      </w:r>
    </w:p>
    <w:p>
      <w:r>
        <w:t xml:space="preserve">　　九、信息技术设备(共12种)</w:t>
      </w:r>
    </w:p>
    <w:p>
      <w:r>
        <w:t xml:space="preserve">　　　　微型计算机、便携式计算机、与计算机连用的显示设备、与计算机连用的打印设备、多用途打印复印机、扫描仪、计算机内置电源及电源适配器充电器、电脑游戏机、学习机、复印机、服务器、金融及贸易结算电子设备。</w:t>
      </w:r>
    </w:p>
    <w:p>
      <w:r>
        <w:t xml:space="preserve">　　十、照明设备(共2种)(不包括电压低于36V的照明设备)</w:t>
      </w:r>
    </w:p>
    <w:p>
      <w:r>
        <w:t xml:space="preserve">　　　　灯具、镇流器</w:t>
      </w:r>
    </w:p>
    <w:p>
      <w:r>
        <w:t xml:space="preserve">　　十一、电信终端设备(共9种)</w:t>
      </w:r>
    </w:p>
    <w:p>
      <w:r>
        <w:t xml:space="preserve">　　　　调制解调器(音频调制解调器、基带调制解调器、DSL调制解调器，含卡)、传真机(传真机、电话语音传真卡、多功能传真一体机)、固定电话终端(普通电话机主叫号码显示电话机、卡式理电话机、录音电话机、投币电话机、智能卡式电话机、IC卡公用电话机、免提电话机、数字电话机、电话机附加装置)、无绳电话终端(模拟无绳电话机、数字无绳电话机)、集团电话(集团电话、电话会议总机)、移动用户终端(模拟移动电话机、GSM数字蜂窝移动台(手持机和其它终端设备)、CDMA数字蜂窝移动台(手持机和其它终端设备))、ISDN终端(网络终端设备(NTl、NTl+)、终端适配器(卡)TA)、数据终端(存储转发传真／语音卡、POS终端、接口转换器、网络集线器、其它数据终端)、多媒体终端(可视电话、会议电视终端、信息点播终端、其它多媒体终端)。</w:t>
      </w:r>
    </w:p>
    <w:p>
      <w:r>
        <w:t xml:space="preserve">　　十二、机动车辆及安全附件(共4种)</w:t>
      </w:r>
    </w:p>
    <w:p>
      <w:r>
        <w:t xml:space="preserve">　　　　(一)汽车：在公路及城市道路上行驶的M、N、O类车辆(二)摩托车(三)汽车摩托车零部件：汽车安全带、摩托车发动机。</w:t>
      </w:r>
    </w:p>
    <w:p>
      <w:r>
        <w:t xml:space="preserve">　　十三、机动车辆轮胎(共3种)</w:t>
      </w:r>
    </w:p>
    <w:p>
      <w:r>
        <w:t xml:space="preserve">　　　　(一)汽车轮胎：轿车轮胎(轿车子午线轮胎、轿车斜交轮胎)、载重汽车轮胎(微型载重汽车轮胎、轻型载重汽车轮胎、中型／重型载重汽车轮胎)(二)摩托车轮胎：摩托车轮胎(代号表示系列、公制系列、轻便型系列、小轮径系列)。</w:t>
      </w:r>
    </w:p>
    <w:p>
      <w:r>
        <w:t xml:space="preserve">　　十四、安全玻璃(共3种)</w:t>
      </w:r>
    </w:p>
    <w:p>
      <w:r>
        <w:t xml:space="preserve">　　　　汽车安全玻璃(A类夹层玻璃、B类夹层玻璃、区域钢化玻璃、钢化玻璃)、建筑安全玻璃(夹层玻璃、钢化玻璃)、铁道车辆用安全玻璃(夹层玻璃、钢化玻璃、安全中空玻璃)。</w:t>
      </w:r>
    </w:p>
    <w:p>
      <w:r>
        <w:t xml:space="preserve">　　十五、农机产品(共1种)</w:t>
      </w:r>
    </w:p>
    <w:p>
      <w:r>
        <w:t xml:space="preserve">　　　　植物保护机械(背负式喷雾机(器)、背负式喷粉机(器)、背负式喷雾喷粉机)。</w:t>
      </w:r>
    </w:p>
    <w:p>
      <w:r>
        <w:t xml:space="preserve">　　十六、乳胶制品(共1种)</w:t>
      </w:r>
    </w:p>
    <w:p>
      <w:r>
        <w:t xml:space="preserve">　　　　橡胶避孕套。</w:t>
      </w:r>
    </w:p>
    <w:p>
      <w:r>
        <w:t xml:space="preserve">　　十七、医疗器械产品(共7种)</w:t>
      </w:r>
    </w:p>
    <w:p>
      <w:r>
        <w:t xml:space="preserve">　　　　医用X射线诊断设备、血液透析装置、空心纤维透析器、血液净化装置的体外循环管道、心电图机、植入式心脏起搏器、人工心肺机。</w:t>
      </w:r>
    </w:p>
    <w:p>
      <w:r>
        <w:t xml:space="preserve">　　十八、消防产品(共3种)</w:t>
      </w:r>
    </w:p>
    <w:p>
      <w:r>
        <w:t xml:space="preserve">　　　　火灾报警设备(点型感烟火灾报警探测器、点型感温火灾报警探测器、火灾报警控制器、消防联动控制设备、手动火灾报警按钮)、消防水带、喷水灭火设备(洒水喷头、湿式报警阀、水流指示器、消防用压力开关)。</w:t>
      </w:r>
    </w:p>
    <w:p>
      <w:r>
        <w:t xml:space="preserve">　　十九、安全技术防范产品(共1种)</w:t>
      </w:r>
    </w:p>
    <w:p>
      <w:r>
        <w:t xml:space="preserve">　　　　入侵探测器(室内用微波多普勒探测器、主动红外入侵探测器、室内用被动红外探测器、微波与被动红外复合入侵探测器)</w:t>
      </w:r>
    </w:p>
    <w:p>
      <w:pPr>
        <w:pStyle w:val="Heading3"/>
      </w:pPr>
      <w:bookmarkStart w:id="53" w:name="文化部提醒已成立的互联网文化单位要补办手续"/>
      <w:bookmarkEnd w:id="53"/>
      <w:r>
        <w:t xml:space="preserve">文化部提醒：已成立的互联网文化单位要补办手续</w:t>
      </w:r>
    </w:p>
    <w:p>
      <w:r>
        <w:t xml:space="preserve">　　“9月1日前，已经成立的互联网文化单位也要按照规定，到文化部门补办审核手续，否则将受到严厉查处。”在《互联网文化管理暂行规定》施行将近1个月之际，文化部有关负责人发出这样的提醒。</w:t>
      </w:r>
    </w:p>
    <w:p>
      <w:r>
        <w:t xml:space="preserve">　　“7月1日施行的《互联网文化管理暂行规定》第26条规定：本规定施行前按照国家有关规定已经从事互联网文化活动的单位，应当自本规定施行之日起60日内依据本规定第八条、第九条、第十条的规定补办审核手续。</w:t>
      </w:r>
    </w:p>
    <w:p>
      <w:r>
        <w:t xml:space="preserve">　　“这位负责人表示，自9月1日起，各级文化行政部门将开展大规模的执法检查行动。对逾期未按规定补办手续的，各级文化行政部门将根据国务院《无照经营查处取缔办法》的有关规定，视作无照经营行为予以查处，并按《互联网上网服务营业场所计算机经营管理系统技术规范》的有关要求，纳入“黑名单制度”管理，同时向社会公告。这位负责人强调，被列入黑名单的网络游戏等互联网文化产品在网吧里将无法使用和消费，受查处的互联网文化单位也将自行承担全部法律责任和后果。</w:t>
      </w:r>
    </w:p>
    <w:p>
      <w:pPr>
        <w:pStyle w:val="Heading3"/>
      </w:pPr>
      <w:bookmarkStart w:id="54" w:name="新闻出版总署将治理两类报刊实施细则已出台"/>
      <w:bookmarkEnd w:id="54"/>
      <w:r>
        <w:t xml:space="preserve">新闻出版总署将治理两类报刊，实施细则已出台</w:t>
      </w:r>
    </w:p>
    <w:p>
      <w:r>
        <w:t xml:space="preserve">　　据悉，国家新闻出版总署昨天出台《治理党政部门报刊散滥和利用职权发行实施细则》。其中规定，报刊治理的主要范围是：各级党的机关和政府组成部门直属机构、办事机构等主管主办的报刊，省级和省级以下行业组织主管主办的报刊，以及利用职权摊派发行报刊的各种行为。</w:t>
      </w:r>
    </w:p>
    <w:p>
      <w:pPr>
        <w:pStyle w:val="Heading3"/>
      </w:pPr>
      <w:bookmarkStart w:id="55" w:name="中国将对肉制品等十大类食品实施市场准入制度"/>
      <w:bookmarkEnd w:id="55"/>
      <w:r>
        <w:t xml:space="preserve">中国将对肉制品等十大类食品实施市场准入制度</w:t>
      </w:r>
    </w:p>
    <w:p>
      <w:r>
        <w:t xml:space="preserve">　　据悉，从今年第三季度开始，中国将对肉制品、乳制品、饮料、调味品、冷冻饮品、方便面、饼干、罐头、速冻面米食品、膨化食品等十大类食品开始实施市场准入制度。届时，中国实施市场准入的食品将达十五大类，占所有二十八大类食品的一半以上。</w:t>
      </w:r>
    </w:p>
    <w:p>
      <w:r>
        <w:t xml:space="preserve">　　据了解，从二00二年五月始，国家质检总局针对食品质量安全问题的现状，借鉴国外成功经验、结合中国国情的原则，首先对米、面、油、酱油、醋等五类食品实施了食品质量安全市场准入制度。截至目前，全国具备保证产品质量必备条件的五千零二十家米、面、油、酱油、醋生产企业，首批得到了食品生产许可证。印有QS(质量安全)标志的米、面、油、酱油、醋等五类食品已经在全国投放市场。</w:t>
      </w:r>
    </w:p>
    <w:p>
      <w:r>
        <w:t xml:space="preserve">　　国家质检总局有关人士介绍说，到今年十二月三十一日止，米、面、油、酱油、醋五类食品的市场准入工作将全面完成。二00四年一月一日以后，国家质检总局将对全国范围内不具备保证产品质量必备条件的五类食品生产企业查处。</w:t>
      </w:r>
    </w:p>
    <w:p>
      <w:pPr>
        <w:pStyle w:val="Heading3"/>
      </w:pPr>
      <w:bookmarkStart w:id="56" w:name="上海市机构改革全面启动"/>
      <w:bookmarkEnd w:id="56"/>
      <w:r>
        <w:t xml:space="preserve">上海市机构改革全面启动</w:t>
      </w:r>
    </w:p>
    <w:p>
      <w:r>
        <w:t xml:space="preserve">　　中共中央办公厅、国务院办公厅最近正式批复《上海市机构改革方案》，这是党中央、国务院批准的第一个地方机构改革方案。8月1日上午，上海市委、市政府在上海展览中心召开上海市机构改革工作会议，对上海市机构改革工作进行全面动员部署。该方案即日起组织实施。</w:t>
      </w:r>
    </w:p>
    <w:p>
      <w:r>
        <w:t xml:space="preserve">　　上海市机构改革的主要内容是：</w:t>
      </w:r>
    </w:p>
    <w:p>
      <w:r>
        <w:t xml:space="preserve">　　组建国有资产监督管理委员会(简称"国资委")，为市政府直属的特设机构。市政府授权国资委代表国家履行出资人职责，实行管资产与管人、管事相结合。</w:t>
      </w:r>
    </w:p>
    <w:p>
      <w:r>
        <w:t xml:space="preserve">　　将发展计划委员会改组为发展和改革委员会。将市政府经济体制改革办公室职能划入发展和改革委员会，撤销市体改办。将市经委、市商委有关经济调控职能和涉及项目审批等职能，原则上划入发展和改革委员会。</w:t>
      </w:r>
    </w:p>
    <w:p>
      <w:r>
        <w:t xml:space="preserve">　　在市经委、市商委的基础上，组建新的经济委员会，承担上海市工业、商业日常运行的行政管理职能，撤销市经委、市商委。考虑到上海城市的功能、特点以及进一步对外开放和发展外向型经济的要求，保留对外经济贸易委员会(外国投资工作委员会)。</w:t>
      </w:r>
    </w:p>
    <w:p>
      <w:r>
        <w:t xml:space="preserve">　　在药品监督管理局的基础上，组建食品药品监督管理局，继续行使药品监管职能，并负责食品、保健品、化妆品安全管理的综合监督和组织协调，依法组织查处重大事故。</w:t>
      </w:r>
    </w:p>
    <w:p>
      <w:r>
        <w:t xml:space="preserve">　　将安全生产监察局更名为安全生产监督管理局，并改为政府直属机构，负责安全生产的综合监督管理。</w:t>
      </w:r>
    </w:p>
    <w:p>
      <w:r>
        <w:t xml:space="preserve">　　将信息化办公室更名为信息化委员会，以利于加强国民经济和社会信息化工作。</w:t>
      </w:r>
    </w:p>
    <w:p>
      <w:r>
        <w:t xml:space="preserve">　　在市政府协作办、市政府接待办的基础上，组建市政府合作交流办公室，增强协作和接待工作的合力。同时，考虑到工作的连续性，暂时保留市政府协作办公室、市政府接待办公室的牌子。</w:t>
      </w:r>
    </w:p>
    <w:p>
      <w:r>
        <w:t xml:space="preserve">　　经上述调整，上海市政府设置工作部门45个。</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57">
        <w:r>
          <w:rPr>
            <w:rStyle w:val="Link"/>
          </w:rPr>
          <w:t xml:space="preserve">unsubscribe@charltonslaw.com</w:t>
        </w:r>
      </w:hyperlink>
    </w:p>
    <w:p>
      <w:r>
        <w:rPr>
          <w:b/>
        </w:rPr>
        <w:t xml:space="preserve">易周律师行 - 法讯 - 中国 - 第17期 - 2003年08月04日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2c8e029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cn/china-news-alerts-cn-issue-17/" TargetMode="External" /><Relationship Type="http://schemas.openxmlformats.org/officeDocument/2006/relationships/hyperlink" Id="rId57"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cn/china-news-alerts-cn-issue-17/" TargetMode="External" /><Relationship Type="http://schemas.openxmlformats.org/officeDocument/2006/relationships/hyperlink" Id="rId57"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第17期 - 2003年08月04日</dc:title>
  <dc:creator/>
</cp:coreProperties>
</file>