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第4期</w:t>
      </w:r>
      <w:r>
        <w:t xml:space="preserve"> </w:t>
      </w:r>
      <w:r>
        <w:t xml:space="preserve">-</w:t>
      </w:r>
      <w:r>
        <w:t xml:space="preserve"> </w:t>
      </w:r>
      <w:r>
        <w:t xml:space="preserve">2003年05月05日</w:t>
      </w:r>
    </w:p>
    <w:p>
      <w:hyperlink r:id="rId21">
        <w:r>
          <w:rPr>
            <w:rStyle w:val="Link"/>
          </w:rPr>
          <w:t xml:space="preserve">网络版</w:t>
        </w:r>
      </w:hyperlink>
    </w:p>
    <w:p>
      <w:pPr>
        <w:pStyle w:val="Heading1"/>
      </w:pPr>
      <w:bookmarkStart w:id="22" w:name="法讯中国第4期"/>
      <w:bookmarkEnd w:id="22"/>
      <w:r>
        <w:t xml:space="preserve">法讯中国第4期</w:t>
      </w:r>
    </w:p>
    <w:p>
      <w:pPr>
        <w:pStyle w:val="Heading2"/>
      </w:pPr>
      <w:bookmarkStart w:id="23" w:name="资本市场-capital-markets"/>
      <w:bookmarkEnd w:id="23"/>
      <w:r>
        <w:t xml:space="preserve">资本市场 CAPITAL MARKETS</w:t>
      </w:r>
    </w:p>
    <w:p>
      <w:pPr>
        <w:pStyle w:val="Heading3"/>
      </w:pPr>
      <w:bookmarkStart w:id="24" w:name="人民币银行结算账户管理办法出台"/>
      <w:bookmarkEnd w:id="24"/>
      <w:r>
        <w:t xml:space="preserve">人民币银行结算账户管理办法出台</w:t>
      </w:r>
    </w:p>
    <w:p>
      <w:r>
        <w:t xml:space="preserve">　　央行4月25日颁布《人民币银行结算账户管理办法》。对单位和个人银行结算账户的种类、开立方法、使用方式、变更撤销程序等作出明确规定，《办法》自2003年9月1日起施行。</w:t>
      </w:r>
    </w:p>
    <w:p>
      <w:r>
        <w:t xml:space="preserve">　　单位银行结算账户的存款人只能在银行开立一个基本存款账户。单位银行结算账户按用途分为基本存款账户、一般存款账户、专用存款账户、临时存款账户。开立基本存款账户、临时存款账户和预算单位开立专用存款账户实行核准制度。</w:t>
      </w:r>
    </w:p>
    <w:p>
      <w:r>
        <w:t xml:space="preserve">　　自然人可根据需要申请开立个人银行结算账户，也可以在已开立的储蓄账户中选择并向开户银行申请确认为个人银行结算账户。</w:t>
      </w:r>
    </w:p>
    <w:p>
      <w:pPr>
        <w:pStyle w:val="Heading2"/>
      </w:pPr>
      <w:bookmarkStart w:id="25" w:name="风险资本-venture-capital"/>
      <w:bookmarkEnd w:id="25"/>
      <w:r>
        <w:t xml:space="preserve">风险资本 VENTURE CAPITAL</w:t>
      </w:r>
    </w:p>
    <w:p>
      <w:pPr>
        <w:pStyle w:val="Heading3"/>
      </w:pPr>
      <w:bookmarkStart w:id="26" w:name="中关村成立5亿元人民币创投基金政府将出资40"/>
      <w:bookmarkEnd w:id="26"/>
      <w:r>
        <w:t xml:space="preserve">中关村成立5亿元人民币创投基金，政府将出资40%</w:t>
      </w:r>
    </w:p>
    <w:p>
      <w:r>
        <w:t xml:space="preserve">　　为吸引境外资本、学习国外先进管理经验和引进优秀创业投资专业人才，北京中关村科技园区管委会正酝酿成立中关村科技园区创业投资基金，规模约为5亿元人民币，其中将由政府出资40%。</w:t>
      </w:r>
    </w:p>
    <w:p>
      <w:r>
        <w:t xml:space="preserve">　　在中关村科技园区现有的上万家科技企业中，有融资需求的企业占60%以上，每年的需求金额超过150亿元人民币。</w:t>
      </w:r>
    </w:p>
    <w:p>
      <w:r>
        <w:t xml:space="preserve">　　中关村管委会表示，此资基金募集遵循共担风险、让利于人、甘当配角、合同管理、及时退出的原则，并希望和境外知名创业投资机构合作，这将是中关村在创业投资上加大对外合作与交流的突破之举。</w:t>
      </w:r>
    </w:p>
    <w:p>
      <w:r>
        <w:t xml:space="preserve">　　为进一步帮助园区中小企业开拓间接融资渠道，中关村管委会还将联合北京市国有资产经营公司、中关村科技担保公司、信托投资公司，发行中关村企业债券，目前正在策划实际操作方案。</w:t>
      </w:r>
    </w:p>
    <w:p>
      <w:pPr>
        <w:pStyle w:val="Heading2"/>
      </w:pPr>
      <w:bookmarkStart w:id="27" w:name="外商投资-foreign-investment"/>
      <w:bookmarkEnd w:id="27"/>
      <w:r>
        <w:t xml:space="preserve">外商投资 FOREIGN INVESTMENT</w:t>
      </w:r>
    </w:p>
    <w:p>
      <w:pPr>
        <w:pStyle w:val="Heading3"/>
      </w:pPr>
      <w:bookmarkStart w:id="28" w:name="天津首批外资并购项目在中国产权交易市场挂牌"/>
      <w:bookmarkEnd w:id="28"/>
      <w:r>
        <w:t xml:space="preserve">天津首批外资并购项目在中国产权交易市场挂牌</w:t>
      </w:r>
    </w:p>
    <w:p>
      <w:r>
        <w:t xml:space="preserve">　　天津市首批二十八个外资并购项目二十八日在中国产权交易市场网上挂牌。</w:t>
      </w:r>
    </w:p>
    <w:p>
      <w:r>
        <w:t xml:space="preserve">　　这批并购项目以国有企业为主，涉及城市基础设施、旅游开发、轻工食品、纺织服装、机械、医药、电子仪表、建材、化工九个行业。</w:t>
      </w:r>
    </w:p>
    <w:p>
      <w:r>
        <w:t xml:space="preserve">　　利用外资并购企业，是天津市今年招商引资的一项重要举措。此举旨在适应当今信息化时代产品生命周期缩短、更新速度加快的特点，满足投资者节省创建企业时间、迅速进入市场的需要，进而有效地扩大利用外资；同时为天津市企业资产重组，提升技术水平，扩大销售市场，建立健全现代化企业制度提供新机遇。</w:t>
      </w:r>
    </w:p>
    <w:p>
      <w:r>
        <w:t xml:space="preserve">　　此前，天津市已通过各种渠道向海内外传达了欢迎外商参与并购的信息，并购项目引起境内外投资公司和投资中介机构的广泛关注。美国、澳大利亚、香港、日本、台湾的一些公司已经开始来津实地考察。</w:t>
      </w:r>
    </w:p>
    <w:p>
      <w:pPr>
        <w:pStyle w:val="Heading2"/>
      </w:pPr>
      <w:bookmarkStart w:id="29" w:name="基金-funds"/>
      <w:bookmarkEnd w:id="29"/>
      <w:r>
        <w:t xml:space="preserve">基金 FUNDS</w:t>
      </w:r>
    </w:p>
    <w:p>
      <w:pPr>
        <w:pStyle w:val="Heading3"/>
      </w:pPr>
      <w:bookmarkStart w:id="30" w:name="权威机构课题报告指出目前适宜推出etf"/>
      <w:bookmarkEnd w:id="30"/>
      <w:r>
        <w:t xml:space="preserve">权威机构课题报告指出：目前适宜推出ETF</w:t>
      </w:r>
    </w:p>
    <w:p>
      <w:r>
        <w:t xml:space="preserve">　　中国证券市场权威机构对交易所交易基金（ETF）经过一年的潜心研究后，推出《与时俱进，开发交易所交易基金》的课题报告。</w:t>
      </w:r>
    </w:p>
    <w:p>
      <w:r>
        <w:t xml:space="preserve">　　该报告指出，在中国现有市场环境下，推出ETF这种低风险的现货产品，在技术上是可行的，而且可以借助中国证券市场先进的技术系统特点，来弥补现有交易制度上的一些限制（比如禁止卖空），实现和国际同类产品相同的功能要求，特别是即时套利的要求。ETF不仅可以为证券投资行业增加新的基金品种，而且将会大幅提高市场流动性；不仅可以为机构投资者提供崭新的盈利模式，而且能降低中小投资者的个股投资风险。鉴于国际成功经验以及中国市场的实际情况，这份报告认为，ETF是目前最适宜推出的现货新产品，具有广阔的市场前景。</w:t>
      </w:r>
    </w:p>
    <w:p>
      <w:r>
        <w:t xml:space="preserve">　　ETF是近期市场关注的热点之一，引发了相当热烈的讨论。有关专家认为，这些讨论大多局限于侧重介绍西方发达市场ETF的运作模式，并没有与中国证券市场的现实特点结合起来，对中国交易和登记结算系统及其与西方市场的差别也未能进行深入研究，因而容易得出ETF在中国现阶段不可行的结论。该报告在深入研究的基础上，澄清了一些相关的误解，有助于真正理解ETF的运作理念，更重要的是理解ETF对中国证券市场现阶段的意义，以及中国市场应如何引入ETF等问题。</w:t>
      </w:r>
    </w:p>
    <w:p>
      <w:pPr>
        <w:pStyle w:val="Heading2"/>
      </w:pPr>
      <w:bookmarkStart w:id="31" w:name="保险-insurance"/>
      <w:bookmarkEnd w:id="31"/>
      <w:r>
        <w:t xml:space="preserve">保险 INSURANCE</w:t>
      </w:r>
    </w:p>
    <w:p>
      <w:pPr>
        <w:pStyle w:val="Heading3"/>
      </w:pPr>
      <w:bookmarkStart w:id="32" w:name="保监会转变寿险产品监管方式部分改为报告制"/>
      <w:bookmarkEnd w:id="32"/>
      <w:r>
        <w:t xml:space="preserve">保监会转变寿险产品监管方式，部分改为报告制</w:t>
      </w:r>
    </w:p>
    <w:p>
      <w:r>
        <w:t xml:space="preserve">　　据悉，继保监会取消第二批28项行政审批项目之后，4月初，保监会向各家保险公司下发了《关于调整人身保险产品监管方式的通知》(以下简称《通知》)，《通知》对取消部分产品审批备案制度之后的监管工作作了进一步说明，将人身保险公司分红保险业务年度报告的审批制和分支机构条款费率的备案审批制改为报告制。</w:t>
      </w:r>
    </w:p>
    <w:p>
      <w:r>
        <w:t xml:space="preserve">　　上述两项内容都在保监会取消的第二批行政审批项目中。据了解，为了继续做好分红保险和条款费率的监管，《通知》将其具体规定为：保险公司应向保监会上报分红保险业务年度报告。保监会不对报告给予审批和答复，但将对违反规定进行分红的公司及相关责任人进行查处；保险公司人身保险产品经保监会备案和审批后即可进行销售，保监办不再对分支机构开办险种进行事前备案和验收，保险公司分支机构应将有关的产品材料向当地保监办报告，保监办将对擅自变更保险条款等违规行为进行查处等。</w:t>
      </w:r>
    </w:p>
    <w:p>
      <w:r>
        <w:t xml:space="preserve">　　此前，保监会有关人士在接受表示，在一些行政审批项目取消之后，相关跟进的措施一定会出台，以避免“监管真空”。 保险公司有关人士认为，保监会此举是对保险公司行为监管方式的调整，他举例说，“保险公司的产品开发都由总公司负责，产品通过保监会的审批或者报备后，才可以下发分公司，但是分公司在销售之前需要再向当地保监办报备，这种报备不是简单的报告，同样需要保监办出具批示文件，这样一来一往就会耽误一些不必要的时间，影响了保险公司产品的销售。”</w:t>
      </w:r>
    </w:p>
    <w:p>
      <w:r>
        <w:t xml:space="preserve">　　“允许保险公司的产品经过保监会批准之后就可以销售显然省去了再向保监办报备的程序。而从监管部门的角度上看，将分支机构的产品材料向保监办由报备转向报告，将监管方式的事前干预转为事后检查，也无疑有利于提高监管部门的工作效率。”该人士认为。</w:t>
      </w:r>
    </w:p>
    <w:p>
      <w:r>
        <w:t xml:space="preserve">　　“保险公司的分红保险年度报告是对其经营情况的统计，是否需要审批应该说本来就可以商榷，尤其在《分红保险管理暂行办法》、《投资连结保险管理暂行办法》出台之后，审批分红保险年度报告就更不必要。保监会可以对保险公司的经营状况进行跟踪，如果公司违规，监管部门同样可以根据《保险法》以及上述这两项办法对公司查处。”另一家保险公司有关人士表示。</w:t>
      </w:r>
    </w:p>
    <w:p>
      <w:r>
        <w:t xml:space="preserve">　　据保险公司有关人士透露，除了对上述两项内容进行具体说明之外，保监会在《通知》中还着重强调加大对寿险新型产品的误导销售等违规行为的打击力度，要求各保监办加强对保险公司分支机构开办险种的检查。</w:t>
      </w:r>
    </w:p>
    <w:p>
      <w:r>
        <w:t xml:space="preserve">　　据悉，作为保险公司产品管理的“总纲”，保监会将出台《保险产品条款费率管理规定》，目前此项规定正在起草中。</w:t>
      </w:r>
    </w:p>
    <w:p>
      <w:pPr>
        <w:pStyle w:val="Heading3"/>
      </w:pPr>
      <w:bookmarkStart w:id="33" w:name="工伤保险条例将于2004年1月1日起施行"/>
      <w:bookmarkEnd w:id="33"/>
      <w:r>
        <w:t xml:space="preserve">《工伤保险条例》将于2004年1月1日起施行</w:t>
      </w:r>
    </w:p>
    <w:p>
      <w:r>
        <w:t xml:space="preserve">　　国务院总理温家宝日前签署第375号国务院令，公布《工伤保险条例》，新华社5月4日受权播发这个条例。</w:t>
      </w:r>
    </w:p>
    <w:p>
      <w:r>
        <w:t xml:space="preserve">　　经国务院第５次常务会议讨论通过的《工伤保险条例》，分总则、工伤保险基金、工伤认定、劳动能力鉴定、工伤保险待遇、监督管理、法律责任和附则，共8章64条。 出台这个条例的目的，是为了保障因工作遭受事故伤害或者患职业病的职工获得医疗救治和经济补偿，促进工伤预防和职业康复，分散用人单位的工伤风险。</w:t>
      </w:r>
    </w:p>
    <w:p>
      <w:r>
        <w:t xml:space="preserve">　　条例规定，中华人民共和国境内的各类企业、有雇工的个体工商户，应当依照本条例规定参加工伤保险，为本单位全部职工或者雇工缴纳工伤保险费。中华人民共和国境内的各类企业的职工和个体工商户的雇工，均有依照本条例的规定享受工伤保险待遇的权利。有雇工的个体工商户参加工伤保险的具体步骤和实施办法，由省、自治区、直辖市人民政府规定。</w:t>
      </w:r>
    </w:p>
    <w:p>
      <w:r>
        <w:t xml:space="preserve">　　条例规定，国务院劳动保障行政部门负责全国的工伤保险工作。县级以上地方各级人民政府劳动保障行政部门负责本行政区域内的工伤保险工作。劳动保障行政部门按照国务院有关规定设立的社会保险经办机构具体承办工伤保险事务。</w:t>
      </w:r>
    </w:p>
    <w:p>
      <w:r>
        <w:t xml:space="preserve">　　条例规定，劳动保障行政部门等部门制定工伤保险的政策、标准，应当征求工会组织、用人单位代表的意见。</w:t>
      </w:r>
    </w:p>
    <w:p>
      <w:r>
        <w:t xml:space="preserve">　　这个条例所称的“职工”，是指与用人单位存在劳动关系(包括事实劳动关系)的各种用工形式、各种用工期限的劳动者。条例规定，国家机关和依照或者参照国家公务员制度进行人事管理的事业单位、社会团体的工作人员因工作遭受事故伤害或者患职业病的，由所在单位支付费用。具体办法由国务院劳动保障行政部门会同国务院人事行政部门、财政部门规定。其他事业单位、社会团体以及各类民办非企业单位的工伤保险等办法，由国务院劳动保障行政部门会同国务院人事行政部门、民政部门、财政部门等部门参照本条例另行规定，报国务院批准后施行。</w:t>
      </w:r>
    </w:p>
    <w:p>
      <w:r>
        <w:t xml:space="preserve">　　这个条例将自2004年1月1日起施行。条例施行前已受到事故伤害或者患职业病的职工尚未完成工伤认定的，按照这个条例的规定执行。</w:t>
      </w:r>
    </w:p>
    <w:p>
      <w:pPr>
        <w:pStyle w:val="Heading2"/>
      </w:pPr>
      <w:bookmarkStart w:id="34" w:name="税务taxation"/>
      <w:bookmarkEnd w:id="34"/>
      <w:r>
        <w:t xml:space="preserve">税务TAXATION</w:t>
      </w:r>
    </w:p>
    <w:p>
      <w:pPr>
        <w:pStyle w:val="Heading3"/>
      </w:pPr>
      <w:bookmarkStart w:id="35" w:name="财政部国税总局联合通知非典防治捐赠可享受所得税优惠政策"/>
      <w:bookmarkEnd w:id="35"/>
      <w:r>
        <w:t xml:space="preserve">财政部、国税总局联合通知：“非典”防治捐赠可享受所得税优惠政策</w:t>
      </w:r>
    </w:p>
    <w:p>
      <w:r>
        <w:t xml:space="preserve">　　财政部、国家税务总局近日发出通知，对社会各界向防治非典型肺炎事业捐赠，给予所得税优惠政策。</w:t>
      </w:r>
    </w:p>
    <w:p>
      <w:r>
        <w:t xml:space="preserve">　　国家税务总局表示，此举是针对部分省市发生“非典”疫情的情况作出的，旨在发扬救死扶伤的人道主义精神和团结互助的社会主义道德风尚。</w:t>
      </w:r>
    </w:p>
    <w:p>
      <w:r>
        <w:t xml:space="preserve">　　通知规定，企业、个人等社会力量向各级政府民政部门、卫生部门捐赠用于防治非典型肺炎的现金和实物，以及通过中国红十字总会、中华慈善总会向防治“非典”事业的捐赠，允许在缴纳所得税前全额扣除。各级民政部门、卫生部门，以及中国红十字总会、中华慈善总会接受的用于防治“非典”的捐赠，应专项用于防治“非典”，不得挪作他用。</w:t>
      </w:r>
    </w:p>
    <w:p>
      <w:r>
        <w:t xml:space="preserve">　　通知还规定，此项政策自2003年1月1日起施行，疫情解除后，停止执行。</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36">
        <w:r>
          <w:rPr>
            <w:rStyle w:val="Link"/>
          </w:rPr>
          <w:t xml:space="preserve">unsubscribe@charltonslaw.com</w:t>
        </w:r>
      </w:hyperlink>
    </w:p>
    <w:p>
      <w:r>
        <w:rPr>
          <w:b/>
        </w:rPr>
        <w:t xml:space="preserve">易周律师行 - 法讯 - 中国 - 第4期 - 2003年05月05日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5cb6e8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cn/china-news-alerts-cn-issue-4/" TargetMode="External" /><Relationship Type="http://schemas.openxmlformats.org/officeDocument/2006/relationships/hyperlink" Id="rId3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cn/china-news-alerts-cn-issue-4/" TargetMode="External" /><Relationship Type="http://schemas.openxmlformats.org/officeDocument/2006/relationships/hyperlink" Id="rId3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第4期 - 2003年05月05日</dc:title>
  <dc:creator/>
</cp:coreProperties>
</file>