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第321期</w:t>
      </w:r>
      <w:r>
        <w:t xml:space="preserve"> </w:t>
      </w:r>
      <w:r>
        <w:t xml:space="preserve">-</w:t>
      </w:r>
      <w:r>
        <w:t xml:space="preserve"> </w:t>
      </w:r>
      <w:r>
        <w:t xml:space="preserve">2010年01月06日</w:t>
      </w:r>
    </w:p>
    <w:p>
      <w:hyperlink r:id="rId21">
        <w:r>
          <w:rPr>
            <w:rStyle w:val="Link"/>
          </w:rPr>
          <w:t xml:space="preserve">网络版</w:t>
        </w:r>
      </w:hyperlink>
    </w:p>
    <w:p>
      <w:pPr>
        <w:pStyle w:val="Heading1"/>
      </w:pPr>
      <w:bookmarkStart w:id="22" w:name="法讯中国第321期"/>
      <w:bookmarkEnd w:id="22"/>
      <w:r>
        <w:t xml:space="preserve">法讯中国第321期</w:t>
      </w:r>
    </w:p>
    <w:p>
      <w:pPr>
        <w:pStyle w:val="Heading2"/>
      </w:pPr>
      <w:bookmarkStart w:id="23" w:name="资本市场-capital-markets"/>
      <w:bookmarkEnd w:id="23"/>
      <w:r>
        <w:t xml:space="preserve">资本市场 Capital Markets</w:t>
      </w:r>
    </w:p>
    <w:p>
      <w:pPr>
        <w:pStyle w:val="Heading3"/>
      </w:pPr>
      <w:bookmarkStart w:id="24" w:name="周小川重申明年将继续实施适度宽松的货币政策"/>
      <w:bookmarkEnd w:id="24"/>
      <w:r>
        <w:t xml:space="preserve">周小川重申明年将继续实施适度宽松的货币政策</w:t>
      </w:r>
    </w:p>
    <w:p>
      <w:r>
        <w:t xml:space="preserve">中国央行行长周小川周四(12月31日)在例行的新年致辞中重申，2010年将继续实施适度宽松的货币政策。</w:t>
      </w:r>
    </w:p>
    <w:p>
      <w:r>
        <w:t xml:space="preserve">周小川还表示，2010年将加大信贷政策对经济社会薄弱环节、就业、战略性新兴产业、产业转移等方面的支持，扩大内需增长空间，促进国际收支平衡，有效防范和化解金融风险。</w:t>
      </w:r>
    </w:p>
    <w:p>
      <w:r>
        <w:t xml:space="preserve">周小川的言论和本月早些时候召开的"2009中国金融论坛"上的内容一致。</w:t>
      </w:r>
    </w:p>
    <w:p>
      <w:r>
        <w:t xml:space="preserve">今年以来，中国实施了积极的财政政策和适度宽松的货币政策的"双松"宏观经济政策，中央经济工作会议定调2010年"调结构"后，相应金融配套政策已逐渐明晰。然而当局表示，在新形势下，将着力提高政策的针对性和灵活性。至此，货币政策重心由"宽松"转为2010年的"适度宽松"，再到"适度灵活宽松"。</w:t>
      </w:r>
    </w:p>
    <w:p>
      <w:r>
        <w:t xml:space="preserve">12月23日，中国央行、银监会、证监会、保监会联合发布指导意见，受普遍关注的是"2010年信贷投放增长"问题。货币政策重心由"宽松"转为"适度宽松"，再到如今的"适度灵活宽松"，被业内人士认为是2010年货币政策较2009年稍显从紧的信号。</w:t>
      </w:r>
    </w:p>
    <w:p>
      <w:hyperlink r:id="rId25">
        <w:r>
          <w:rPr>
            <w:rStyle w:val="Link"/>
          </w:rPr>
          <w:t xml:space="preserve">来源：外汇网</w:t>
        </w:r>
      </w:hyperlink>
    </w:p>
    <w:p>
      <w:pPr>
        <w:pStyle w:val="Heading2"/>
      </w:pPr>
      <w:bookmarkStart w:id="26" w:name="保险-insurance"/>
      <w:bookmarkEnd w:id="26"/>
      <w:r>
        <w:t xml:space="preserve">保险 Insurance</w:t>
      </w:r>
    </w:p>
    <w:p>
      <w:pPr>
        <w:pStyle w:val="Heading3"/>
      </w:pPr>
      <w:bookmarkStart w:id="27" w:name="保监会批设首家全国性保险专业销售机构"/>
      <w:bookmarkEnd w:id="27"/>
      <w:r>
        <w:t xml:space="preserve">保监会批设首家全国性保险专业销售机构</w:t>
      </w:r>
    </w:p>
    <w:p>
      <w:r>
        <w:t xml:space="preserve">12月30日，大童保险销售服务有限公司获得中国保监会批准设立，成为首家全国性保险专业销售机构。此举突破了内地保险专业销售机构不能跨地区开设分公司的限制，是保险中介在组织形式、管理模式上的一次重大创新。</w:t>
      </w:r>
    </w:p>
    <w:p>
      <w:r>
        <w:t xml:space="preserve">据了解，从1999年我国内地设立第一家保险中介机构，经过10年发展，保险中介在整个国内保险市场上开始扮演越来越重要的角色。截止9月30日，全国共有保险专业中介机构2529家。今年前三季度，全国保险公司通过保险中介渠道实现保费收入7274.66亿元，占全国总保费收入的84.78％。保监会中介监管部相关负责人认为，我国保险专业中介机构整体上已呈现出良好的发展态势。</w:t>
      </w:r>
    </w:p>
    <w:p>
      <w:r>
        <w:t xml:space="preserve">2009年9月25日，保监会根据新《保险法》对外公布了《保险专业代理机构监管规定》，允许符合条件的保险专业销售机构充分发挥其在专业素质、管理能力、服务水平和资本实力等方面的优势，在全国开展业务，聚合各种资源并通过合理的配置、发挥最大效能，从而达到提升保险中介业服务能力和竞争能力的目的。而在此之前，保险专业销售机构只能在注册所在地开展业务，要想扩张业务跨境经营，只能到其他地区再注册一个法人公司或者控股其他法人公司。</w:t>
      </w:r>
    </w:p>
    <w:p>
      <w:r>
        <w:t xml:space="preserve">相对于此前各类保险专业销售机构而言，全国性保险专业销售机构优势明显。全国性牌照有利于总公司将其控股公司整合为分公司，从而实现财务管控平台、信息支持平台和后援服务平台的统一，有利于发挥规模效应，降低营运成本和风险、扩大企业品牌的影响力和认知度。</w:t>
      </w:r>
    </w:p>
    <w:p>
      <w:r>
        <w:t xml:space="preserve">据介绍，全国首家以“保险销售”冠名的大童保险销售服务有限公司注册资本5000万元，前身为2008年9月成立的北京大童保险代理有限公司。“大童保险代理”由北京泛华大童投资管理有限公司全资设立。目前，它的销售网络已遍及11个省、18市、25县，拥有7000多人的一线销售队伍和近500人的管理队伍；在多家机构作业不足半年的情况下，该公司全国寿险期缴业务保费收入已突破8000万元。</w:t>
      </w:r>
    </w:p>
    <w:p>
      <w:r>
        <w:t xml:space="preserve">“大童”董事长兼总裁林克屏表示，“大童人”将好好珍惜全国保险销售的第一块牌照，充分发挥体制和品牌优势，在未来3年逐步构建起覆盖全国26个省市的销售网络，建立起一支诚信、专业、高效的销售队伍，更好地服务保险人和被保险人，为客户提供更加全面的保险保障。</w:t>
      </w:r>
    </w:p>
    <w:p>
      <w:hyperlink r:id="rId28">
        <w:r>
          <w:rPr>
            <w:rStyle w:val="Link"/>
          </w:rPr>
          <w:t xml:space="preserve">来源：和讯网</w:t>
        </w:r>
      </w:hyperlink>
    </w:p>
    <w:p>
      <w:pPr>
        <w:pStyle w:val="Heading2"/>
      </w:pPr>
      <w:bookmarkStart w:id="29" w:name="公司-corporate"/>
      <w:bookmarkEnd w:id="29"/>
      <w:r>
        <w:t xml:space="preserve">公司 Corporate</w:t>
      </w:r>
    </w:p>
    <w:p>
      <w:pPr>
        <w:pStyle w:val="Heading3"/>
      </w:pPr>
      <w:bookmarkStart w:id="30" w:name="中国铁建与铜陵控股拟联合收购加拿大矿业公司"/>
      <w:bookmarkEnd w:id="30"/>
      <w:r>
        <w:t xml:space="preserve">中国铁建与铜陵控股拟联合收购加拿大矿业公司</w:t>
      </w:r>
    </w:p>
    <w:p>
      <w:r>
        <w:t xml:space="preserve">据彭博社报道，中国铁路建设公司和铜陵有色金属集团控股有限公司出价人民币44.11亿元（合6.79亿加元或6.51亿美元）联合收购加拿大初级矿业公司CorrienteResourcesInc.（以下简称“Corriente公司”），以获取后者位于南美洲的铜矿资源。中国铁建宣布，将以每股8.60加元现金收购Corriente公司，收购价较该公司上周收盘价超出14%。</w:t>
      </w:r>
    </w:p>
    <w:p>
      <w:r>
        <w:t xml:space="preserve">中国铁建是中国最大的铁路建设公司，铜陵控股则为中国第二大铜生产商，两者将获得厄瓜多东南部17个矿区的采矿权。此前中国一直在全球范围内积极寻求原材料资源，以维持自身经济的快速增长。</w:t>
      </w:r>
    </w:p>
    <w:p>
      <w:r>
        <w:t xml:space="preserve">中国铁建在声明中称，这次收购“与公司的长期战略相符合”，还表示该公司“将把矿产资源的开发作为其主要业务之一”。据悉，这笔交易仍有待Corriente公司股东及中加两国的监管机构批准。</w:t>
      </w:r>
    </w:p>
    <w:p>
      <w:r>
        <w:t xml:space="preserve">另据报道，中国铁建股份有限公司在公告中称：本次交易已经本公司董事会审议通过，本次交易不构成关联交易，无须提请本公司股东大会批准；本次交易的完成受限于若干有关条款及条件，包括但不限于取得中国政府或其授权的有关部门及加拿大有关监管部门的有效批准，以及Corriente公司股东接受要约；本次交易能否成功存在较大不确定性，请投资者关注风险。</w:t>
      </w:r>
    </w:p>
    <w:p>
      <w:hyperlink r:id="rId31">
        <w:r>
          <w:rPr>
            <w:rStyle w:val="Link"/>
          </w:rPr>
          <w:t xml:space="preserve">来源：文新传媒</w:t>
        </w:r>
      </w:hyperlink>
    </w:p>
    <w:p>
      <w:pPr>
        <w:pStyle w:val="Heading3"/>
      </w:pPr>
      <w:bookmarkStart w:id="32" w:name="中石油收购加拿大两油砂项目-待发改委批准"/>
      <w:bookmarkEnd w:id="32"/>
      <w:r>
        <w:t xml:space="preserve">中石油收购加拿大两油砂项目 待发改委批准</w:t>
      </w:r>
    </w:p>
    <w:p>
      <w:r>
        <w:t xml:space="preserve">加拿大监管部门12月29日批准了中石油集团收购加拿大阿萨巴斯卡油砂公司两个油砂项目60%的开采权益,这两个油砂项目日产油量最终可高达50万桶。最终的交易价为19亿加元,同时还附加了数项投资和就业承诺。中石油集团海外业务部有关人士12月30日在接受《每日经济新闻》采访时表示,该项目还需要国家发改委的批准,最终获批的可能很大。</w:t>
      </w:r>
    </w:p>
    <w:p>
      <w:r>
        <w:t xml:space="preserve">这两个项目位于加拿大阿尔伯达东北部地区。据了解,油砂是一种含有原油的砂状矿藏,其成分中存在沥青,沥青可以通过技术转化为原油,这种原油比一般原油的黏度高,属重油。</w:t>
      </w:r>
    </w:p>
    <w:p>
      <w:r>
        <w:t xml:space="preserve">近期,加拿大加强了对海外国有公司收购本国战略资产的规定,这项交易是按照这些规定审核的。之所以中石油能通过审核,是因为交易本身还附加了数项投资和就业承诺。</w:t>
      </w:r>
    </w:p>
    <w:p>
      <w:r>
        <w:t xml:space="preserve">据悉,中石油同意向上述油砂资源投资2.5亿加元,并在未来3年提高就业率;未来5年内保留在阿尔伯塔省的办事处,并保证办事处的多数高层职位由加拿大人担任;另外,承诺在控股上述油砂项目期间保持上市公司的性质,且在没有去其他指定证交所上市的情况下,不会主动从纽约或中国香港交易所摘牌。</w:t>
      </w:r>
    </w:p>
    <w:p>
      <w:r>
        <w:t xml:space="preserve">油砂项目开采成本高、风险大。石化业内专家认为,中石油具有一定的开采技术,加拿大油砂油产品适合中国市场需求,其合成油可以和大庆油形成互补。从长期来看,国际油价还是呈上涨趋势,存在获利空间。</w:t>
      </w:r>
    </w:p>
    <w:p>
      <w:hyperlink r:id="rId33">
        <w:r>
          <w:rPr>
            <w:rStyle w:val="Link"/>
          </w:rPr>
          <w:t xml:space="preserve">来源：中国金融网</w:t>
        </w:r>
      </w:hyperlink>
    </w:p>
    <w:p>
      <w:pPr>
        <w:pStyle w:val="Heading3"/>
      </w:pPr>
      <w:bookmarkStart w:id="34" w:name="五招吸引外资引导金融机构对外企信贷支持"/>
      <w:bookmarkEnd w:id="34"/>
      <w:r>
        <w:t xml:space="preserve">五招吸引外资：引导金融机构对外企信贷支持</w:t>
      </w:r>
    </w:p>
    <w:p>
      <w:r>
        <w:t xml:space="preserve">在4万亿投资不减的情况下，我国还将在明年进一步加大吸引外资的力度。昨天(12月30日)，国务院常务会研究部署进一步做好利用外资工作，并出台鼓励外商投资的五大措施，要求深化外商投资管理体制改革，全面清理涉及外商投资的审批事项，最大限度缩小审批、核准范围，增加审批透明度。</w:t>
      </w:r>
    </w:p>
    <w:p>
      <w:pPr>
        <w:pStyle w:val="Heading4"/>
      </w:pPr>
      <w:bookmarkStart w:id="35" w:name="五措施吸引外资"/>
      <w:bookmarkEnd w:id="35"/>
      <w:r>
        <w:t xml:space="preserve">五措施吸引外资</w:t>
      </w:r>
    </w:p>
    <w:p>
      <w:r>
        <w:t xml:space="preserve">会议决定，要重点做好优化利用外资结构、引导外资向中西部地区转移和增加投资、促进利用外资方式多样化、深化外商投资管理体制改革、完善外商投资企业外汇管理等五项工作：</w:t>
      </w:r>
    </w:p>
    <w:p>
      <w:r>
        <w:t xml:space="preserve">一、优化利用外资结构方面，将修订《外商投资产业指导目录》，扩大开放领域，鼓励外资投向高端制造业、高新技术产业、现代服务业、新能源和节能环保等产业。国家产业调整和振兴规划中的政策措施同等适用于符合条件的外商投资企业，对用地集约的国家鼓励类外商投资项目优先供应土地。</w:t>
      </w:r>
    </w:p>
    <w:p>
      <w:r>
        <w:t xml:space="preserve">二、引导外资向中西部地区转移和增加投资。将鼓励外商在中西部地区发展符合环保要求的劳动密集型产业，对到中西部地区投资的外商企业加大政策开放和技术资金配套支持力度。</w:t>
      </w:r>
    </w:p>
    <w:p>
      <w:r>
        <w:t xml:space="preserve">三、促进利用外资方式多样化。鼓励外资以并购方式参与国内企业改组改造和兼并重组，加快推进利用外资设立中小企业担保公司试点工作，拓宽外商投资企业境内融资渠道，引导金融机构继续加大对外商投资企业的信贷支持。</w:t>
      </w:r>
    </w:p>
    <w:p>
      <w:r>
        <w:t xml:space="preserve">四、深化外商投资管理体制改革。全面清理涉及外商投资的审批事项，最大限度缩小审批、核准范围，增加审批透明度。</w:t>
      </w:r>
    </w:p>
    <w:p>
      <w:r>
        <w:t xml:space="preserve">五、营造良好投资环境。规范和促进开发区发展，加快边境经济合作区建设。完善外商投资企业外汇管理，简化其外汇资本金结汇手续。</w:t>
      </w:r>
    </w:p>
    <w:p>
      <w:pPr>
        <w:pStyle w:val="Heading4"/>
      </w:pPr>
      <w:bookmarkStart w:id="36" w:name="政策透露出积极信号"/>
      <w:bookmarkEnd w:id="36"/>
      <w:r>
        <w:t xml:space="preserve">政策透露出积极信号</w:t>
      </w:r>
    </w:p>
    <w:p>
      <w:r>
        <w:t xml:space="preserve">据了解，受金融危机影响，今年以来，我国实际利用外商直接投资流量连续数月下降。商务部国际经济贸易合作研究院院长霍建国在接受《每日经济新闻》采访时指出，近来中国的外贸和外资都有大幅回落，FDI连续多个月的同比下降对国内投资拉动的作用也大幅减弱。</w:t>
      </w:r>
    </w:p>
    <w:p>
      <w:r>
        <w:t xml:space="preserve">他认为，国务院常务会议发出了一个积极的信号，加大利用外资既是扩大投资的一个重要组成部分，也是我国扩内需政策进一步实施的一个重要推手。政府鼓励外资企业参与重组与并购国有企业，符合外商投资潮流。目前国际范围内一半以上的外国投资均投入在了兼并重组上，这也符合中国国情。</w:t>
      </w:r>
    </w:p>
    <w:p>
      <w:r>
        <w:t xml:space="preserve">此外，霍建国认为，此时出台鼓励外商投资的五大措施，也是越南、印度等周边国家在吸引外资方面力度加大后，我国政府感受到了压力重重而采取的措施。</w:t>
      </w:r>
    </w:p>
    <w:p>
      <w:r>
        <w:t xml:space="preserve">事实上，从上世纪90年代以来，我国就开始重视吸引外资，但政府仍需进一步增强中国对国际资本的吸引力。商务部研究院外资部主任马宇表示，我国将进一步出台吸引外资细则。目前我国投资市场开放程度仍然不够，许多吸引外资的重要领域没有开放，这使得中国在吸收外资的数量和质量上难以提升。他认为，目前我国缺少新的市场突破点，尚未真正利用市场手段提高外商投资结构。例如，仅简化缩小外商投资审批手续还不足够，应改变审批方式，对涉及到产业政策、国家经济安全、反垄断等方面的申请才需要政府管理审批，从而达到扩大开放的广度和深度的目的。</w:t>
      </w:r>
    </w:p>
    <w:p>
      <w:r>
        <w:t xml:space="preserve">此外，由于在外资管理中存在一些限制，以及政策上仍存在的不稳定、不透明、不规范也会使外国投资者犹豫。他表示，提高外资在中西部地区的资本回报率和投资环境，才能将外资吸引到中西部地区。</w:t>
      </w:r>
    </w:p>
    <w:p>
      <w:hyperlink r:id="rId37">
        <w:r>
          <w:rPr>
            <w:rStyle w:val="Link"/>
          </w:rPr>
          <w:t xml:space="preserve">来源：今视新闻</w:t>
        </w:r>
      </w:hyperlink>
    </w:p>
    <w:p>
      <w:pPr>
        <w:pStyle w:val="Heading2"/>
      </w:pPr>
      <w:bookmarkStart w:id="38" w:name="房地产-real-estate"/>
      <w:bookmarkEnd w:id="38"/>
      <w:r>
        <w:t xml:space="preserve">房地产 Real Estate</w:t>
      </w:r>
    </w:p>
    <w:p>
      <w:pPr>
        <w:pStyle w:val="Heading3"/>
      </w:pPr>
      <w:bookmarkStart w:id="39" w:name="外媒解读温家宝讲话中国房价要降温"/>
      <w:bookmarkEnd w:id="39"/>
      <w:r>
        <w:t xml:space="preserve">外媒解读温家宝讲话：中国房价要降温</w:t>
      </w:r>
    </w:p>
    <w:p>
      <w:r>
        <w:t xml:space="preserve">27日下午，中共中央政治局常委、国务院总理温家宝，就当前经济形势、明年我国经济工作等问题接受了新华社独家专访。</w:t>
      </w:r>
    </w:p>
    <w:p>
      <w:r>
        <w:t xml:space="preserve">法新社和新加坡《海峡时报》均从温家宝谈房价问题中，敏锐地嗅出一个信息：“中国房价将要降温。”</w:t>
      </w:r>
    </w:p>
    <w:p>
      <w:r>
        <w:t xml:space="preserve">27日，国务院总理温家宝称，中国应对金融危机出手较快，经济发展还存在不平衡不协调等问题，明年两会前将与网民交流。</w:t>
      </w:r>
    </w:p>
    <w:p>
      <w:r>
        <w:t xml:space="preserve">专访中，温家宝总理对房价、通胀、汇率等17个问题进行了回答，而本次专访也引起了国外媒体的高度关注。</w:t>
      </w:r>
    </w:p>
    <w:p>
      <w:r>
        <w:t xml:space="preserve">对于房地产上涨过快，温家宝表示，政府将从以下4方面入手。</w:t>
      </w:r>
    </w:p>
    <w:p>
      <w:pPr>
        <w:pStyle w:val="BlockQuote"/>
      </w:pPr>
      <w:r>
        <w:t xml:space="preserve">第一，要加大保障性住房的建设力度，加快棚户区的改造。</w:t>
      </w:r>
    </w:p>
    <w:p>
      <w:pPr>
        <w:pStyle w:val="BlockQuote"/>
      </w:pPr>
      <w:r>
        <w:t xml:space="preserve">第二，要鼓励居民购买自住房和改善性住房。</w:t>
      </w:r>
    </w:p>
    <w:p>
      <w:pPr>
        <w:pStyle w:val="BlockQuote"/>
      </w:pPr>
      <w:r>
        <w:t xml:space="preserve">第三，要运用好税收、差别利率以及土地政策等经济杠杆加以调控，稳定房地产的价格。</w:t>
      </w:r>
    </w:p>
    <w:p>
      <w:pPr>
        <w:pStyle w:val="BlockQuote"/>
      </w:pPr>
      <w:r>
        <w:t xml:space="preserve">第四，要维护房地产市场秩序，打击捂盘惜售、占地不建、哄抬房价等违法违规的行为。</w:t>
      </w:r>
    </w:p>
    <w:p>
      <w:r>
        <w:t xml:space="preserve">法新社和新加坡《海峡时报》均从温家宝谈房价问题中，敏锐地嗅出一个信息：“中国房价将要降温。”</w:t>
      </w:r>
    </w:p>
    <w:p>
      <w:r>
        <w:t xml:space="preserve">美国彭博社评论说，温家宝已经意识到中国房地产市场价格的上涨得“太快了”，因此中国要打击捂盘惜售等违法犯罪行为。</w:t>
      </w:r>
    </w:p>
    <w:p>
      <w:r>
        <w:t xml:space="preserve">《商业周刊》称，中国房价的上涨速度在上个月达到了自2008年7月份以来最快速度。创纪录的借贷和资金的流入助长了这个世界上发展最快的国家的泡沫。而中国央行顾问樊纲也对中国在股市、房地产和商品上的泡沫提出警告。</w:t>
      </w:r>
    </w:p>
    <w:p>
      <w:r>
        <w:t xml:space="preserve">报道同时援引前摩根斯坦利首席亚洲经济师谢国忠的话称，现在中国楼市的问题并不在于如何推行新的政策，而是如何加强执行现有的政策。</w:t>
      </w:r>
    </w:p>
    <w:p>
      <w:r>
        <w:t xml:space="preserve">大家还记得在1998年那场金融危机当中，我们保持了人民币币值的稳定，对国际社会作出了重大贡献。今天我仍然以为，在世界主要货币接连贬值的情况下，人民币保持币值的基本稳定是对国际社会的贡献。那种以各种压力来迫使我们升值，我们绝对不会答应。</w:t>
      </w:r>
    </w:p>
    <w:p>
      <w:r>
        <w:t xml:space="preserve">英国路透社也称，对于具有争议性的中国人民币汇率问题，温家宝代表中国表达了“绝不让步”的决心，称中国政府不会因为外部需要而使人民币升值。</w:t>
      </w:r>
    </w:p>
    <w:p>
      <w:r>
        <w:t xml:space="preserve">而英国《金融时报》称，中国可能在2010年早些时候开始调整政策，因为中国需要抵消通货膨胀的压力；同时，鉴于2010年6月份将召开G20峰会，如果政策调整同这一时间接近，会被国内认为是向外国压力妥协。</w:t>
      </w:r>
    </w:p>
    <w:p>
      <w:r>
        <w:t xml:space="preserve">马来西亚《局内人》报指出，美国、欧盟和国际货币基金组织的头头们近来接连要求人民币升值，但是中国在看到其出口连续几个月保持增长之前，是不会让人民币升值的。</w:t>
      </w:r>
    </w:p>
    <w:p>
      <w:r>
        <w:t xml:space="preserve">《联合早报》分析称，这并非温家宝第一次拒绝外界提出的对人民币加速升值要求，但却是他少有地以坚决姿态展示。而且，他没有重申推进人民币汇率形成机制的“主动性、可控性、渐进性”原则，更进一步显示人民币短期内升值的可能性有限。</w:t>
      </w:r>
    </w:p>
    <w:p>
      <w:r>
        <w:t xml:space="preserve">“我们要预见到通胀有可能出现。特别是在我们这个国家，存在着收入分配不公和差距过大的问题。物价如果不保持在一个合理的区间，对一部分人来讲可能不成为问题，但是对相当数量的中低收入者，尤其是贫困家庭，就会成为很大的负担。”</w:t>
      </w:r>
    </w:p>
    <w:p>
      <w:r>
        <w:t xml:space="preserve">英国路透社特别关注了温总理对通胀预期的表态。报道称，温总理在讲话中“警告”，虽然现在还没有通胀的表现，但是今年空前的货币供应增长有可能引发通胀预期。</w:t>
      </w:r>
    </w:p>
    <w:p>
      <w:r>
        <w:t xml:space="preserve">《华尔街日报》分析称，尽管温家宝并没有具体说明北京将如何消除通胀预期，但也没有关上“根据情况变化”调整政策的大门。</w:t>
      </w:r>
    </w:p>
    <w:p>
      <w:r>
        <w:t xml:space="preserve">《商业周刊》预计，作为抑制过度信贷措施，一些产能过剩的产业将面临信贷紧缩。</w:t>
      </w:r>
    </w:p>
    <w:p>
      <w:hyperlink r:id="rId40">
        <w:r>
          <w:rPr>
            <w:rStyle w:val="Link"/>
          </w:rPr>
          <w:t xml:space="preserve">来源：今日财经</w:t>
        </w:r>
      </w:hyperlink>
    </w:p>
    <w:p>
      <w:pPr>
        <w:pStyle w:val="Heading2"/>
      </w:pPr>
      <w:bookmarkStart w:id="41" w:name="其他-other"/>
      <w:bookmarkEnd w:id="41"/>
      <w:r>
        <w:t xml:space="preserve">其他 Other</w:t>
      </w:r>
    </w:p>
    <w:p>
      <w:pPr>
        <w:pStyle w:val="Heading3"/>
      </w:pPr>
      <w:bookmarkStart w:id="42" w:name="新能源龙头企业受益法律新条款"/>
      <w:bookmarkEnd w:id="42"/>
      <w:r>
        <w:t xml:space="preserve">新能源龙头企业受益法律新条款</w:t>
      </w:r>
    </w:p>
    <w:p>
      <w:r>
        <w:t xml:space="preserve">全国人大常委会日前表决通过了《可再生能源法修正案》，从法律层面对新能源产业进行约束，对于掌握核心技术的龙头企业从长期看将是利好。</w:t>
      </w:r>
    </w:p>
    <w:p>
      <w:r>
        <w:t xml:space="preserve">据证券时报12月30日报道，日前，全国人大常委会表决通过了《可再生能源法修正案》，该法将自2010年4月1日起施行。该修正案对2005年所通过的《可再生能源法》其中的六条进行了修改。从法律层面对短期内处于过剩的新能源产业的开发进行了约束。</w:t>
      </w:r>
    </w:p>
    <w:p>
      <w:r>
        <w:t xml:space="preserve">从上层加强监管，强调全局的合理统筹。原第八条关于各行政区对于可再生能源开发利用规划之审批权，由地方ZF交给国务院能源主管部门和国家电力监管机构备案和组织实施。对于新能源建设开发特别是风电行业，近三年来建设与国家中长期规划的失衡，一个很重要的原因就是地方ZF在以GDP 为纲的方向的刺激下盲目上马项目，对于项目的审核，规划及监管的不利。此次法案第八条的修改，强调了中央全局统筹的职能，有利于整个新能源产业健康有序的发展。而第九条也在此强调了开发利用及实施规划，应当坚持因地制宜、统筹兼顾及有序发展的原则。</w:t>
      </w:r>
    </w:p>
    <w:p>
      <w:r>
        <w:t xml:space="preserve">从“填鸭式”管理转变为“圈养式”。第十四条，将原先的“电网企业全额收购其电网覆盖范围内可再生资源并网项目上网发电量”改为“国家实行可再生能源保障性收购制度”，由国家电监机构和国务院财政部门依照规划制定可再生能源年度收购指标，并公布电网企业应达最低限额指标。由于部分风机达不到并网的要求，如果强行并网必然对电网的安全造成威胁，而且也从另一方面造成许多不达标的项目盲目上马。于是造成很多风电难以并网，仅2008年近40%左右的风机无法并网。《修正案》突出了“保障性”的原则，将原先“填鸭式”的管理改为“圈养式”。之前靠“填鸭”而存活的技术不达标的风电企业将难以生存，而对于掌握核心技术的龙头企业从长期看将是利好。另外，从一定程度上也保障了电网企业的经营效益。</w:t>
      </w:r>
    </w:p>
    <w:p>
      <w:r>
        <w:t xml:space="preserve">智能电网开发首次进入法律范畴。第十四条增加了一款，首次将电网企业智能电网的发展规划纳入了法律范畴。此项有利于推动智能电网的建设，推动整个可再生能源产业的发展。</w:t>
      </w:r>
    </w:p>
    <w:p>
      <w:r>
        <w:t xml:space="preserve">国家设立ZF性质的可再生能源发展基金。原《可再生能源法》第二十四条所列将由专项基金支持的一些列开发、研究活动及电网企业收购可再生能源的补贴，将由即将设立的可再生能源发展基金负责。基金来源包括财政年度所安排的专项基金及可再生能源电价附加等。基金的设立将有利于保障电网企业收购可再生能源电力的积极性，通过专项安排从全国范畴安排调度可再生能源附加费用的管理。此项与之前的第十四条相呼应，在取消了强制性全额收购的条款下，从市场的角度提高电网企业对于可再生能源收购的积极性。</w:t>
      </w:r>
    </w:p>
    <w:p>
      <w:hyperlink r:id="rId43">
        <w:r>
          <w:rPr>
            <w:rStyle w:val="Link"/>
          </w:rPr>
          <w:t xml:space="preserve">来源：环球财讯</w:t>
        </w:r>
      </w:hyperlink>
    </w:p>
    <w:p>
      <w:pPr>
        <w:pStyle w:val="Heading3"/>
      </w:pPr>
      <w:bookmarkStart w:id="44" w:name="侵权责任法等三部法律案获表决通过"/>
      <w:bookmarkEnd w:id="44"/>
      <w:r>
        <w:t xml:space="preserve">侵权责任法等三部法律案获表决通过</w:t>
      </w:r>
    </w:p>
    <w:p>
      <w:r>
        <w:t xml:space="preserve">十一届全国人大常委会第十二次会议二十六日下午在北京闭会,会议表决通过了侵权责任法、海岛保护法和全国人大常委会关于修改可再生能源法的决定。</w:t>
      </w:r>
    </w:p>
    <w:p>
      <w:r>
        <w:t xml:space="preserve">作为中国民法典中的一编,侵权责任法草案曾于二00二年十二月在九届全国人大常委会第三十一次会议上初审。由于内容复杂,十届全国人大常委会对民法草案采取了分编审议的方式。此后,侵权责任法立法进程提速,于去年十二月和今年十月、十二月又进行了三次审议。</w:t>
      </w:r>
    </w:p>
    <w:p>
      <w:r>
        <w:t xml:space="preserve">专家表示,继物权法之后,侵权责任法是民法典中另一部重要的支撑性法律。该法获表决通过,意味着中国向形成民法典又迈进一步。</w:t>
      </w:r>
    </w:p>
    <w:p>
      <w:r>
        <w:t xml:space="preserve">侵权责任法规定,侵害民事权益,应当依照本法承担侵权责任。本法所称民事权益,包括生命权、健康权、姓名权、名誉权、荣誉权、肖像权、隐私权、婚姻自主权、监护权、所有权、用益物权、担保物权、著作权、专利权、商标专用权、发现权、股权、继承权等人身、财产权益。</w:t>
      </w:r>
    </w:p>
    <w:p>
      <w:r>
        <w:t xml:space="preserve">海岛保护法经过三次审议后获得通过。该法规定:国家对海岛实行科学规划、保护优先、合理开发、永续利用的原则。国务院和沿海地方各级人民政府应当将海岛保护和合理开发利用纳入国民经济和社会发展规划,采取有效措施,加强对海岛的保护和管理,防止海岛及其周边海域生态系统遭受破坏。</w:t>
      </w:r>
    </w:p>
    <w:p>
      <w:r>
        <w:t xml:space="preserve">修改后的可再生能源法规定,国务院能源主管部门会同国务院有关部门,根据全国可再生能源开发利用中长期总量目标和可再生能源技术发展状况,编制全国可再生能源开发利用规划,报国务院批准后实施。</w:t>
      </w:r>
    </w:p>
    <w:p>
      <w:hyperlink r:id="rId45">
        <w:r>
          <w:rPr>
            <w:rStyle w:val="Link"/>
          </w:rPr>
          <w:t xml:space="preserve">来源：雅虎资讯</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6">
        <w:r>
          <w:rPr>
            <w:rStyle w:val="Link"/>
          </w:rPr>
          <w:t xml:space="preserve">unsubscribe@charltonslaw.com</w:t>
        </w:r>
      </w:hyperlink>
    </w:p>
    <w:p>
      <w:r>
        <w:rPr>
          <w:b/>
        </w:rPr>
        <w:t xml:space="preserve">易周律师行 - 法讯 - 中国 - 第321期 - 2010年01月06日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a3e54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active.zgjrw.com/News/20091231/Stock/650458353400.shtml" TargetMode="External" /><Relationship Type="http://schemas.openxmlformats.org/officeDocument/2006/relationships/hyperlink" Id="rId31" Target="http://big5.news365.com.cn:82/gate/big5/www.news365.com.cn/xwzx/cjxw/200912/t20091230_2575035.htm" TargetMode="External" /><Relationship Type="http://schemas.openxmlformats.org/officeDocument/2006/relationships/hyperlink" Id="rId25" Target="http://forex.cnfol.com/091231/134,1513,7049668,00.shtml" TargetMode="External" /><Relationship Type="http://schemas.openxmlformats.org/officeDocument/2006/relationships/hyperlink" Id="rId28" Target="http://insurance.baidu.com/2009-12-30/122212277.html" TargetMode="External" /><Relationship Type="http://schemas.openxmlformats.org/officeDocument/2006/relationships/hyperlink" Id="rId45" Target="http://news.cn.yahoo.com/09-12-/1063/2jsuc.html" TargetMode="External" /><Relationship Type="http://schemas.openxmlformats.org/officeDocument/2006/relationships/hyperlink" Id="rId40" Target="http://news.cnnb.com.cn/system/2009/12/30/006375398.shtml" TargetMode="External" /><Relationship Type="http://schemas.openxmlformats.org/officeDocument/2006/relationships/hyperlink" Id="rId37" Target="http://news.jxgdw.com/cj/1164502.html" TargetMode="External" /><Relationship Type="http://schemas.openxmlformats.org/officeDocument/2006/relationships/hyperlink" Id="rId21" Target="http://www.charltonslaw.com.cn/china-news-alerts-cn-issue-321/" TargetMode="External" /><Relationship Type="http://schemas.openxmlformats.org/officeDocument/2006/relationships/hyperlink" Id="rId43" Target="http://www.hqcx.net/news/content.jsp?id=1163086" TargetMode="External" /><Relationship Type="http://schemas.openxmlformats.org/officeDocument/2006/relationships/hyperlink" Id="rId4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3" Target="http://active.zgjrw.com/News/20091231/Stock/650458353400.shtml" TargetMode="External" /><Relationship Type="http://schemas.openxmlformats.org/officeDocument/2006/relationships/hyperlink" Id="rId31" Target="http://big5.news365.com.cn:82/gate/big5/www.news365.com.cn/xwzx/cjxw/200912/t20091230_2575035.htm" TargetMode="External" /><Relationship Type="http://schemas.openxmlformats.org/officeDocument/2006/relationships/hyperlink" Id="rId25" Target="http://forex.cnfol.com/091231/134,1513,7049668,00.shtml" TargetMode="External" /><Relationship Type="http://schemas.openxmlformats.org/officeDocument/2006/relationships/hyperlink" Id="rId28" Target="http://insurance.baidu.com/2009-12-30/122212277.html" TargetMode="External" /><Relationship Type="http://schemas.openxmlformats.org/officeDocument/2006/relationships/hyperlink" Id="rId45" Target="http://news.cn.yahoo.com/09-12-/1063/2jsuc.html" TargetMode="External" /><Relationship Type="http://schemas.openxmlformats.org/officeDocument/2006/relationships/hyperlink" Id="rId40" Target="http://news.cnnb.com.cn/system/2009/12/30/006375398.shtml" TargetMode="External" /><Relationship Type="http://schemas.openxmlformats.org/officeDocument/2006/relationships/hyperlink" Id="rId37" Target="http://news.jxgdw.com/cj/1164502.html" TargetMode="External" /><Relationship Type="http://schemas.openxmlformats.org/officeDocument/2006/relationships/hyperlink" Id="rId21" Target="http://www.charltonslaw.com.cn/china-news-alerts-cn-issue-321/" TargetMode="External" /><Relationship Type="http://schemas.openxmlformats.org/officeDocument/2006/relationships/hyperlink" Id="rId43" Target="http://www.hqcx.net/news/content.jsp?id=1163086" TargetMode="External" /><Relationship Type="http://schemas.openxmlformats.org/officeDocument/2006/relationships/hyperlink" Id="rId4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第321期 - 2010年01月06日</dc:title>
  <dc:creator/>
</cp:coreProperties>
</file>