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第322期</w:t>
      </w:r>
      <w:r>
        <w:t xml:space="preserve"> </w:t>
      </w:r>
      <w:r>
        <w:t xml:space="preserve">-</w:t>
      </w:r>
      <w:r>
        <w:t xml:space="preserve"> </w:t>
      </w:r>
      <w:r>
        <w:t xml:space="preserve">2010年01月12日</w:t>
      </w:r>
    </w:p>
    <w:p>
      <w:hyperlink r:id="rId21">
        <w:r>
          <w:rPr>
            <w:rStyle w:val="Link"/>
          </w:rPr>
          <w:t xml:space="preserve">网络版</w:t>
        </w:r>
      </w:hyperlink>
    </w:p>
    <w:p>
      <w:pPr>
        <w:pStyle w:val="Heading1"/>
      </w:pPr>
      <w:bookmarkStart w:id="22" w:name="法讯中国第322期"/>
      <w:bookmarkEnd w:id="22"/>
      <w:r>
        <w:t xml:space="preserve">法讯中国第322期</w:t>
      </w:r>
    </w:p>
    <w:p>
      <w:pPr>
        <w:pStyle w:val="Heading2"/>
      </w:pPr>
      <w:bookmarkStart w:id="23" w:name="资本市场-capital-markets"/>
      <w:bookmarkEnd w:id="23"/>
      <w:r>
        <w:t xml:space="preserve">资本市场 Capital Markets</w:t>
      </w:r>
    </w:p>
    <w:p>
      <w:pPr>
        <w:pStyle w:val="Heading3"/>
      </w:pPr>
      <w:bookmarkStart w:id="24" w:name="亿美元中国企业海外上市创新高"/>
      <w:bookmarkEnd w:id="24"/>
      <w:r>
        <w:t xml:space="preserve">271亿美元中国企业海外上市创新高</w:t>
      </w:r>
    </w:p>
    <w:p>
      <w:r>
        <w:t xml:space="preserve">中国企业海外上市日渐活跃,2009年共有77家中国企业在海外9个市场上市,合计融资271.39亿美元。与2008年同期相比,上市数量增加40家,融资额则增加了2.92倍。</w:t>
      </w:r>
    </w:p>
    <w:p>
      <w:r>
        <w:t xml:space="preserve">1月5日,创业投资与私募股权研究机构清科研究中心发布数据显示:在全球经济缓慢复苏和深圳创业板开启的背景下,2009年中国企业上市回升势头明显,企业的上市数量和融资额均较2008年同期出现大幅反弹。2009年,中国企业上市成全球IPO热点,香港市场更是成为中国企业上市融资的主流市场。</w:t>
      </w:r>
    </w:p>
    <w:p>
      <w:r>
        <w:t xml:space="preserve">在清科研究中心关注的海外13个市场和境内3个市场上,2009年共有176家中国企业在境内外资本市场上市,合计融资546.50亿美元,平均每家企业融资3.11亿美元,与2008年同期相比,上市数量增加63家,融资额则增加了1.5倍。</w:t>
      </w:r>
    </w:p>
    <w:p>
      <w:r>
        <w:t xml:space="preserve">在市场分布方面,2009年中国企业海外上市地点明显增多。77家中国企业分别在港交所、纳斯达克、纽约证交所等9个市场上市。</w:t>
      </w:r>
    </w:p>
    <w:p>
      <w:r>
        <w:t xml:space="preserve">随着海外IPO市场持续回暖以及境内创业板的开启,创投和私募股权投资支持的中国企业境内外上市数量和融资额明显增加。2009年,共有77家具有创投和私募股权投资支持的中国企业在境内外市场上市,合计融资156.25亿美元,分别占总量的43.8%和28.6%。其中,海外资本市场上市30家,融资108.13亿美元。</w:t>
      </w:r>
    </w:p>
    <w:p>
      <w:hyperlink r:id="rId25">
        <w:r>
          <w:rPr>
            <w:rStyle w:val="Link"/>
          </w:rPr>
          <w:t xml:space="preserve">来源：证券之星</w:t>
        </w:r>
      </w:hyperlink>
    </w:p>
    <w:p>
      <w:pPr>
        <w:pStyle w:val="Heading3"/>
      </w:pPr>
      <w:bookmarkStart w:id="26" w:name="创业板发布业务备忘录-规范超募资金使用"/>
      <w:bookmarkEnd w:id="26"/>
      <w:r>
        <w:t xml:space="preserve">创业板发布业务备忘录 规范超募资金使用</w:t>
      </w:r>
    </w:p>
    <w:p>
      <w:r>
        <w:t xml:space="preserve">为进一步规范创业板上市公司募集资金尤其是超募资金的使用和管理，提高上市公司募集资金的安全性和使用效率，保护投资者的权益和上市公司的利益，深圳证券交易所日前发布《创业板信息披露业务备忘录第1号——超募资金使用》。</w:t>
      </w:r>
    </w:p>
    <w:p>
      <w:r>
        <w:t xml:space="preserve">备忘录对超募资金的用途做出了严格限制，强调超募资金应当用于公司主营业务，不得用于开展证券投资、委托理财、衍生品投资、创业投资等高风险投资以及为他人提供财务资助等；对于超募资金用于永久补充流动资金和归还银行贷款的金额，规定每十二个月内累计不得超过超募资金总额的20%，同时在审议程序上要求该议案取得董事会全体董事的三分之二以上和全体独立董事同意，且保荐机构明确表示同意。</w:t>
      </w:r>
    </w:p>
    <w:p>
      <w:r>
        <w:t xml:space="preserve">备忘录要求上市公司在募集资金到帐后6个月内，切实根据公司的发展规划及实际生产经营需求，妥善安排超募资金的使用计划。上市公司在实际使用超募资金之前，还应按照《深圳证券交易所创业板股票上市规则》的要求，履行相应的董事会或股东大会审议程序及信息披露义务；尤其对于单次实际使用超募资金金额达到5000万元人民币且达到超募资金总额的20%的，特别规定应事先提交股东大会审议。</w:t>
      </w:r>
    </w:p>
    <w:p>
      <w:r>
        <w:t xml:space="preserve">此外，对于超募资金拟实际投入项目与超募资金使用计划所列项目发生变化、超募资金用于暂时补充流动资金等情况所涉及的信息披露及审议程序，备忘录也作了明确规定。</w:t>
      </w:r>
    </w:p>
    <w:p>
      <w:hyperlink r:id="rId27">
        <w:r>
          <w:rPr>
            <w:rStyle w:val="Link"/>
          </w:rPr>
          <w:t xml:space="preserve">来源：深圳证券交易所网站</w:t>
        </w:r>
      </w:hyperlink>
    </w:p>
    <w:p>
      <w:pPr>
        <w:pStyle w:val="Heading2"/>
      </w:pPr>
      <w:bookmarkStart w:id="28" w:name="金融保险-finance-and-insurance"/>
      <w:bookmarkEnd w:id="28"/>
      <w:r>
        <w:t xml:space="preserve">金融保险 Finance And Insurance</w:t>
      </w:r>
    </w:p>
    <w:p>
      <w:pPr>
        <w:pStyle w:val="Heading3"/>
      </w:pPr>
      <w:bookmarkStart w:id="29" w:name="保监会严控无担保债投资比例"/>
      <w:bookmarkEnd w:id="29"/>
      <w:r>
        <w:t xml:space="preserve">保监会严控无担保债投资比例</w:t>
      </w:r>
    </w:p>
    <w:p>
      <w:r>
        <w:t xml:space="preserve">近日，保监会向各保险公司和保险资产管理公司下发了《关于保险机构投资无担保企业债券有关事宜的通知》(以下简称 《通知》)，对保险机构投资无担保企业债的比例和信用评级作出了明确的规定，同时还要求注意防范城投债的信用风险。</w:t>
      </w:r>
    </w:p>
    <w:p>
      <w:r>
        <w:t xml:space="preserve">早在去年4月份，保监会就曾下发通知扩大了保险公司债券投资范围，允许保险公司投资地方政府债券，境内市场发行的中期票据及大型国企在香港市场发行的债券、可转债等无担保债券。当时仅规定投资有关无担保债券的余额不得超过该保险机构上季末总资产的15%。</w:t>
      </w:r>
    </w:p>
    <w:p>
      <w:r>
        <w:t xml:space="preserve">此次下发的《通知》再次重申保险机构投资的无担保企业债券，必须具有国内信用评级机构评定的AAA级或者相当于AAA级的长期信用级别。</w:t>
      </w:r>
    </w:p>
    <w:p>
      <w:r>
        <w:t xml:space="preserve">另外，《通知》对保险机构投资无担保债作出了更详细的规定。《通知》要求，保险资金投资同一企业(公司)发行的无担保债券的余额，合计不超过该企业(公司)净资产的20%。同一集团保险机构投资同一期单品种无担保债券的份额，合计不超过该期单品种发行额的60%；单一保险机构投资具有关联关系企业(公司)发行的无担保债券的余额，不超过该保险机构净资产的10%。</w:t>
      </w:r>
    </w:p>
    <w:p>
      <w:r>
        <w:t xml:space="preserve">保监会还要求，保险机构投资的无担保债券，应当采取公开招标方式发行，通过市场化方式确定发行利率、发行价格和相关费率，真实反映市场需求。保险机构不得通过定向认购等方式获取不正当利益。</w:t>
      </w:r>
    </w:p>
    <w:p>
      <w:r>
        <w:t xml:space="preserve">保险专家郝演苏表示，保险机构投资无担保债资格早已放行，但是对于投资项目都属于监管部门“个案个批”，此次《通知》的下发主要是为了形成一个制度，更有效地规范保险机构的无担保债投资。</w:t>
      </w:r>
    </w:p>
    <w:p>
      <w:r>
        <w:t xml:space="preserve">“无担保债虽然收益高，但风险也高，未来保险公司不会花太大的精力在这方面，所以短期内并不会对保险资金投资产生较大影响。”一位保险投资人士对记者说。</w:t>
      </w:r>
    </w:p>
    <w:p>
      <w:hyperlink r:id="rId30">
        <w:r>
          <w:rPr>
            <w:rStyle w:val="Link"/>
          </w:rPr>
          <w:t xml:space="preserve">来源：中金在线</w:t>
        </w:r>
      </w:hyperlink>
    </w:p>
    <w:p>
      <w:pPr>
        <w:pStyle w:val="Heading3"/>
      </w:pPr>
      <w:bookmarkStart w:id="31" w:name="传证监会最早3月推出股指期货"/>
      <w:bookmarkEnd w:id="31"/>
      <w:r>
        <w:t xml:space="preserve">传证监会最早3月推出股指期货</w:t>
      </w:r>
    </w:p>
    <w:p>
      <w:r>
        <w:t xml:space="preserve">昨日早上有消息称，中国证监会最早可能在3月份推出股指期货业务。</w:t>
      </w:r>
    </w:p>
    <w:p>
      <w:r>
        <w:t xml:space="preserve">据彭博社引述消息人士称，国务院已原则上批准中国证监会推出股指期货，以沪深300指数为标的的第一份期货合约可能会在3月份的人大会议结束后开始交易。</w:t>
      </w:r>
    </w:p>
    <w:p>
      <w:r>
        <w:t xml:space="preserve">另外，按照惯例，全国证券期货监管工作会议将于1月份召开，届时将布置新 一年的监管工作重点。市场预期，包括融资融券、股指期货、国际板等在内的市场创新工作都可能会在本次会议中作出初步安排。</w:t>
      </w:r>
    </w:p>
    <w:p>
      <w:r>
        <w:t xml:space="preserve">昨日券商股受此激励全线飙升。光大证券封住涨停，太平洋、招商证券、中信证券均涨逾5%，国金证券、海通证券等普遍涨逾4%。但该消息并未获得中国证监会的确认。</w:t>
      </w:r>
    </w:p>
    <w:p>
      <w:hyperlink r:id="rId32">
        <w:r>
          <w:rPr>
            <w:rStyle w:val="Link"/>
          </w:rPr>
          <w:t xml:space="preserve">来源：华西都市报</w:t>
        </w:r>
      </w:hyperlink>
    </w:p>
    <w:p>
      <w:pPr>
        <w:pStyle w:val="Heading3"/>
      </w:pPr>
      <w:bookmarkStart w:id="33" w:name="消费金融公司中国破冰-银监会批准筹建首批三家"/>
      <w:bookmarkEnd w:id="33"/>
      <w:r>
        <w:t xml:space="preserve">消费金融公司中国“破冰” 银监会批准筹建首批三家</w:t>
      </w:r>
    </w:p>
    <w:p>
      <w:r>
        <w:t xml:space="preserve">中国首批3家消费金融公司6日获得中国银监会同意筹建的批复,这标志着消费金融公司这种在西方市场经济中已经存在400年之久的金融业态终于在中国“破冰”。</w:t>
      </w:r>
    </w:p>
    <w:p>
      <w:r>
        <w:t xml:space="preserve">记者6日从浦东新区金融服务局采访获悉,首批获批的消费金融公司发起人分别为 中国银行、北京银行和成都银行,这3家公司将分别在上海、北京和成都三地率先试点。</w:t>
      </w:r>
    </w:p>
    <w:p>
      <w:r>
        <w:t xml:space="preserve">其中,在上海浦东新区试点的中银消费金融公司注册资本拟为5亿元人民币,由中国银行出资2.55亿元,占股51%;百联集团出资1.5亿元,占30%; 陆家嘴金融发展控股公司出资0.95亿元,占19%。</w:t>
      </w:r>
    </w:p>
    <w:p>
      <w:r>
        <w:t xml:space="preserve">消费金融公司,是指不吸收公众存款,以小额、分散为原则,为中国境内居民个人提供以消费为目的的贷款的非银行金融机构。消费金融服务方式目前在成熟市场和新兴市场均已得到广泛使用,受到不同消费群体欢迎,具有单笔授信额度小、审批速度快、无需抵押担保、服务方式灵活、贷款周期短等独特优势,能刺激居民消费,增加有效需求。</w:t>
      </w:r>
    </w:p>
    <w:p>
      <w:r>
        <w:t xml:space="preserve">去年7月,银监会公布《消费金融公司试点管理办法》,并正式启动了消费金融公司试点审批程序,开展消费金融公司试点成为中国银监会落实国务院“金融国九条”的重要举措之一。</w:t>
      </w:r>
    </w:p>
    <w:p>
      <w:r>
        <w:t xml:space="preserve">在去年年底举行的2009年中央经济工作会议上,同样强调要扩大内需、刺激消费。会议指出要更加自觉、更加主动地坚持扩大国内需求特别是消费需求的方针,实现内需和外需有效互补,同时提出把增加居民消费作为扩大内需的重点。</w:t>
      </w:r>
    </w:p>
    <w:p>
      <w:r>
        <w:t xml:space="preserve">国泰君安首席经济学家李迅雷说,消费金融公司获批筹建,是国内推动金融创新的一大突破,有利于完善金融机构体系,有利于进一步扩大消费、发挥金融对转变发展方式的支持作用。</w:t>
      </w:r>
    </w:p>
    <w:p>
      <w:r>
        <w:t xml:space="preserve">长期以来,中国经济发展过于依赖投资和出口,过于依赖第二产业,过于依赖物资消耗。国际金融危机使中国经济发展方式问题凸显出来,在保增长的短期目标基本实现后,转变发展方式势必成为下一步工作的重点。</w:t>
      </w:r>
    </w:p>
    <w:p>
      <w:r>
        <w:t xml:space="preserve">“消费金融公司的获批正是基于今年扩大消费政策的有力措施,预计之后还会有一些配套措施的出台。这一创新举措反映了金融领域也在为进一步扩大消费而积极响应,也为信贷消费方面形成利好。”海通证券宏观分析师李明亮说。</w:t>
      </w:r>
    </w:p>
    <w:p>
      <w:r>
        <w:t xml:space="preserve">上海国际金融学院院长陆红军教授认为,试点消费金融公司,反映了中国通过金融创新支持实体经济发展的新探索;而这种先行先试的金融创新试点也将继续深化,体现了中国在初步克服国际金融危机影响后,坚持在金融领域进一步改革创新的决心。</w:t>
      </w:r>
    </w:p>
    <w:p>
      <w:r>
        <w:t xml:space="preserve">上海市浦东新区金融服务局介绍,作为上海建设国际金融中心的核心功能区,在此次消费金融公司率先试点之后,下一步房地产信托投资基金试点、信贷转让市场、期货保税交割、全国性信托登记平台等金融创新项目都有望在浦东新区先行先试。</w:t>
      </w:r>
    </w:p>
    <w:p>
      <w:hyperlink r:id="rId34">
        <w:r>
          <w:rPr>
            <w:rStyle w:val="Link"/>
          </w:rPr>
          <w:t xml:space="preserve">来源：中国金融网</w:t>
        </w:r>
      </w:hyperlink>
    </w:p>
    <w:p>
      <w:pPr>
        <w:pStyle w:val="Heading3"/>
      </w:pPr>
      <w:bookmarkStart w:id="35" w:name="央行定调2010年资本市场主旋律将是创新"/>
      <w:bookmarkEnd w:id="35"/>
      <w:r>
        <w:t xml:space="preserve">央行定调：2010年资本市场主旋律将是创新</w:t>
      </w:r>
    </w:p>
    <w:p>
      <w:r>
        <w:t xml:space="preserve">2010年资本市场的主旋律将是创新，这是1月5日至6日召开的中国人民银行工作会议上透露出来的信息。</w:t>
      </w:r>
    </w:p>
    <w:p>
      <w:r>
        <w:t xml:space="preserve">对照2009年与2010年央行工作会议对资本市场发展目标的界定，我们可以发现这样的一些现象：</w:t>
      </w:r>
    </w:p>
    <w:p>
      <w:r>
        <w:t xml:space="preserve">一是“大力支持资本市场发展，稳定股票市场运行，创造条件有效拓展直接融资渠道，积极规范发展股权投资基金等投融资方式”这样的表述没有发生变化。</w:t>
      </w:r>
    </w:p>
    <w:p>
      <w:r>
        <w:t xml:space="preserve">2009年，央行强化了对银行业、证券业、保险业系统性风险的监测评估，密切监测交叉性金融工具风险，配合监管部门处置非法集资事件。很好的完成了年初制定的工作目标。</w:t>
      </w:r>
    </w:p>
    <w:p>
      <w:r>
        <w:t xml:space="preserve">同年，银行间市场债券发行管理、托管结算制度得到健全，金融衍生产品交易制度进一步完善，银行间市场清算所股份有限公司正式成立。短期融资券、中期票据等稳步发展，中小非金融企业集合票据发行试点工作取得了显著成绩。房地产投资信托基金(REITs)试点有关工作也得以开展。</w:t>
      </w:r>
    </w:p>
    <w:p>
      <w:r>
        <w:t xml:space="preserve">在证券市场上，2009年更是值得回味的一年：上证指数由2008年跌幅全球第二，跃居2009年涨幅第七，全年累计上涨79.98%。从年度表现上看，上证指数2009年年度涨幅接近80%，为其20年历史上第5大年度涨幅；在制度创新方面，酝酿十年的创业板终于面世。</w:t>
      </w:r>
    </w:p>
    <w:p>
      <w:r>
        <w:t xml:space="preserve">从上述不变的工作要点中，我们体味到的是管理层的良苦用心，政策的连续性和稳定性是保证证券市场稳定运行和发展的重要基础。</w:t>
      </w:r>
    </w:p>
    <w:p>
      <w:r>
        <w:t xml:space="preserve">二是“加快金融市场创新发展，推进场外市场建设，吸引更多社会资金参与基础设施建设、灾后重建项目和国有企业改革重组”等更加具有想象力和操作空间的提法成为2010年的重点工作。</w:t>
      </w:r>
    </w:p>
    <w:p>
      <w:r>
        <w:t xml:space="preserve">对于我们“新兴加转轨”的资本市场来说，创新是市场发展的灵魂。正是基于此，“创新发展”被正式纳入重点工作。2010年倍受市场关注的创新举措肯定包括融资融券和股指期货，现在市场上与之相关的股票正在高调回应之。</w:t>
      </w:r>
    </w:p>
    <w:p>
      <w:r>
        <w:t xml:space="preserve">业界的普遍认识是，创业板开通后，证券市场下一个重头戏该轮到场外市场了。央行工作会议对此也作出了正面回应，明确提出在2010年要推进场外市场建设。</w:t>
      </w:r>
    </w:p>
    <w:p>
      <w:r>
        <w:t xml:space="preserve">场外交易市场，简称OTC市场。国泰君安[99.71 0.00%]风险监管总部总经理王政称，为了尽可能不使中小企业及创新企业融资受到影响，在尊重各柜台交易主办者权益的前提下，开放证券公司在证监会的统一监管下参与场外市场，可能是最有效的场外市场推进方式。这代表了证券界的一种呼声。而从央行的角度出发，场外市场建设可能会有不同的理解，但创新肯定是其中的一个最重要的关键词。</w:t>
      </w:r>
    </w:p>
    <w:p>
      <w:r>
        <w:t xml:space="preserve">在央行确定的2010年工作重点中，“积极规范发展股权投资基金等投融资方式”的提法没有变，但这些基金的投资指向则非常明确，即是“参与基础设施建设、灾后重建项目和国有企业改革重组”。</w:t>
      </w:r>
    </w:p>
    <w:p>
      <w:r>
        <w:t xml:space="preserve">在这些股权投资基金的投资方向中，参与国有企业改革重组是最有新意的一种提法。这可以看做是对2009年业界广泛议论的“国进民退”的一种表态：以开放的胸怀欢迎各路资金参与国企的改革重组。</w:t>
      </w:r>
    </w:p>
    <w:p>
      <w:r>
        <w:t xml:space="preserve">此外，在央行确定的2010年工作重点中，还有很多创新举措会对资本市场产生积极影响的提法。如，探索为国家“走出去”项目提供外汇资金支持的新模式、研究中小企业发行可转换债务融资工具、完善房地产金融体系等。</w:t>
      </w:r>
    </w:p>
    <w:p>
      <w:r>
        <w:t xml:space="preserve">综上所述，2010年的资本市场创新发展将成为主旋律，而作为资本市场重要组成部分的证券市场，肯定也离不开创新发展。这给投资者带来的不仅是希望，更有可能化为“真金白银”。</w:t>
      </w:r>
    </w:p>
    <w:p>
      <w:hyperlink r:id="rId36">
        <w:r>
          <w:rPr>
            <w:rStyle w:val="Link"/>
          </w:rPr>
          <w:t xml:space="preserve">来源：凤凰网</w:t>
        </w:r>
      </w:hyperlink>
    </w:p>
    <w:p>
      <w:pPr>
        <w:pStyle w:val="Heading2"/>
      </w:pPr>
      <w:bookmarkStart w:id="37" w:name="公司corporate"/>
      <w:bookmarkEnd w:id="37"/>
      <w:r>
        <w:t xml:space="preserve">公司Corporate</w:t>
      </w:r>
    </w:p>
    <w:p>
      <w:pPr>
        <w:pStyle w:val="Heading3"/>
      </w:pPr>
      <w:bookmarkStart w:id="38" w:name="发改委称走出去要以能源资源为主增强利用海外市场等能力"/>
      <w:bookmarkEnd w:id="38"/>
      <w:r>
        <w:t xml:space="preserve">发改委称"走出去"要以能源资源为主,增强利用海外市场等能力</w:t>
      </w:r>
    </w:p>
    <w:p>
      <w:r>
        <w:t xml:space="preserve">中国国家发展和改革委员会副主任张晓强称,中国企业"走出去"要继续以能源资源为主,增强利用海外资源、市场和先进技术的能力;而"引进来"要更多地利用国外先进技术、管理经验和高素质人才,使外资更好地服务于国内经济结构调整。</w:t>
      </w:r>
    </w:p>
    <w:p>
      <w:r>
        <w:t xml:space="preserve">他在全国发展改革系统利用外资和境外投资工作会议上表示,要发挥利用外资对扩内需、调结构和保增长的促进作用.外资既可以直接形成投资需求,也可以通过增加就业等拉动居民的消费需求,从投资和消费两方面实现扩大内需。</w:t>
      </w:r>
    </w:p>
    <w:p>
      <w:r>
        <w:t xml:space="preserve">此外,利用外资有利于实现产业结构调整升级和培育新的经济增长点,以及促进区域经济协调发展;而通过开展境外投资也可以为中国经济发展获得稳定的能源资源供应。</w:t>
      </w:r>
    </w:p>
    <w:p>
      <w:r>
        <w:t xml:space="preserve">"未来两年是我国一揽子计划中大部分项目的完工时期,对能源资源的需求加大;而随着世界经济复苏,国际商品市场需求回暖,国际能源资源价格可能会进一步推高,更需要我们主动参与全球资源配置,发挥好境外投资的作用."他称。</w:t>
      </w:r>
    </w:p>
    <w:p>
      <w:r>
        <w:t xml:space="preserve">他表示,境外投资的重点任务是加强境外资源开发,积极参与油气、矿产等各类资源全球配置和市场竞争;在投资开发资源初级产品的基础上,探讨投资资源产品深加工项目;境外投资方向进一步与国内产业结构调整升级紧密结合,引导国内资金投向境外高新技术产业和先进制造业,转移国内剩馀产能。</w:t>
      </w:r>
    </w:p>
    <w:p>
      <w:r>
        <w:t xml:space="preserve">近年来,中国外汇储备居高不下与企业"走出去"融资难的现象并存.投资入股境外金融机构数量逐年上升,中资银行掀起了一轮境外投资收购高潮.但与此同时,国内行业企业"走出去"依然面临外汇头寸不足、资金实力有限的困境,产业资本和金融资本相互促进机制尚未形成。</w:t>
      </w:r>
    </w:p>
    <w:p>
      <w:r>
        <w:t xml:space="preserve">张晓强称,将继续保持国外优惠贷款适度、稳定的规模,适度增加借用国外优惠贷款的规模,提高中长期外债比重;允许有实力的符合条件企业通过发行债券方式到国际金融市场融资.但会合理控制国家外债总规模,确保国家外债安全。</w:t>
      </w:r>
    </w:p>
    <w:p>
      <w:r>
        <w:t xml:space="preserve">他还提到,外资加大并购国内农产品加工业龙头企业可能给经济发展和社会稳定带来潜在风险;将调整服务业准入政策,逐步放宽服务领域对外商投资在地域、股权、业务范围等方面限制,推动垄断性行业和领域对内外资统一、有序开放。</w:t>
      </w:r>
    </w:p>
    <w:p>
      <w:r>
        <w:t xml:space="preserve">此外,他认为受发达国家量化宽松的货币政策、美元走弱、中国经济率先复苏等因素影响,人民币面临新一轮升值压力,可能引发热钱大规模流入,给流动性管理增加困难。</w:t>
      </w:r>
    </w:p>
    <w:p>
      <w:r>
        <w:t xml:space="preserve">数据显示,2008年中国吸收外商直接投资为1,083亿美元,同期对外直接投资559亿美元(含金融类),对外投资规模首次达到吸收外资的一半。</w:t>
      </w:r>
    </w:p>
    <w:p>
      <w:hyperlink r:id="rId39">
        <w:r>
          <w:rPr>
            <w:rStyle w:val="Link"/>
          </w:rPr>
          <w:t xml:space="preserve">来源：路透中文网</w:t>
        </w:r>
      </w:hyperlink>
    </w:p>
    <w:p>
      <w:pPr>
        <w:pStyle w:val="Heading2"/>
      </w:pPr>
      <w:bookmarkStart w:id="40" w:name="其他-others"/>
      <w:bookmarkEnd w:id="40"/>
      <w:r>
        <w:t xml:space="preserve">其他 Others</w:t>
      </w:r>
    </w:p>
    <w:p>
      <w:pPr>
        <w:pStyle w:val="Heading3"/>
      </w:pPr>
      <w:bookmarkStart w:id="41" w:name="新闻出版业出台新政-鼓励非公有资本参与"/>
      <w:bookmarkEnd w:id="41"/>
      <w:r>
        <w:t xml:space="preserve">新闻出版业出台“新政” 鼓励非公有资本参与</w:t>
      </w:r>
    </w:p>
    <w:p>
      <w:r>
        <w:t xml:space="preserve">新闻出版总署2010年“一号文件”《关于进一步推动新闻出版产业发展的指导意见》(以下简称《意见》)已于近日制定完成并印发。这是一份为我国新闻出版产业发展提供具体方向和措施的纲领性文件。这份文件在过去几年调查研究的基础上，起草修改历时6个多月，数易其稿。</w:t>
      </w:r>
    </w:p>
    <w:p>
      <w:r>
        <w:t xml:space="preserve">新闻出版总署相关负责人表示，《意见》再次细化了非公有资本参与新闻出版产业的方式和渠道。</w:t>
      </w:r>
    </w:p>
    <w:p>
      <w:r>
        <w:t xml:space="preserve">《意见》提出，引导和规范非公有资本有序进入新闻出版产业，解放和发展新兴文化生产力。鼓励、支持和引导非公有资本以多种形式进入政策许可的领域。鼓励和支持非公有制文化企业从事印刷、发行等新闻出版产业的有关经营活动。</w:t>
      </w:r>
    </w:p>
    <w:p>
      <w:r>
        <w:t xml:space="preserve">《意见》首次对于非公有资本如何参与新闻出版产业进行了详细表述，即引导和规范个体、私营资本投资组建的非公有制文化企业以内容提供、项目合作、作为国有出版企业一个部门等方式，有序参与科技、财经、教辅、音乐艺术、少儿读物等专业图书出版活动。</w:t>
      </w:r>
    </w:p>
    <w:p>
      <w:r>
        <w:t xml:space="preserve">《意见》还指出，支持各种所有制的新闻出版企业到境外投资兴办实体。支持有条件新闻出版企业，通过新设、收购、合作等方式，到境外建社、办厂、开店，实现新闻出版企业在境外的落地和本土化。对符合国家出口指导目录规定的境外投资，在政策、资源、信息、服务等方面予以支持。</w:t>
      </w:r>
    </w:p>
    <w:p>
      <w:r>
        <w:t xml:space="preserve">业内人士认为，这些举措将为非公有制文化企业持续快速健康发展创造良好的政策环境和平等竞争机会。</w:t>
      </w:r>
    </w:p>
    <w:p>
      <w:r>
        <w:t xml:space="preserve">《意见》指出，利用全国性和区域性产权交易机构。在国家政策允许条件下，充分利用发行企业债券、引进境内外战略投资、上市融资等多种渠道为企业融资。</w:t>
      </w:r>
    </w:p>
    <w:p>
      <w:r>
        <w:t xml:space="preserve">开展与国有银行及相关金融机构的战略合作，加快建立和发展中小新闻出版企业信用担保机制，允许投资人以知识产权等无形资产评估作价出资组建新闻出版企业。</w:t>
      </w:r>
    </w:p>
    <w:p>
      <w:hyperlink r:id="rId42">
        <w:r>
          <w:rPr>
            <w:rStyle w:val="Link"/>
          </w:rPr>
          <w:t xml:space="preserve">来源：新浪网</w:t>
        </w:r>
      </w:hyperlink>
    </w:p>
    <w:p>
      <w:pPr>
        <w:pStyle w:val="Heading3"/>
      </w:pPr>
      <w:bookmarkStart w:id="43" w:name="专家物业税空转试点范围有望扩大-短期仍难开征"/>
      <w:bookmarkEnd w:id="43"/>
      <w:r>
        <w:t xml:space="preserve">专家:物业税"空转"试点范围有望扩大 短期仍难开征</w:t>
      </w:r>
    </w:p>
    <w:p>
      <w:r>
        <w:t xml:space="preserve">近日有消息称，今年税务部门将在全国范围内开展房地产模拟评税，物业税“空转”试点将推广至全国。截至记者发稿时，权威部门尚未对此消息进行证实，多位专家也表示对此不太清楚。</w:t>
      </w:r>
    </w:p>
    <w:p>
      <w:r>
        <w:t xml:space="preserve">不过，国研中心研究员倪红日5日在接受中国证券报记者采访时表示，未来物业税“空转”试点范围肯定会扩大。</w:t>
      </w:r>
    </w:p>
    <w:p>
      <w:r>
        <w:t xml:space="preserve">目前，北京、辽宁、江苏、深圳、重庆、宁夏、福建、安徽、河南、大连10个省区市开展了房地产模拟评税试点工作。所谓物业税的模拟“空转”，是指虽然没有实际征税，但一切步骤与真实收税流程相同，由财政部门、房产部门以及土地管理部门共同参与，统计物业数量，并进行评估和税收统计。</w:t>
      </w:r>
    </w:p>
    <w:p>
      <w:r>
        <w:t xml:space="preserve">“物业税的推出是必然的，这是理顺中国房地产税制的重要举措。”上海易居研究院综合研究部部长杨红旭认为，目前房地产税收结构不合理，开发和交易环节偏重，持有环节偏轻，从而使地方政府重开发、轻存量房管理，依赖土地财政，而且不利于抑制投资投机性购房需求。</w:t>
      </w:r>
    </w:p>
    <w:p>
      <w:r>
        <w:t xml:space="preserve">杨红旭认为，由于物业税影响大、涉及面广，今年不可能全面推出，但可以全国性“空转”，个别前期积累“空转”经验的城市可以试点开征。</w:t>
      </w:r>
    </w:p>
    <w:p>
      <w:r>
        <w:t xml:space="preserve">专家同时表示，物业税试点目前以商业地产为主，针对普通住宅的物业税短期内出台还不太现实，还有很多问题需要解决。</w:t>
      </w:r>
    </w:p>
    <w:p>
      <w:r>
        <w:t xml:space="preserve">倪红日表示，目前的“空转”主要是针对经营性企业，按照新的市场估值作为税基进行征收。能否在局部地区针对商业地产实转，要看当地的具体情况。“空转”只是一种模拟，如果比较合理且大家都能接受，也不排除在个别地区实行。</w:t>
      </w:r>
    </w:p>
    <w:p>
      <w:r>
        <w:t xml:space="preserve">事实上，目前商业地产一直在征收房地产类税收，杨红旭认为，如果征收物业税也会先从商业地产开始，其后才是住宅。针对商业地产开征物业税，首先可能将房产税和城镇土地使用税两项持有环节进行重新整合，计税依据按照市场估值计算。</w:t>
      </w:r>
    </w:p>
    <w:p>
      <w:r>
        <w:t xml:space="preserve">对于市场关注的征收物业税能否抑制房价问题，倪红日认为还有待观察。她认为，征收物业税有利于抑制房价，在保有环节征税，加大了持有成本，有利于降低投机和投资的需求。但对于普通住宅来说，目前房价过高有很多决定因素，在供求不平衡的情况下，价格上涨难以避免，因此，征收物业税就一定能抑制房价还存在疑问。</w:t>
      </w:r>
    </w:p>
    <w:p>
      <w:r>
        <w:t xml:space="preserve">社科院财贸所研究员杨志勇认为，征收物业税会打击那些多套或者大面积住房的炒家，短期内对房价起到打压作用。但长期看，房价取决于房地产供求状况，最终决定房价的是供求关系，而不仅仅是成本。</w:t>
      </w:r>
    </w:p>
    <w:p>
      <w:hyperlink r:id="rId44">
        <w:r>
          <w:rPr>
            <w:rStyle w:val="Link"/>
          </w:rPr>
          <w:t xml:space="preserve">来源：新华网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5">
        <w:r>
          <w:rPr>
            <w:rStyle w:val="Link"/>
          </w:rPr>
          <w:t xml:space="preserve">unsubscribe@charltonslaw.com</w:t>
        </w:r>
      </w:hyperlink>
    </w:p>
    <w:p>
      <w:r>
        <w:rPr>
          <w:b/>
        </w:rPr>
        <w:t xml:space="preserve">易周律师行 - 法讯 - 中国 - 第322期 - 2010年01月12日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c2bd4c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9" Target="http://cn.reuters.com/article/cnMktNews/idCNnCN082120120100105?sp=true" TargetMode="External" /><Relationship Type="http://schemas.openxmlformats.org/officeDocument/2006/relationships/hyperlink" Id="rId36" Target="http://finance.ifeng.com/roll/20100107/1676492.shtml" TargetMode="External" /><Relationship Type="http://schemas.openxmlformats.org/officeDocument/2006/relationships/hyperlink" Id="rId30" Target="http://insurance.cnfol.com/100105/135,1387,7062655,00.shtml" TargetMode="External" /><Relationship Type="http://schemas.openxmlformats.org/officeDocument/2006/relationships/hyperlink" Id="rId25" Target="http://news.stockstar.com/info/darticle.aspx?id=JL,20100106,00001125&amp;columnid=2" TargetMode="External" /><Relationship Type="http://schemas.openxmlformats.org/officeDocument/2006/relationships/hyperlink" Id="rId44" Target="http://news.xinhuanet.com/fortune/2010-01/06/content_12761401.htm" TargetMode="External" /><Relationship Type="http://schemas.openxmlformats.org/officeDocument/2006/relationships/hyperlink" Id="rId42" Target="http://tech.sina.com.cn/i/2010-01-06/10353742550.shtml" TargetMode="External" /><Relationship Type="http://schemas.openxmlformats.org/officeDocument/2006/relationships/hyperlink" Id="rId21" Target="http://www.charltonslaw.com.cn/china-news-alerts-cn-issue-322/" TargetMode="External" /><Relationship Type="http://schemas.openxmlformats.org/officeDocument/2006/relationships/hyperlink" Id="rId27" Target="http://www.szse.cn/main/aboutus/bsyw/39741625.shtml" TargetMode="External" /><Relationship Type="http://schemas.openxmlformats.org/officeDocument/2006/relationships/hyperlink" Id="rId32" Target="http://www.wccdaily.com.cn/epaper/hxdsb/html/2010-01/06/content_141857.htm" TargetMode="External" /><Relationship Type="http://schemas.openxmlformats.org/officeDocument/2006/relationships/hyperlink" Id="rId34" Target="http://www.zgjrw.com/News/201017/index/111639093400.shtml" TargetMode="External" /><Relationship Type="http://schemas.openxmlformats.org/officeDocument/2006/relationships/hyperlink" Id="rId4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9" Target="http://cn.reuters.com/article/cnMktNews/idCNnCN082120120100105?sp=true" TargetMode="External" /><Relationship Type="http://schemas.openxmlformats.org/officeDocument/2006/relationships/hyperlink" Id="rId36" Target="http://finance.ifeng.com/roll/20100107/1676492.shtml" TargetMode="External" /><Relationship Type="http://schemas.openxmlformats.org/officeDocument/2006/relationships/hyperlink" Id="rId30" Target="http://insurance.cnfol.com/100105/135,1387,7062655,00.shtml" TargetMode="External" /><Relationship Type="http://schemas.openxmlformats.org/officeDocument/2006/relationships/hyperlink" Id="rId25" Target="http://news.stockstar.com/info/darticle.aspx?id=JL,20100106,00001125&amp;columnid=2" TargetMode="External" /><Relationship Type="http://schemas.openxmlformats.org/officeDocument/2006/relationships/hyperlink" Id="rId44" Target="http://news.xinhuanet.com/fortune/2010-01/06/content_12761401.htm" TargetMode="External" /><Relationship Type="http://schemas.openxmlformats.org/officeDocument/2006/relationships/hyperlink" Id="rId42" Target="http://tech.sina.com.cn/i/2010-01-06/10353742550.shtml" TargetMode="External" /><Relationship Type="http://schemas.openxmlformats.org/officeDocument/2006/relationships/hyperlink" Id="rId21" Target="http://www.charltonslaw.com.cn/china-news-alerts-cn-issue-322/" TargetMode="External" /><Relationship Type="http://schemas.openxmlformats.org/officeDocument/2006/relationships/hyperlink" Id="rId27" Target="http://www.szse.cn/main/aboutus/bsyw/39741625.shtml" TargetMode="External" /><Relationship Type="http://schemas.openxmlformats.org/officeDocument/2006/relationships/hyperlink" Id="rId32" Target="http://www.wccdaily.com.cn/epaper/hxdsb/html/2010-01/06/content_141857.htm" TargetMode="External" /><Relationship Type="http://schemas.openxmlformats.org/officeDocument/2006/relationships/hyperlink" Id="rId34" Target="http://www.zgjrw.com/News/201017/index/111639093400.shtml" TargetMode="External" /><Relationship Type="http://schemas.openxmlformats.org/officeDocument/2006/relationships/hyperlink" Id="rId4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第322期 - 2010年01月12日</dc:title>
  <dc:creator/>
</cp:coreProperties>
</file>